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F88B2" w14:textId="1358CC59" w:rsidR="00C12C93" w:rsidRPr="00816DAC" w:rsidRDefault="00C12C93" w:rsidP="00854EEA">
      <w:pPr>
        <w:jc w:val="center"/>
        <w:rPr>
          <w:rFonts w:ascii="Verdana" w:hAnsi="Verdana"/>
          <w:b/>
          <w:bCs/>
          <w:sz w:val="2"/>
          <w:szCs w:val="2"/>
        </w:rPr>
      </w:pPr>
    </w:p>
    <w:tbl>
      <w:tblPr>
        <w:tblStyle w:val="Grilledutableau"/>
        <w:tblW w:w="0" w:type="auto"/>
        <w:tblLook w:val="04A0" w:firstRow="1" w:lastRow="0" w:firstColumn="1" w:lastColumn="0" w:noHBand="0" w:noVBand="1"/>
      </w:tblPr>
      <w:tblGrid>
        <w:gridCol w:w="7225"/>
        <w:gridCol w:w="1837"/>
      </w:tblGrid>
      <w:tr w:rsidR="00EC22CC" w14:paraId="51109D41" w14:textId="77777777" w:rsidTr="000E2E1E">
        <w:tc>
          <w:tcPr>
            <w:tcW w:w="9062" w:type="dxa"/>
            <w:gridSpan w:val="2"/>
          </w:tcPr>
          <w:p w14:paraId="6FC76F95" w14:textId="6F5EEA7A" w:rsidR="00EC22CC" w:rsidRDefault="00673F30" w:rsidP="00854EEA">
            <w:pPr>
              <w:jc w:val="center"/>
              <w:rPr>
                <w:rFonts w:ascii="Verdana" w:hAnsi="Verdana"/>
                <w:b/>
                <w:bCs/>
                <w:sz w:val="20"/>
                <w:szCs w:val="20"/>
              </w:rPr>
            </w:pPr>
            <w:r>
              <w:rPr>
                <w:rFonts w:ascii="Verdana" w:hAnsi="Verdana"/>
                <w:b/>
                <w:bCs/>
              </w:rPr>
              <w:t>Point d’étape sur l’élaboration de la stratégie de mobilisation des ressources de la COI</w:t>
            </w:r>
          </w:p>
        </w:tc>
      </w:tr>
      <w:tr w:rsidR="00DA259C" w14:paraId="6059FDAC" w14:textId="77777777" w:rsidTr="000E2E1E">
        <w:tc>
          <w:tcPr>
            <w:tcW w:w="9062" w:type="dxa"/>
            <w:gridSpan w:val="2"/>
          </w:tcPr>
          <w:p w14:paraId="51D12A8B" w14:textId="77777777" w:rsidR="00DA259C" w:rsidRDefault="00DA259C" w:rsidP="00854EEA">
            <w:pPr>
              <w:jc w:val="center"/>
              <w:rPr>
                <w:rFonts w:ascii="Verdana" w:hAnsi="Verdana"/>
                <w:b/>
                <w:bCs/>
              </w:rPr>
            </w:pPr>
          </w:p>
        </w:tc>
      </w:tr>
      <w:tr w:rsidR="00EC22CC" w14:paraId="7F1B63D2" w14:textId="77777777" w:rsidTr="002A0933">
        <w:tc>
          <w:tcPr>
            <w:tcW w:w="7225" w:type="dxa"/>
          </w:tcPr>
          <w:p w14:paraId="056D9B10" w14:textId="64F97B59" w:rsidR="00EC22CC" w:rsidRPr="002A096E" w:rsidRDefault="008D1089" w:rsidP="008D1089">
            <w:pPr>
              <w:rPr>
                <w:rFonts w:ascii="Verdana" w:hAnsi="Verdana"/>
                <w:sz w:val="20"/>
                <w:szCs w:val="20"/>
              </w:rPr>
            </w:pPr>
            <w:r>
              <w:rPr>
                <w:rFonts w:ascii="Verdana" w:hAnsi="Verdana"/>
                <w:sz w:val="20"/>
                <w:szCs w:val="20"/>
              </w:rPr>
              <w:t>Comité des OPL n°</w:t>
            </w:r>
            <w:r w:rsidR="00835905">
              <w:rPr>
                <w:rFonts w:ascii="Verdana" w:hAnsi="Verdana"/>
                <w:sz w:val="20"/>
                <w:szCs w:val="20"/>
              </w:rPr>
              <w:t>3</w:t>
            </w:r>
            <w:r>
              <w:rPr>
                <w:rFonts w:ascii="Verdana" w:hAnsi="Verdana"/>
                <w:sz w:val="20"/>
                <w:szCs w:val="20"/>
              </w:rPr>
              <w:t xml:space="preserve">/26 </w:t>
            </w:r>
          </w:p>
        </w:tc>
        <w:tc>
          <w:tcPr>
            <w:tcW w:w="1837" w:type="dxa"/>
          </w:tcPr>
          <w:p w14:paraId="58E25D1F" w14:textId="0A7A4429" w:rsidR="00EC22CC" w:rsidRPr="002A0933" w:rsidRDefault="002A096E" w:rsidP="00854EEA">
            <w:pPr>
              <w:jc w:val="center"/>
              <w:rPr>
                <w:rFonts w:ascii="Verdana" w:hAnsi="Verdana"/>
                <w:sz w:val="20"/>
                <w:szCs w:val="20"/>
              </w:rPr>
            </w:pPr>
            <w:r>
              <w:rPr>
                <w:rFonts w:ascii="Verdana" w:hAnsi="Verdana"/>
                <w:sz w:val="20"/>
                <w:szCs w:val="20"/>
              </w:rPr>
              <w:t xml:space="preserve">Point </w:t>
            </w:r>
            <w:r w:rsidR="00835905">
              <w:rPr>
                <w:rFonts w:ascii="Verdana" w:hAnsi="Verdana"/>
                <w:sz w:val="20"/>
                <w:szCs w:val="20"/>
              </w:rPr>
              <w:t>2.3</w:t>
            </w:r>
          </w:p>
        </w:tc>
      </w:tr>
      <w:tr w:rsidR="00EC22CC" w14:paraId="537D1DE5" w14:textId="77777777" w:rsidTr="002A0933">
        <w:tc>
          <w:tcPr>
            <w:tcW w:w="7225" w:type="dxa"/>
          </w:tcPr>
          <w:p w14:paraId="43DEF09E" w14:textId="107910D8" w:rsidR="00EC22CC" w:rsidRPr="00A37C9F" w:rsidRDefault="00A148A1" w:rsidP="002A096E">
            <w:pPr>
              <w:rPr>
                <w:rFonts w:ascii="Verdana" w:hAnsi="Verdana"/>
                <w:sz w:val="20"/>
                <w:szCs w:val="20"/>
              </w:rPr>
            </w:pPr>
            <w:r>
              <w:rPr>
                <w:rFonts w:ascii="Verdana" w:hAnsi="Verdana"/>
                <w:i/>
                <w:iCs/>
                <w:sz w:val="20"/>
                <w:szCs w:val="20"/>
              </w:rPr>
              <w:t>Dossier suivi par :</w:t>
            </w:r>
            <w:r>
              <w:rPr>
                <w:rFonts w:ascii="Verdana" w:hAnsi="Verdana"/>
                <w:sz w:val="20"/>
                <w:szCs w:val="20"/>
              </w:rPr>
              <w:t xml:space="preserve"> </w:t>
            </w:r>
            <w:r w:rsidR="00EE69CE">
              <w:rPr>
                <w:rFonts w:ascii="Verdana" w:hAnsi="Verdana"/>
                <w:sz w:val="20"/>
                <w:szCs w:val="20"/>
              </w:rPr>
              <w:t>Gina Bonne, Directrice par intérim</w:t>
            </w:r>
          </w:p>
        </w:tc>
        <w:tc>
          <w:tcPr>
            <w:tcW w:w="1837" w:type="dxa"/>
          </w:tcPr>
          <w:p w14:paraId="5AC1AFAB" w14:textId="23FEDE8F" w:rsidR="00EC22CC" w:rsidRPr="002A0933" w:rsidRDefault="008D1089" w:rsidP="00854EEA">
            <w:pPr>
              <w:jc w:val="center"/>
              <w:rPr>
                <w:rFonts w:ascii="Verdana" w:hAnsi="Verdana"/>
                <w:sz w:val="20"/>
                <w:szCs w:val="20"/>
              </w:rPr>
            </w:pPr>
            <w:r>
              <w:rPr>
                <w:rFonts w:ascii="Verdana" w:hAnsi="Verdana"/>
                <w:sz w:val="20"/>
                <w:szCs w:val="20"/>
              </w:rPr>
              <w:t>Information</w:t>
            </w:r>
          </w:p>
        </w:tc>
      </w:tr>
      <w:tr w:rsidR="00A90305" w14:paraId="6896DB30" w14:textId="77777777" w:rsidTr="009F5233">
        <w:tc>
          <w:tcPr>
            <w:tcW w:w="9062" w:type="dxa"/>
            <w:gridSpan w:val="2"/>
          </w:tcPr>
          <w:p w14:paraId="0495241B" w14:textId="549E1FCD" w:rsidR="00A90305" w:rsidRDefault="00A90305" w:rsidP="00A90305">
            <w:pPr>
              <w:rPr>
                <w:rFonts w:ascii="Verdana" w:hAnsi="Verdana"/>
                <w:sz w:val="20"/>
                <w:szCs w:val="20"/>
              </w:rPr>
            </w:pPr>
            <w:r>
              <w:rPr>
                <w:rFonts w:ascii="Verdana" w:hAnsi="Verdana"/>
                <w:i/>
                <w:iCs/>
                <w:sz w:val="20"/>
                <w:szCs w:val="20"/>
              </w:rPr>
              <w:t xml:space="preserve">Version du </w:t>
            </w:r>
            <w:r w:rsidR="00EE69CE">
              <w:rPr>
                <w:rFonts w:ascii="Verdana" w:hAnsi="Verdana"/>
                <w:i/>
                <w:iCs/>
                <w:sz w:val="20"/>
                <w:szCs w:val="20"/>
              </w:rPr>
              <w:t>31</w:t>
            </w:r>
            <w:r>
              <w:rPr>
                <w:rFonts w:ascii="Verdana" w:hAnsi="Verdana"/>
                <w:i/>
                <w:iCs/>
                <w:sz w:val="20"/>
                <w:szCs w:val="20"/>
              </w:rPr>
              <w:t xml:space="preserve"> juillet 2026 </w:t>
            </w:r>
          </w:p>
        </w:tc>
      </w:tr>
    </w:tbl>
    <w:p w14:paraId="076675C5" w14:textId="77777777" w:rsidR="00A56713" w:rsidRDefault="00FA689D">
      <w:pPr>
        <w:pStyle w:val="Titrepartie"/>
      </w:pPr>
      <w:r>
        <w:t>Résumé</w:t>
      </w:r>
    </w:p>
    <w:p w14:paraId="7D21047E" w14:textId="1C9700C7" w:rsidR="00A56713" w:rsidRDefault="00FA689D" w:rsidP="004E6E02">
      <w:pPr>
        <w:pStyle w:val="Paragraphe"/>
      </w:pPr>
      <w:r>
        <w:t>La présente fiche constitue un point d'information à l'attention du Comité des OPL sur l'état d'avancement de l'élaboration de la stratégie de mobilisation des ressources de la COI. Elle fait suite aux orientations dégagées lors du Comité des OPL n°02/25, qui a acté la nécessité, pour l'Organisation, de gagner en agilité et de diversifier ses sources de financement dans un contexte de contraction et de complexification de l'aide publique au développement.</w:t>
      </w:r>
      <w:r w:rsidR="004E6E02">
        <w:t xml:space="preserve"> </w:t>
      </w:r>
      <w:r>
        <w:t>L'objectif de la stratégie est de doter la COI d'une base de financement plus large, mieux répartie et plus pérenne, en réduisant la forte concentration actuelle du portefeuille sur l'Union européenne et l'AFD, et en structurant la capacité du Secrétariat général à identifier, instruire et capter des financements institutionnels, philanthropiques et innovants.</w:t>
      </w:r>
    </w:p>
    <w:p w14:paraId="76B64A23" w14:textId="68589094" w:rsidR="00A56713" w:rsidRDefault="007A47F0">
      <w:pPr>
        <w:pStyle w:val="Paragraphe"/>
      </w:pPr>
      <w:r w:rsidRPr="007A47F0">
        <w:t>L'élaboration suit une démarche progressive dont plusieurs livrables opérationnels sont d'ores et déjà disponibles, notamment un premier jet du document de stratégie et une cartographie des bailleurs, complétés par un circuit interne de développement des propositions, une première quantification des coûts de support et des fiches d'opportunité. La cible financière et le choix du véhicule de portage restent à consolider par le modèle économique, en cours. Le Comité des OPL est invité à prendre note de l'état d'avancement présenté.</w:t>
      </w:r>
    </w:p>
    <w:p w14:paraId="4A47098A" w14:textId="77777777" w:rsidR="00A56713" w:rsidRDefault="00FA689D">
      <w:pPr>
        <w:pStyle w:val="Titrepartie"/>
      </w:pPr>
      <w:r>
        <w:t>État d'avancement de l'élaboration</w:t>
      </w:r>
    </w:p>
    <w:p w14:paraId="2245D178" w14:textId="77777777" w:rsidR="00A56713" w:rsidRDefault="00FA689D">
      <w:pPr>
        <w:pStyle w:val="Sous-partie2"/>
      </w:pPr>
      <w:r>
        <w:t>Démarche retenue</w:t>
      </w:r>
    </w:p>
    <w:p w14:paraId="6B81B65E" w14:textId="77777777" w:rsidR="00A56713" w:rsidRDefault="00FA689D">
      <w:pPr>
        <w:pStyle w:val="Paragraphe"/>
      </w:pPr>
      <w:r>
        <w:t>La stratégie est construite selon une démarche séquencée où chaque étape produit un livrable réutilisable, et non un document théorique isolé. Les étapes sont les suivantes :</w:t>
      </w:r>
    </w:p>
    <w:p w14:paraId="6A3E22D1" w14:textId="77777777" w:rsidR="00A56713" w:rsidRPr="00442BE3" w:rsidRDefault="00FA689D">
      <w:pPr>
        <w:pStyle w:val="Paragraphedeliste"/>
        <w:numPr>
          <w:ilvl w:val="0"/>
          <w:numId w:val="18"/>
        </w:numPr>
        <w:rPr>
          <w:rFonts w:ascii="Verdana" w:hAnsi="Verdana"/>
          <w:sz w:val="20"/>
          <w:szCs w:val="20"/>
        </w:rPr>
      </w:pPr>
      <w:r w:rsidRPr="00442BE3">
        <w:rPr>
          <w:rFonts w:ascii="Verdana" w:hAnsi="Verdana"/>
          <w:b/>
          <w:bCs/>
          <w:sz w:val="20"/>
          <w:szCs w:val="20"/>
        </w:rPr>
        <w:t xml:space="preserve">Diagnostic et cadrage : </w:t>
      </w:r>
      <w:r w:rsidRPr="00442BE3">
        <w:rPr>
          <w:rFonts w:ascii="Verdana" w:hAnsi="Verdana"/>
          <w:sz w:val="20"/>
          <w:szCs w:val="20"/>
        </w:rPr>
        <w:t>analyse de la dépendance du portefeuille et définition de l'ambition de diversification.</w:t>
      </w:r>
    </w:p>
    <w:p w14:paraId="4719601A" w14:textId="5D367B5B" w:rsidR="007F3FF5" w:rsidRPr="00442BE3" w:rsidRDefault="00CA0444" w:rsidP="007F3FF5">
      <w:pPr>
        <w:pStyle w:val="Paragraphedeliste"/>
        <w:numPr>
          <w:ilvl w:val="0"/>
          <w:numId w:val="18"/>
        </w:numPr>
        <w:spacing w:before="240"/>
        <w:rPr>
          <w:rFonts w:ascii="Verdana" w:hAnsi="Verdana"/>
          <w:sz w:val="20"/>
          <w:szCs w:val="20"/>
        </w:rPr>
      </w:pPr>
      <w:r>
        <w:rPr>
          <w:rFonts w:ascii="Verdana" w:hAnsi="Verdana"/>
          <w:b/>
          <w:bCs/>
          <w:sz w:val="20"/>
          <w:szCs w:val="20"/>
        </w:rPr>
        <w:t>Cartographie des partenaires</w:t>
      </w:r>
      <w:r w:rsidR="007F3FF5" w:rsidRPr="00442BE3">
        <w:rPr>
          <w:rFonts w:ascii="Verdana" w:hAnsi="Verdana"/>
          <w:b/>
          <w:bCs/>
          <w:sz w:val="20"/>
          <w:szCs w:val="20"/>
        </w:rPr>
        <w:t xml:space="preserve"> : </w:t>
      </w:r>
      <w:r w:rsidR="007F3FF5" w:rsidRPr="00442BE3">
        <w:rPr>
          <w:rFonts w:ascii="Verdana" w:hAnsi="Verdana"/>
          <w:sz w:val="20"/>
          <w:szCs w:val="20"/>
        </w:rPr>
        <w:t>recensement et priorisation des bailleurs potentiels (institutionnels, philanthropiques, financements innovants).</w:t>
      </w:r>
    </w:p>
    <w:p w14:paraId="321E2EFF" w14:textId="77777777" w:rsidR="00A56713" w:rsidRPr="00442BE3" w:rsidRDefault="00FA689D" w:rsidP="00BE7861">
      <w:pPr>
        <w:pStyle w:val="Paragraphedeliste"/>
        <w:numPr>
          <w:ilvl w:val="0"/>
          <w:numId w:val="18"/>
        </w:numPr>
        <w:spacing w:before="240"/>
        <w:rPr>
          <w:rFonts w:ascii="Verdana" w:hAnsi="Verdana"/>
          <w:sz w:val="20"/>
          <w:szCs w:val="20"/>
        </w:rPr>
      </w:pPr>
      <w:r w:rsidRPr="00442BE3">
        <w:rPr>
          <w:rFonts w:ascii="Verdana" w:hAnsi="Verdana"/>
          <w:b/>
          <w:bCs/>
          <w:sz w:val="20"/>
          <w:szCs w:val="20"/>
        </w:rPr>
        <w:t xml:space="preserve">Structuration du circuit de développement des propositions : </w:t>
      </w:r>
      <w:r w:rsidRPr="00442BE3">
        <w:rPr>
          <w:rFonts w:ascii="Verdana" w:hAnsi="Verdana"/>
          <w:sz w:val="20"/>
          <w:szCs w:val="20"/>
        </w:rPr>
        <w:t>formalisation du processus interne, de la détection d'une opportunité à la soumission.</w:t>
      </w:r>
    </w:p>
    <w:p w14:paraId="00B4B609" w14:textId="77777777" w:rsidR="00A56713" w:rsidRPr="00442BE3" w:rsidRDefault="00FA689D" w:rsidP="00BE7861">
      <w:pPr>
        <w:pStyle w:val="Paragraphedeliste"/>
        <w:numPr>
          <w:ilvl w:val="0"/>
          <w:numId w:val="18"/>
        </w:numPr>
        <w:spacing w:before="240"/>
        <w:rPr>
          <w:rFonts w:ascii="Verdana" w:hAnsi="Verdana"/>
          <w:sz w:val="20"/>
          <w:szCs w:val="20"/>
        </w:rPr>
      </w:pPr>
      <w:r w:rsidRPr="00442BE3">
        <w:rPr>
          <w:rFonts w:ascii="Verdana" w:hAnsi="Verdana"/>
          <w:b/>
          <w:bCs/>
          <w:sz w:val="20"/>
          <w:szCs w:val="20"/>
        </w:rPr>
        <w:t xml:space="preserve">Rédaction du document de stratégie : </w:t>
      </w:r>
      <w:r w:rsidRPr="00442BE3">
        <w:rPr>
          <w:rFonts w:ascii="Verdana" w:hAnsi="Verdana"/>
          <w:sz w:val="20"/>
          <w:szCs w:val="20"/>
        </w:rPr>
        <w:t>consolidation de l'ensemble dans un document cadre.</w:t>
      </w:r>
    </w:p>
    <w:p w14:paraId="2FB83397" w14:textId="580C8546" w:rsidR="00A56713" w:rsidRPr="00442BE3" w:rsidRDefault="00FA689D">
      <w:pPr>
        <w:pStyle w:val="Paragraphedeliste"/>
        <w:numPr>
          <w:ilvl w:val="0"/>
          <w:numId w:val="18"/>
        </w:numPr>
        <w:rPr>
          <w:rFonts w:ascii="Verdana" w:hAnsi="Verdana"/>
          <w:sz w:val="20"/>
          <w:szCs w:val="20"/>
        </w:rPr>
      </w:pPr>
      <w:r w:rsidRPr="00442BE3">
        <w:rPr>
          <w:rFonts w:ascii="Verdana" w:hAnsi="Verdana"/>
          <w:b/>
          <w:bCs/>
          <w:sz w:val="20"/>
          <w:szCs w:val="20"/>
        </w:rPr>
        <w:t xml:space="preserve">Consolidation </w:t>
      </w:r>
      <w:r w:rsidR="00033C34">
        <w:rPr>
          <w:rFonts w:ascii="Verdana" w:hAnsi="Verdana"/>
          <w:b/>
          <w:bCs/>
          <w:sz w:val="20"/>
          <w:szCs w:val="20"/>
        </w:rPr>
        <w:t xml:space="preserve">de la stratégie </w:t>
      </w:r>
      <w:r w:rsidRPr="00442BE3">
        <w:rPr>
          <w:rFonts w:ascii="Verdana" w:hAnsi="Verdana"/>
          <w:b/>
          <w:bCs/>
          <w:sz w:val="20"/>
          <w:szCs w:val="20"/>
        </w:rPr>
        <w:t xml:space="preserve">par le modèle économique : </w:t>
      </w:r>
      <w:r w:rsidRPr="00442BE3">
        <w:rPr>
          <w:rFonts w:ascii="Verdana" w:hAnsi="Verdana"/>
          <w:sz w:val="20"/>
          <w:szCs w:val="20"/>
        </w:rPr>
        <w:t>alimentation de la cible financière et du mix de revenus par les résultats du modèle</w:t>
      </w:r>
      <w:r w:rsidR="00033C34">
        <w:rPr>
          <w:rFonts w:ascii="Verdana" w:hAnsi="Verdana"/>
          <w:sz w:val="20"/>
          <w:szCs w:val="20"/>
        </w:rPr>
        <w:t xml:space="preserve"> économique</w:t>
      </w:r>
      <w:r w:rsidRPr="00442BE3">
        <w:rPr>
          <w:rFonts w:ascii="Verdana" w:hAnsi="Verdana"/>
          <w:sz w:val="20"/>
          <w:szCs w:val="20"/>
        </w:rPr>
        <w:t>.</w:t>
      </w:r>
    </w:p>
    <w:p w14:paraId="489FE3CD" w14:textId="77777777" w:rsidR="00A56713" w:rsidRDefault="00FA689D">
      <w:pPr>
        <w:pStyle w:val="Sous-partie2"/>
      </w:pPr>
      <w:r>
        <w:t>Livrables produits à ce stade</w:t>
      </w:r>
    </w:p>
    <w:p w14:paraId="38F2FA70" w14:textId="4CAC8986" w:rsidR="00A56713" w:rsidRDefault="00FA689D">
      <w:pPr>
        <w:pStyle w:val="Paragraphe"/>
      </w:pPr>
      <w:r>
        <w:rPr>
          <w:b/>
          <w:bCs/>
        </w:rPr>
        <w:t>Premier jet du document de stratégie</w:t>
      </w:r>
      <w:r w:rsidR="00501B9F">
        <w:rPr>
          <w:b/>
          <w:bCs/>
        </w:rPr>
        <w:t> :</w:t>
      </w:r>
      <w:r>
        <w:rPr>
          <w:b/>
          <w:bCs/>
        </w:rPr>
        <w:t xml:space="preserve"> </w:t>
      </w:r>
      <w:r>
        <w:t>Un premier jet du document de stratégie a été rédigé et itéré (version de travail avancée). Il pose l'ambition de portefeuille, l'orientation de diversification, un cadre juridique et fiduciaire présentant les options de portage envisageables, un positionnement concurrentiel de la COI et un dispositif de contingence. Il explore également des pistes de financements innovants (</w:t>
      </w:r>
      <w:r w:rsidR="00A65C91">
        <w:t xml:space="preserve">ex : </w:t>
      </w:r>
      <w:r w:rsidR="00DA34E1">
        <w:t>marchés carbones</w:t>
      </w:r>
      <w:r>
        <w:t xml:space="preserve"> au titre de l'Article 6 de l'Accord de Paris, fonds souverains, mécanismes d'assurance paramétrique de type </w:t>
      </w:r>
      <w:r w:rsidR="00547720" w:rsidRPr="00547720">
        <w:t>Caribbean Catastrophe Risk Insurance Facility</w:t>
      </w:r>
      <w:r w:rsidR="00547720">
        <w:t xml:space="preserve"> / CCRIF</w:t>
      </w:r>
      <w:r>
        <w:t>). Ce document figure en annexe 1.</w:t>
      </w:r>
      <w:r w:rsidR="00583376">
        <w:t xml:space="preserve"> Ces mécanismes seront définis et validés après le travail sur le modèle économique.</w:t>
      </w:r>
    </w:p>
    <w:p w14:paraId="5C7E7D71" w14:textId="2CB2F226" w:rsidR="00A56713" w:rsidRDefault="003C62E1">
      <w:pPr>
        <w:pStyle w:val="Paragraphe"/>
      </w:pPr>
      <w:r w:rsidRPr="003C62E1">
        <w:rPr>
          <w:b/>
          <w:bCs/>
        </w:rPr>
        <w:lastRenderedPageBreak/>
        <w:t>Cartographie des bailleurs</w:t>
      </w:r>
      <w:r w:rsidR="00501B9F">
        <w:rPr>
          <w:b/>
          <w:bCs/>
        </w:rPr>
        <w:t> :</w:t>
      </w:r>
      <w:r>
        <w:t xml:space="preserve"> Une cartographie structurée recense et priorise les bailleurs de la COI selon une grille homogène croisant le potentiel de financement, l'alignement thématique avec le PDS et l'éligibilité effective de l'Organisation. Elle élargit le champ au-delà des partenaires historiques (bailleurs philanthropiques, financements innovants encore peu sollicités) et constitue un outil vivant, actualisé au fil des prospections. Elle figure en annexe 2. Cette cartographie est déjà mise à l'épreuve : l'Unité Gouvernance, Paix et Sécurité (DI3) élabore sa propre stratégie de mobilisation des ressources et a engagé, à ce titre, des échanges avec plusieurs bailleurs sur les possibilités de collaboration, l'alignement géographique et thématique, les modalités de financement et les guichets ouverts pour 2027. La COI met à profit cette dynamique pour consolider ses relations avec les partenaires déjà établis, au premier rang desquels le système des Nations unies.</w:t>
      </w:r>
    </w:p>
    <w:p w14:paraId="07FF399C" w14:textId="67D052F9" w:rsidR="00C96A36" w:rsidRPr="00C96A36" w:rsidRDefault="00C96A36" w:rsidP="00C96A36">
      <w:pPr>
        <w:pStyle w:val="Paragraphe"/>
        <w:rPr>
          <w:lang/>
        </w:rPr>
      </w:pPr>
      <w:r w:rsidRPr="00C96A36">
        <w:rPr>
          <w:b/>
          <w:bCs/>
          <w:lang/>
        </w:rPr>
        <w:t>Fiches d'opportunité</w:t>
      </w:r>
      <w:r w:rsidR="00501B9F">
        <w:rPr>
          <w:b/>
          <w:bCs/>
          <w:lang/>
        </w:rPr>
        <w:t xml:space="preserve"> et soumission au Fonds pour </w:t>
      </w:r>
      <w:r w:rsidR="00AA41AE">
        <w:rPr>
          <w:b/>
          <w:bCs/>
          <w:lang/>
        </w:rPr>
        <w:t xml:space="preserve">la </w:t>
      </w:r>
      <w:r w:rsidR="00501B9F">
        <w:rPr>
          <w:b/>
          <w:bCs/>
          <w:lang/>
        </w:rPr>
        <w:t>Répon</w:t>
      </w:r>
      <w:r w:rsidR="00AA41AE">
        <w:rPr>
          <w:b/>
          <w:bCs/>
          <w:lang/>
        </w:rPr>
        <w:t xml:space="preserve">se aux Pertes et Préjudices (FRLD) </w:t>
      </w:r>
      <w:r w:rsidR="00501B9F">
        <w:rPr>
          <w:b/>
          <w:bCs/>
          <w:lang/>
        </w:rPr>
        <w:t>:</w:t>
      </w:r>
      <w:r w:rsidRPr="00C96A36">
        <w:rPr>
          <w:lang/>
        </w:rPr>
        <w:t xml:space="preserve"> En parallèle, des fiches d'opportunité sont produites pour instruire les appels ciblés : elles qualifient l'éligibilité, les modalités et les délais de chaque guichet, éclairent la décision d'y répondre ou non, et permettent de tester et d'affiner la démarche sur des cas concrets. Elles font ainsi de la réponse aux appels à projets une décision stratégique et documentée. Les analyses qui en sont issues nourrissent le positionnement de la COI face aux opportunités de financement : c'est sur cette base qu'a été décidée la soumission d'une demande au titre des Barbados Implementation Modalities (BIM), phase de démarrage du Fonds pour répondre aux pertes et préjudices (FRLD), dont le premier cycle donne la priorité aux petits États insulaires en développement.</w:t>
      </w:r>
      <w:r w:rsidR="00A738DF">
        <w:rPr>
          <w:lang/>
        </w:rPr>
        <w:t xml:space="preserve"> Le canevas de la fiche d’opportunité se trouve en annexe </w:t>
      </w:r>
      <w:r w:rsidR="002640B0">
        <w:rPr>
          <w:lang/>
        </w:rPr>
        <w:t>3.</w:t>
      </w:r>
    </w:p>
    <w:p w14:paraId="1597DED3" w14:textId="77777777" w:rsidR="00A56713" w:rsidRDefault="00FA689D">
      <w:pPr>
        <w:pStyle w:val="Sous-partie2"/>
      </w:pPr>
      <w:r>
        <w:t>Éléments restant à consolider</w:t>
      </w:r>
    </w:p>
    <w:p w14:paraId="7E4C13D9" w14:textId="77777777" w:rsidR="00A56713" w:rsidRDefault="00FA689D">
      <w:pPr>
        <w:pStyle w:val="Paragraphe"/>
      </w:pPr>
      <w:r>
        <w:t>La cible financière globale et le choix définitif du véhicule de portage demeurent conditionnés aux résultats du modèle économique, en cours d'élaboration. Ce séquençage est délibéré : il vise à garantir que l'ambition affichée repose sur une base économique vérifiée plutôt que sur une projection. À ce stade, l'ambition de portefeuille figurant dans le premier jet doit donc être lue comme une orientation de travail, et non comme un engagement chiffré définitif.</w:t>
      </w:r>
    </w:p>
    <w:p w14:paraId="47A26BCF" w14:textId="77777777" w:rsidR="00A56713" w:rsidRDefault="00FA689D">
      <w:pPr>
        <w:pStyle w:val="Titrepartie"/>
      </w:pPr>
      <w:r>
        <w:t>Prochaines étapes et calendrier indicatif</w:t>
      </w:r>
    </w:p>
    <w:p w14:paraId="3D0EC754" w14:textId="77777777" w:rsidR="00A56713" w:rsidRPr="00CA2496" w:rsidRDefault="00FA689D" w:rsidP="00CA2496">
      <w:pPr>
        <w:pStyle w:val="Paragraphedeliste"/>
        <w:numPr>
          <w:ilvl w:val="0"/>
          <w:numId w:val="18"/>
        </w:numPr>
        <w:spacing w:line="276" w:lineRule="auto"/>
        <w:rPr>
          <w:rFonts w:ascii="Verdana" w:hAnsi="Verdana"/>
          <w:sz w:val="20"/>
          <w:szCs w:val="20"/>
        </w:rPr>
      </w:pPr>
      <w:r w:rsidRPr="00CA2496">
        <w:rPr>
          <w:rFonts w:ascii="Verdana" w:hAnsi="Verdana"/>
          <w:sz w:val="20"/>
          <w:szCs w:val="20"/>
        </w:rPr>
        <w:t>Finaliser le modèle économique afin de consolider la cible de portefeuille et le mix de revenus.</w:t>
      </w:r>
    </w:p>
    <w:p w14:paraId="7B01C744" w14:textId="77777777" w:rsidR="00A56713" w:rsidRPr="00CA2496" w:rsidRDefault="00FA689D" w:rsidP="00CA2496">
      <w:pPr>
        <w:pStyle w:val="Paragraphedeliste"/>
        <w:numPr>
          <w:ilvl w:val="0"/>
          <w:numId w:val="18"/>
        </w:numPr>
        <w:spacing w:line="276" w:lineRule="auto"/>
        <w:rPr>
          <w:rFonts w:ascii="Verdana" w:hAnsi="Verdana"/>
          <w:sz w:val="20"/>
          <w:szCs w:val="20"/>
        </w:rPr>
      </w:pPr>
      <w:r w:rsidRPr="00CA2496">
        <w:rPr>
          <w:rFonts w:ascii="Verdana" w:hAnsi="Verdana"/>
          <w:sz w:val="20"/>
          <w:szCs w:val="20"/>
        </w:rPr>
        <w:t>Arrêter la version finale du document de stratégie et la soumettre à la validation des instances.</w:t>
      </w:r>
    </w:p>
    <w:p w14:paraId="0E466F2C" w14:textId="367AC876" w:rsidR="00A56713" w:rsidRPr="00CA2496" w:rsidRDefault="00FA689D" w:rsidP="00CA2496">
      <w:pPr>
        <w:pStyle w:val="Paragraphedeliste"/>
        <w:numPr>
          <w:ilvl w:val="0"/>
          <w:numId w:val="18"/>
        </w:numPr>
        <w:spacing w:line="276" w:lineRule="auto"/>
        <w:rPr>
          <w:rFonts w:ascii="Verdana" w:hAnsi="Verdana"/>
          <w:sz w:val="20"/>
          <w:szCs w:val="20"/>
        </w:rPr>
      </w:pPr>
      <w:r w:rsidRPr="00CA2496">
        <w:rPr>
          <w:rFonts w:ascii="Verdana" w:hAnsi="Verdana"/>
          <w:sz w:val="20"/>
          <w:szCs w:val="20"/>
        </w:rPr>
        <w:t xml:space="preserve">Opérationnaliser la cartographie </w:t>
      </w:r>
      <w:r w:rsidR="0072596F">
        <w:rPr>
          <w:rFonts w:ascii="Verdana" w:hAnsi="Verdana"/>
          <w:sz w:val="20"/>
          <w:szCs w:val="20"/>
        </w:rPr>
        <w:t xml:space="preserve">des partenaires </w:t>
      </w:r>
      <w:r w:rsidRPr="00CA2496">
        <w:rPr>
          <w:rFonts w:ascii="Verdana" w:hAnsi="Verdana"/>
          <w:sz w:val="20"/>
          <w:szCs w:val="20"/>
        </w:rPr>
        <w:t>par un plan d'approche par bailleur et la poursuite des fiches d'opportunité.</w:t>
      </w:r>
    </w:p>
    <w:p w14:paraId="3F239B04" w14:textId="6B1B27E2" w:rsidR="00A56713" w:rsidRPr="00CA2496" w:rsidRDefault="00791EAB" w:rsidP="00CA2496">
      <w:pPr>
        <w:pStyle w:val="Paragraphedeliste"/>
        <w:numPr>
          <w:ilvl w:val="0"/>
          <w:numId w:val="18"/>
        </w:numPr>
        <w:spacing w:line="276" w:lineRule="auto"/>
        <w:rPr>
          <w:rFonts w:ascii="Verdana" w:hAnsi="Verdana"/>
          <w:sz w:val="20"/>
          <w:szCs w:val="20"/>
        </w:rPr>
      </w:pPr>
      <w:r>
        <w:rPr>
          <w:rFonts w:ascii="Verdana" w:hAnsi="Verdana"/>
          <w:sz w:val="20"/>
          <w:szCs w:val="20"/>
        </w:rPr>
        <w:t>P</w:t>
      </w:r>
      <w:r w:rsidR="00FA689D" w:rsidRPr="00CA2496">
        <w:rPr>
          <w:rFonts w:ascii="Verdana" w:hAnsi="Verdana"/>
          <w:sz w:val="20"/>
          <w:szCs w:val="20"/>
        </w:rPr>
        <w:t>réparer le Forum des partenaires techniques et financiers évoqué lors du Comité des OPL n°02/25.</w:t>
      </w:r>
    </w:p>
    <w:p w14:paraId="53FEAC7D" w14:textId="77777777" w:rsidR="00A56713" w:rsidRDefault="00FA689D">
      <w:pPr>
        <w:pStyle w:val="Paragraphe"/>
      </w:pPr>
      <w:r>
        <w:t>Le calendrier détaillé sera précisé une fois confirmée l'échéance de finalisation du modèle économique.</w:t>
      </w:r>
    </w:p>
    <w:p w14:paraId="6C2C0E8D" w14:textId="436EF073" w:rsidR="00A56713" w:rsidRDefault="00ED2E2B">
      <w:pPr>
        <w:pStyle w:val="Titrepartie"/>
      </w:pPr>
      <w:r>
        <w:t>Proposition de décision</w:t>
      </w:r>
    </w:p>
    <w:p w14:paraId="5E192216" w14:textId="2A1F8505" w:rsidR="00DA259C" w:rsidRDefault="00FA689D" w:rsidP="00DA259C">
      <w:pPr>
        <w:pStyle w:val="Paragraphe"/>
      </w:pPr>
      <w:r>
        <w:t xml:space="preserve">Le Comité des OPL </w:t>
      </w:r>
      <w:r w:rsidR="00ED2E2B">
        <w:t>prend</w:t>
      </w:r>
      <w:r>
        <w:t xml:space="preserve"> note de l'état d'avancement de l'élaboration de la stratégie de mobilisation des ressources ainsi que des prochaines étapes présentées</w:t>
      </w:r>
      <w:r w:rsidR="00CF3B80">
        <w:t xml:space="preserve"> et demande au Secrétariat général de soumettre pour examen la version finale de la stratégie incluant les éléments pertinents du modèle économique actualisé de la COI. </w:t>
      </w:r>
    </w:p>
    <w:p w14:paraId="29723579" w14:textId="77777777" w:rsidR="00DA259C" w:rsidRDefault="00DA259C">
      <w:pPr>
        <w:rPr>
          <w:rFonts w:ascii="Verdana" w:hAnsi="Verdana" w:cs="Calibri"/>
          <w:sz w:val="20"/>
          <w:szCs w:val="20"/>
        </w:rPr>
      </w:pPr>
      <w:r>
        <w:br w:type="page"/>
      </w:r>
    </w:p>
    <w:p w14:paraId="3654FE55" w14:textId="4CCC82B9" w:rsidR="00D9631F" w:rsidRPr="00B37D25" w:rsidRDefault="00FA689D" w:rsidP="00DA259C">
      <w:pPr>
        <w:pStyle w:val="Titrepartie"/>
        <w:numPr>
          <w:ilvl w:val="0"/>
          <w:numId w:val="0"/>
        </w:numPr>
      </w:pPr>
      <w:r>
        <w:t>Annexes</w:t>
      </w:r>
    </w:p>
    <w:p w14:paraId="218E0A5E" w14:textId="77777777" w:rsidR="00A56713" w:rsidRDefault="00FA689D">
      <w:pPr>
        <w:pStyle w:val="Paragraphe"/>
      </w:pPr>
      <w:r>
        <w:rPr>
          <w:b/>
          <w:bCs/>
        </w:rPr>
        <w:t xml:space="preserve">Annexe 1 : </w:t>
      </w:r>
      <w:r>
        <w:t>Premier jet du document de stratégie de mobilisation des ressources (2026-2030).</w:t>
      </w:r>
    </w:p>
    <w:p w14:paraId="61308E50" w14:textId="77777777" w:rsidR="00A56713" w:rsidRDefault="00FA689D">
      <w:pPr>
        <w:pStyle w:val="Paragraphe"/>
      </w:pPr>
      <w:r>
        <w:rPr>
          <w:b/>
          <w:bCs/>
        </w:rPr>
        <w:t xml:space="preserve">Annexe 2 : </w:t>
      </w:r>
      <w:r>
        <w:t>Cartographie des bailleurs de la COI.</w:t>
      </w:r>
    </w:p>
    <w:p w14:paraId="6C3C1F8D" w14:textId="77777777" w:rsidR="002D5025" w:rsidRDefault="00E02463">
      <w:pPr>
        <w:pStyle w:val="Paragraphe"/>
      </w:pPr>
      <w:r>
        <w:rPr>
          <w:b/>
          <w:bCs/>
        </w:rPr>
        <w:t xml:space="preserve">Annexe 3 : </w:t>
      </w:r>
      <w:r>
        <w:t>Canevas de la fiche d’opportunité de financement.</w:t>
      </w:r>
    </w:p>
    <w:sectPr w:rsidR="002D5025" w:rsidSect="00547720">
      <w:headerReference w:type="even" r:id="rId8"/>
      <w:headerReference w:type="default" r:id="rId9"/>
      <w:footerReference w:type="even" r:id="rId10"/>
      <w:footerReference w:type="default" r:id="rId11"/>
      <w:headerReference w:type="first" r:id="rId12"/>
      <w:footerReference w:type="first" r:id="rId13"/>
      <w:pgSz w:w="11906" w:h="16838"/>
      <w:pgMar w:top="426" w:right="1417" w:bottom="709" w:left="1417" w:header="708" w:footer="1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73567" w14:textId="77777777" w:rsidR="00757BB5" w:rsidRDefault="00757BB5">
      <w:pPr>
        <w:spacing w:after="0" w:line="240" w:lineRule="auto"/>
      </w:pPr>
      <w:r>
        <w:separator/>
      </w:r>
    </w:p>
  </w:endnote>
  <w:endnote w:type="continuationSeparator" w:id="0">
    <w:p w14:paraId="2979BBCA" w14:textId="77777777" w:rsidR="00757BB5" w:rsidRDefault="00757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9C790" w14:textId="77777777" w:rsidR="00835905" w:rsidRDefault="0083590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392675"/>
      <w:docPartObj>
        <w:docPartGallery w:val="Page Numbers (Bottom of Page)"/>
        <w:docPartUnique/>
      </w:docPartObj>
    </w:sdtPr>
    <w:sdtContent>
      <w:p w14:paraId="4D3A5F2A" w14:textId="631EC867" w:rsidR="00AA63A3" w:rsidRDefault="00AA63A3" w:rsidP="000F4728">
        <w:pPr>
          <w:pStyle w:val="Pieddepage"/>
          <w:pBdr>
            <w:top w:val="single" w:sz="4" w:space="1" w:color="ED7D31" w:themeColor="accent2"/>
          </w:pBdr>
          <w:jc w:val="right"/>
        </w:pPr>
        <w:r>
          <w:fldChar w:fldCharType="begin"/>
        </w:r>
        <w:r>
          <w:instrText>PAGE   \* MERGEFORMAT</w:instrText>
        </w:r>
        <w:r>
          <w:fldChar w:fldCharType="separate"/>
        </w:r>
        <w:r>
          <w:t>2</w:t>
        </w:r>
        <w:r>
          <w:fldChar w:fldCharType="end"/>
        </w:r>
      </w:p>
    </w:sdtContent>
  </w:sdt>
  <w:p w14:paraId="5BF7192F" w14:textId="77777777" w:rsidR="00063A26" w:rsidRDefault="00063A2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D4110" w14:textId="77777777" w:rsidR="00835905" w:rsidRDefault="0083590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4358B" w14:textId="77777777" w:rsidR="00757BB5" w:rsidRDefault="00757BB5">
      <w:pPr>
        <w:spacing w:after="0" w:line="240" w:lineRule="auto"/>
      </w:pPr>
      <w:r>
        <w:separator/>
      </w:r>
    </w:p>
  </w:footnote>
  <w:footnote w:type="continuationSeparator" w:id="0">
    <w:p w14:paraId="2C5A1E29" w14:textId="77777777" w:rsidR="00757BB5" w:rsidRDefault="00757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D527B" w14:textId="77777777" w:rsidR="00835905" w:rsidRDefault="0083590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6C79" w14:textId="4EF5A8CC" w:rsidR="00063A26" w:rsidRDefault="00854EEA" w:rsidP="00063A26">
    <w:pPr>
      <w:pStyle w:val="En-tte"/>
      <w:tabs>
        <w:tab w:val="clear" w:pos="4536"/>
        <w:tab w:val="clear" w:pos="9072"/>
        <w:tab w:val="center" w:pos="0"/>
      </w:tabs>
      <w:rPr>
        <w:b/>
        <w:bCs/>
      </w:rPr>
    </w:pPr>
    <w:r>
      <w:rPr>
        <w:i/>
        <w:iCs/>
        <w:noProof/>
      </w:rPr>
      <w:drawing>
        <wp:inline distT="0" distB="0" distL="0" distR="0" wp14:anchorId="09635A91" wp14:editId="3A6A5A2C">
          <wp:extent cx="1090909" cy="360000"/>
          <wp:effectExtent l="0" t="0" r="0" b="2540"/>
          <wp:docPr id="513313851" name="Image 513313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screen">
                    <a:extLst>
                      <a:ext uri="{28A0092B-C50C-407E-A947-70E740481C1C}">
                        <a14:useLocalDpi xmlns:a14="http://schemas.microsoft.com/office/drawing/2010/main"/>
                      </a:ext>
                    </a:extLst>
                  </a:blip>
                  <a:stretch>
                    <a:fillRect/>
                  </a:stretch>
                </pic:blipFill>
                <pic:spPr>
                  <a:xfrm>
                    <a:off x="0" y="0"/>
                    <a:ext cx="1090909" cy="360000"/>
                  </a:xfrm>
                  <a:prstGeom prst="rect">
                    <a:avLst/>
                  </a:prstGeom>
                </pic:spPr>
              </pic:pic>
            </a:graphicData>
          </a:graphic>
        </wp:inline>
      </w:drawing>
    </w:r>
    <w:r w:rsidR="003604B9">
      <w:tab/>
    </w:r>
    <w:r w:rsidR="003604B9">
      <w:tab/>
    </w:r>
    <w:r w:rsidR="003604B9">
      <w:tab/>
    </w:r>
    <w:r w:rsidR="003604B9">
      <w:tab/>
    </w:r>
    <w:r w:rsidR="004F5C4B">
      <w:tab/>
    </w:r>
    <w:r>
      <w:tab/>
    </w:r>
    <w:r>
      <w:tab/>
    </w:r>
    <w:r>
      <w:tab/>
    </w:r>
    <w:r>
      <w:tab/>
    </w:r>
    <w:r w:rsidR="003604B9" w:rsidRPr="0018252D">
      <w:rPr>
        <w:rFonts w:ascii="Verdana" w:hAnsi="Verdana"/>
        <w:b/>
        <w:bCs/>
        <w:sz w:val="20"/>
        <w:szCs w:val="20"/>
      </w:rPr>
      <w:t xml:space="preserve">Point. </w:t>
    </w:r>
    <w:r w:rsidR="00835905">
      <w:rPr>
        <w:rFonts w:ascii="Verdana" w:hAnsi="Verdana"/>
        <w:b/>
        <w:bCs/>
        <w:sz w:val="20"/>
        <w:szCs w:val="20"/>
      </w:rPr>
      <w:t>2</w:t>
    </w:r>
    <w:r w:rsidR="0018252D" w:rsidRPr="00034FDA">
      <w:rPr>
        <w:rFonts w:ascii="Verdana" w:hAnsi="Verdana"/>
        <w:b/>
        <w:bCs/>
        <w:sz w:val="20"/>
        <w:szCs w:val="20"/>
      </w:rPr>
      <w:t>.</w:t>
    </w:r>
    <w:r w:rsidR="00835905">
      <w:rPr>
        <w:rFonts w:ascii="Verdana" w:hAnsi="Verdana"/>
        <w:b/>
        <w:bCs/>
        <w:sz w:val="20"/>
        <w:szCs w:val="20"/>
      </w:rPr>
      <w:t>3</w:t>
    </w:r>
  </w:p>
  <w:p w14:paraId="7FE17793" w14:textId="77777777" w:rsidR="00AA63A3" w:rsidRDefault="00AA63A3" w:rsidP="00AA63A3">
    <w:pPr>
      <w:pStyle w:val="En-tte"/>
      <w:pBdr>
        <w:bottom w:val="single" w:sz="4" w:space="1" w:color="0070C0"/>
      </w:pBdr>
      <w:tabs>
        <w:tab w:val="clear" w:pos="4536"/>
        <w:tab w:val="clear" w:pos="9072"/>
        <w:tab w:val="center" w:pos="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E920E" w14:textId="77777777" w:rsidR="00835905" w:rsidRDefault="0083590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02E10"/>
    <w:multiLevelType w:val="hybridMultilevel"/>
    <w:tmpl w:val="D12E7892"/>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C87112"/>
    <w:multiLevelType w:val="hybridMultilevel"/>
    <w:tmpl w:val="15E2D4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0ED0860"/>
    <w:multiLevelType w:val="hybridMultilevel"/>
    <w:tmpl w:val="FE1C3E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D30430"/>
    <w:multiLevelType w:val="multilevel"/>
    <w:tmpl w:val="A2669954"/>
    <w:lvl w:ilvl="0">
      <w:start w:val="1"/>
      <w:numFmt w:val="decimal"/>
      <w:pStyle w:val="Titrepartie"/>
      <w:lvlText w:val="%1."/>
      <w:lvlJc w:val="left"/>
      <w:pPr>
        <w:ind w:left="720" w:hanging="360"/>
      </w:pPr>
      <w:rPr>
        <w:rFonts w:hint="default"/>
      </w:rPr>
    </w:lvl>
    <w:lvl w:ilvl="1">
      <w:start w:val="1"/>
      <w:numFmt w:val="decimal"/>
      <w:pStyle w:val="Sous-partie2"/>
      <w:isLgl/>
      <w:lvlText w:val="%1.%2."/>
      <w:lvlJc w:val="left"/>
      <w:pPr>
        <w:ind w:left="108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7C47BF2"/>
    <w:multiLevelType w:val="hybridMultilevel"/>
    <w:tmpl w:val="753E279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D2B3E67"/>
    <w:multiLevelType w:val="hybridMultilevel"/>
    <w:tmpl w:val="1AB4D776"/>
    <w:lvl w:ilvl="0" w:tplc="1722C52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610BD4"/>
    <w:multiLevelType w:val="hybridMultilevel"/>
    <w:tmpl w:val="00F401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8A5F43"/>
    <w:multiLevelType w:val="hybridMultilevel"/>
    <w:tmpl w:val="8A543E42"/>
    <w:lvl w:ilvl="0" w:tplc="20000017">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2C057681"/>
    <w:multiLevelType w:val="hybridMultilevel"/>
    <w:tmpl w:val="D87EE17E"/>
    <w:lvl w:ilvl="0" w:tplc="C724575E">
      <w:start w:val="2"/>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053266A"/>
    <w:multiLevelType w:val="hybridMultilevel"/>
    <w:tmpl w:val="986CEE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49861A7"/>
    <w:multiLevelType w:val="hybridMultilevel"/>
    <w:tmpl w:val="0FB866EA"/>
    <w:lvl w:ilvl="0" w:tplc="040C0017">
      <w:start w:val="1"/>
      <w:numFmt w:val="lowerLetter"/>
      <w:lvlText w:val="%1)"/>
      <w:lvlJc w:val="left"/>
      <w:pPr>
        <w:ind w:left="720" w:hanging="360"/>
      </w:pPr>
      <w:rPr>
        <w:rFonts w:hint="default"/>
      </w:rPr>
    </w:lvl>
    <w:lvl w:ilvl="1" w:tplc="040C001B">
      <w:start w:val="1"/>
      <w:numFmt w:val="lowerRoman"/>
      <w:lvlText w:val="%2."/>
      <w:lvlJc w:val="righ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1754020"/>
    <w:multiLevelType w:val="hybridMultilevel"/>
    <w:tmpl w:val="25F0E2D6"/>
    <w:lvl w:ilvl="0" w:tplc="0AD884B4">
      <w:start w:val="6"/>
      <w:numFmt w:val="bullet"/>
      <w:lvlText w:val="-"/>
      <w:lvlJc w:val="left"/>
      <w:pPr>
        <w:ind w:left="720" w:hanging="360"/>
      </w:pPr>
      <w:rPr>
        <w:rFonts w:ascii="Verdana" w:eastAsiaTheme="minorHAnsi" w:hAnsi="Verdana"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7FF2699"/>
    <w:multiLevelType w:val="hybridMultilevel"/>
    <w:tmpl w:val="F0244FBA"/>
    <w:lvl w:ilvl="0" w:tplc="040C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BB02E3C"/>
    <w:multiLevelType w:val="hybridMultilevel"/>
    <w:tmpl w:val="529A6248"/>
    <w:lvl w:ilvl="0" w:tplc="A8F2D19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47898887">
    <w:abstractNumId w:val="5"/>
  </w:num>
  <w:num w:numId="2" w16cid:durableId="757559289">
    <w:abstractNumId w:val="13"/>
  </w:num>
  <w:num w:numId="3" w16cid:durableId="1152218489">
    <w:abstractNumId w:val="3"/>
  </w:num>
  <w:num w:numId="4" w16cid:durableId="936863223">
    <w:abstractNumId w:val="0"/>
  </w:num>
  <w:num w:numId="5" w16cid:durableId="1736774521">
    <w:abstractNumId w:val="12"/>
  </w:num>
  <w:num w:numId="6" w16cid:durableId="1541552060">
    <w:abstractNumId w:val="4"/>
  </w:num>
  <w:num w:numId="7" w16cid:durableId="57897561">
    <w:abstractNumId w:val="6"/>
  </w:num>
  <w:num w:numId="8" w16cid:durableId="2023630452">
    <w:abstractNumId w:val="3"/>
    <w:lvlOverride w:ilvl="0">
      <w:startOverride w:val="1"/>
    </w:lvlOverride>
  </w:num>
  <w:num w:numId="9" w16cid:durableId="1533229171">
    <w:abstractNumId w:val="2"/>
  </w:num>
  <w:num w:numId="10" w16cid:durableId="1925912983">
    <w:abstractNumId w:val="8"/>
  </w:num>
  <w:num w:numId="11" w16cid:durableId="733741889">
    <w:abstractNumId w:val="11"/>
  </w:num>
  <w:num w:numId="12" w16cid:durableId="1599176692">
    <w:abstractNumId w:val="1"/>
  </w:num>
  <w:num w:numId="13" w16cid:durableId="308679578">
    <w:abstractNumId w:val="7"/>
  </w:num>
  <w:num w:numId="14" w16cid:durableId="1630161025">
    <w:abstractNumId w:val="3"/>
  </w:num>
  <w:num w:numId="15" w16cid:durableId="225720935">
    <w:abstractNumId w:val="3"/>
  </w:num>
  <w:num w:numId="16" w16cid:durableId="213079325">
    <w:abstractNumId w:val="3"/>
  </w:num>
  <w:num w:numId="17" w16cid:durableId="1064374552">
    <w:abstractNumId w:val="3"/>
  </w:num>
  <w:num w:numId="18" w16cid:durableId="1356728711">
    <w:abstractNumId w:val="9"/>
  </w:num>
  <w:num w:numId="19" w16cid:durableId="1895433528">
    <w:abstractNumId w:val="10"/>
  </w:num>
  <w:num w:numId="20" w16cid:durableId="1942840040">
    <w:abstractNumId w:val="3"/>
  </w:num>
  <w:num w:numId="21" w16cid:durableId="15084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683"/>
    <w:rsid w:val="00013A5F"/>
    <w:rsid w:val="00033C34"/>
    <w:rsid w:val="00034FDA"/>
    <w:rsid w:val="000373B2"/>
    <w:rsid w:val="00042CF5"/>
    <w:rsid w:val="00060CA0"/>
    <w:rsid w:val="00063A26"/>
    <w:rsid w:val="0006666B"/>
    <w:rsid w:val="0007099B"/>
    <w:rsid w:val="0008468B"/>
    <w:rsid w:val="000A468A"/>
    <w:rsid w:val="000A4FF4"/>
    <w:rsid w:val="000B0FBD"/>
    <w:rsid w:val="000C1CCD"/>
    <w:rsid w:val="000C4071"/>
    <w:rsid w:val="000C526E"/>
    <w:rsid w:val="000E39E5"/>
    <w:rsid w:val="000F4728"/>
    <w:rsid w:val="000F651C"/>
    <w:rsid w:val="00107D9D"/>
    <w:rsid w:val="00134490"/>
    <w:rsid w:val="001369EA"/>
    <w:rsid w:val="00142693"/>
    <w:rsid w:val="00152F2B"/>
    <w:rsid w:val="0018252D"/>
    <w:rsid w:val="001A56F1"/>
    <w:rsid w:val="001B4738"/>
    <w:rsid w:val="001C11B9"/>
    <w:rsid w:val="001C6389"/>
    <w:rsid w:val="001D017E"/>
    <w:rsid w:val="001D2B5F"/>
    <w:rsid w:val="001F4FB5"/>
    <w:rsid w:val="002008A8"/>
    <w:rsid w:val="00216DB3"/>
    <w:rsid w:val="0024338E"/>
    <w:rsid w:val="002524F3"/>
    <w:rsid w:val="00255BAD"/>
    <w:rsid w:val="002640B0"/>
    <w:rsid w:val="00266C27"/>
    <w:rsid w:val="002824B9"/>
    <w:rsid w:val="002878AE"/>
    <w:rsid w:val="002A0933"/>
    <w:rsid w:val="002A096E"/>
    <w:rsid w:val="002C56ED"/>
    <w:rsid w:val="002D5025"/>
    <w:rsid w:val="002E61F8"/>
    <w:rsid w:val="002F5C93"/>
    <w:rsid w:val="003011AE"/>
    <w:rsid w:val="00334176"/>
    <w:rsid w:val="0034491B"/>
    <w:rsid w:val="003455EB"/>
    <w:rsid w:val="00353B7C"/>
    <w:rsid w:val="00360166"/>
    <w:rsid w:val="003604B9"/>
    <w:rsid w:val="00365487"/>
    <w:rsid w:val="003772FB"/>
    <w:rsid w:val="00391152"/>
    <w:rsid w:val="00396B8F"/>
    <w:rsid w:val="003C2538"/>
    <w:rsid w:val="003C62E1"/>
    <w:rsid w:val="003D485F"/>
    <w:rsid w:val="003D5328"/>
    <w:rsid w:val="003E71DE"/>
    <w:rsid w:val="0041278C"/>
    <w:rsid w:val="00417683"/>
    <w:rsid w:val="00426673"/>
    <w:rsid w:val="00427B11"/>
    <w:rsid w:val="00433ED8"/>
    <w:rsid w:val="00442BE3"/>
    <w:rsid w:val="00451B70"/>
    <w:rsid w:val="004526CE"/>
    <w:rsid w:val="004607F7"/>
    <w:rsid w:val="00473E4A"/>
    <w:rsid w:val="004B31F7"/>
    <w:rsid w:val="004E6E02"/>
    <w:rsid w:val="004F0D3F"/>
    <w:rsid w:val="004F5C4B"/>
    <w:rsid w:val="00501B9F"/>
    <w:rsid w:val="005321DD"/>
    <w:rsid w:val="0053773D"/>
    <w:rsid w:val="00547720"/>
    <w:rsid w:val="00566137"/>
    <w:rsid w:val="00583376"/>
    <w:rsid w:val="005936F7"/>
    <w:rsid w:val="005A1D39"/>
    <w:rsid w:val="005D7765"/>
    <w:rsid w:val="00620B90"/>
    <w:rsid w:val="006356AF"/>
    <w:rsid w:val="006548BF"/>
    <w:rsid w:val="00660504"/>
    <w:rsid w:val="00671A32"/>
    <w:rsid w:val="00672C60"/>
    <w:rsid w:val="00673F30"/>
    <w:rsid w:val="00684122"/>
    <w:rsid w:val="006A6833"/>
    <w:rsid w:val="006C6657"/>
    <w:rsid w:val="006E2D9E"/>
    <w:rsid w:val="007058AE"/>
    <w:rsid w:val="0072596F"/>
    <w:rsid w:val="00757BB5"/>
    <w:rsid w:val="00762FE8"/>
    <w:rsid w:val="00776540"/>
    <w:rsid w:val="00791EAB"/>
    <w:rsid w:val="007A47F0"/>
    <w:rsid w:val="007B245C"/>
    <w:rsid w:val="007B5E14"/>
    <w:rsid w:val="007C78FC"/>
    <w:rsid w:val="007D63B4"/>
    <w:rsid w:val="007D7C0D"/>
    <w:rsid w:val="007F3FF5"/>
    <w:rsid w:val="00803B75"/>
    <w:rsid w:val="00804C7F"/>
    <w:rsid w:val="00816DAC"/>
    <w:rsid w:val="0083290E"/>
    <w:rsid w:val="00834BD3"/>
    <w:rsid w:val="00835905"/>
    <w:rsid w:val="008400C5"/>
    <w:rsid w:val="00843555"/>
    <w:rsid w:val="00843FF2"/>
    <w:rsid w:val="008453AB"/>
    <w:rsid w:val="00854EEA"/>
    <w:rsid w:val="008551DA"/>
    <w:rsid w:val="00857C1C"/>
    <w:rsid w:val="00870AC9"/>
    <w:rsid w:val="008A00AB"/>
    <w:rsid w:val="008A221A"/>
    <w:rsid w:val="008B30EB"/>
    <w:rsid w:val="008B7E88"/>
    <w:rsid w:val="008C5162"/>
    <w:rsid w:val="008D1089"/>
    <w:rsid w:val="008D193F"/>
    <w:rsid w:val="008D7269"/>
    <w:rsid w:val="008E6668"/>
    <w:rsid w:val="008F173C"/>
    <w:rsid w:val="00903A3D"/>
    <w:rsid w:val="00927C5F"/>
    <w:rsid w:val="0093527E"/>
    <w:rsid w:val="0094327C"/>
    <w:rsid w:val="009449F4"/>
    <w:rsid w:val="00946CA2"/>
    <w:rsid w:val="00955BB3"/>
    <w:rsid w:val="00967B07"/>
    <w:rsid w:val="00997E83"/>
    <w:rsid w:val="009A38AD"/>
    <w:rsid w:val="009B1496"/>
    <w:rsid w:val="009D356E"/>
    <w:rsid w:val="009F6233"/>
    <w:rsid w:val="00A12D55"/>
    <w:rsid w:val="00A148A1"/>
    <w:rsid w:val="00A36C09"/>
    <w:rsid w:val="00A37C9F"/>
    <w:rsid w:val="00A42666"/>
    <w:rsid w:val="00A50C1C"/>
    <w:rsid w:val="00A53AE7"/>
    <w:rsid w:val="00A56713"/>
    <w:rsid w:val="00A6472D"/>
    <w:rsid w:val="00A65C91"/>
    <w:rsid w:val="00A66D4F"/>
    <w:rsid w:val="00A70123"/>
    <w:rsid w:val="00A738DF"/>
    <w:rsid w:val="00A76B07"/>
    <w:rsid w:val="00A81B98"/>
    <w:rsid w:val="00A86705"/>
    <w:rsid w:val="00A86C0D"/>
    <w:rsid w:val="00A87F04"/>
    <w:rsid w:val="00A90305"/>
    <w:rsid w:val="00AA41AE"/>
    <w:rsid w:val="00AA63A3"/>
    <w:rsid w:val="00AB5EB7"/>
    <w:rsid w:val="00AD4D97"/>
    <w:rsid w:val="00AE2453"/>
    <w:rsid w:val="00B05DFC"/>
    <w:rsid w:val="00B24EB4"/>
    <w:rsid w:val="00B27D99"/>
    <w:rsid w:val="00B36EEA"/>
    <w:rsid w:val="00B37D25"/>
    <w:rsid w:val="00B65E8D"/>
    <w:rsid w:val="00BA3319"/>
    <w:rsid w:val="00BA4B55"/>
    <w:rsid w:val="00BB20F0"/>
    <w:rsid w:val="00BE342D"/>
    <w:rsid w:val="00BE7861"/>
    <w:rsid w:val="00BF17BA"/>
    <w:rsid w:val="00BF7267"/>
    <w:rsid w:val="00C05A22"/>
    <w:rsid w:val="00C12C93"/>
    <w:rsid w:val="00C26AC3"/>
    <w:rsid w:val="00C325F5"/>
    <w:rsid w:val="00C33EB7"/>
    <w:rsid w:val="00C457E8"/>
    <w:rsid w:val="00C46FB7"/>
    <w:rsid w:val="00C53B2A"/>
    <w:rsid w:val="00C609B9"/>
    <w:rsid w:val="00C71CF3"/>
    <w:rsid w:val="00C83F41"/>
    <w:rsid w:val="00C87A1E"/>
    <w:rsid w:val="00C96A36"/>
    <w:rsid w:val="00CA0444"/>
    <w:rsid w:val="00CA165A"/>
    <w:rsid w:val="00CA196D"/>
    <w:rsid w:val="00CA2496"/>
    <w:rsid w:val="00CD3DD4"/>
    <w:rsid w:val="00CD49B8"/>
    <w:rsid w:val="00CE2386"/>
    <w:rsid w:val="00CE59D1"/>
    <w:rsid w:val="00CE626E"/>
    <w:rsid w:val="00CF2DCC"/>
    <w:rsid w:val="00CF3B80"/>
    <w:rsid w:val="00CF66FC"/>
    <w:rsid w:val="00D232E3"/>
    <w:rsid w:val="00D334A6"/>
    <w:rsid w:val="00D435DE"/>
    <w:rsid w:val="00D7662A"/>
    <w:rsid w:val="00D8150E"/>
    <w:rsid w:val="00D92099"/>
    <w:rsid w:val="00D9631F"/>
    <w:rsid w:val="00DA259C"/>
    <w:rsid w:val="00DA34E1"/>
    <w:rsid w:val="00DA3915"/>
    <w:rsid w:val="00DE591D"/>
    <w:rsid w:val="00E02463"/>
    <w:rsid w:val="00E03433"/>
    <w:rsid w:val="00E06B4A"/>
    <w:rsid w:val="00E10B89"/>
    <w:rsid w:val="00E2165D"/>
    <w:rsid w:val="00E27508"/>
    <w:rsid w:val="00E32408"/>
    <w:rsid w:val="00E845D4"/>
    <w:rsid w:val="00E8581B"/>
    <w:rsid w:val="00EC0356"/>
    <w:rsid w:val="00EC22CC"/>
    <w:rsid w:val="00ED0ADD"/>
    <w:rsid w:val="00ED2E2B"/>
    <w:rsid w:val="00ED6B69"/>
    <w:rsid w:val="00EE34F4"/>
    <w:rsid w:val="00EE4AA4"/>
    <w:rsid w:val="00EE69CE"/>
    <w:rsid w:val="00EE75A8"/>
    <w:rsid w:val="00EF22A4"/>
    <w:rsid w:val="00F23DA9"/>
    <w:rsid w:val="00F30744"/>
    <w:rsid w:val="00F47F5A"/>
    <w:rsid w:val="00F54EA0"/>
    <w:rsid w:val="00F62D7E"/>
    <w:rsid w:val="00F6614F"/>
    <w:rsid w:val="00F71F57"/>
    <w:rsid w:val="00F82BA6"/>
    <w:rsid w:val="00F8365F"/>
    <w:rsid w:val="00F96EE9"/>
    <w:rsid w:val="00FA689D"/>
    <w:rsid w:val="00FB4F11"/>
    <w:rsid w:val="00FC08FB"/>
    <w:rsid w:val="00FE285D"/>
    <w:rsid w:val="00FE3522"/>
    <w:rsid w:val="00FF554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0190A"/>
  <w15:chartTrackingRefBased/>
  <w15:docId w15:val="{F5285989-EA03-45CD-A0EC-BAC0915B9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68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17683"/>
    <w:pPr>
      <w:tabs>
        <w:tab w:val="center" w:pos="4536"/>
        <w:tab w:val="right" w:pos="9072"/>
      </w:tabs>
      <w:spacing w:after="0" w:line="240" w:lineRule="auto"/>
    </w:pPr>
  </w:style>
  <w:style w:type="character" w:customStyle="1" w:styleId="En-tteCar">
    <w:name w:val="En-tête Car"/>
    <w:basedOn w:val="Policepardfaut"/>
    <w:link w:val="En-tte"/>
    <w:uiPriority w:val="99"/>
    <w:rsid w:val="00417683"/>
  </w:style>
  <w:style w:type="paragraph" w:styleId="Pieddepage">
    <w:name w:val="footer"/>
    <w:basedOn w:val="Normal"/>
    <w:link w:val="PieddepageCar"/>
    <w:uiPriority w:val="99"/>
    <w:unhideWhenUsed/>
    <w:rsid w:val="004176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7683"/>
  </w:style>
  <w:style w:type="paragraph" w:styleId="Paragraphedeliste">
    <w:name w:val="List Paragraph"/>
    <w:basedOn w:val="Normal"/>
    <w:link w:val="ParagraphedelisteCar"/>
    <w:uiPriority w:val="34"/>
    <w:qFormat/>
    <w:rsid w:val="00417683"/>
    <w:pPr>
      <w:ind w:left="720"/>
      <w:contextualSpacing/>
    </w:pPr>
  </w:style>
  <w:style w:type="table" w:styleId="Grilledutableau">
    <w:name w:val="Table Grid"/>
    <w:basedOn w:val="TableauNormal"/>
    <w:uiPriority w:val="39"/>
    <w:rsid w:val="00C12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1B4738"/>
    <w:rPr>
      <w:sz w:val="16"/>
      <w:szCs w:val="16"/>
    </w:rPr>
  </w:style>
  <w:style w:type="paragraph" w:styleId="Commentaire">
    <w:name w:val="annotation text"/>
    <w:basedOn w:val="Normal"/>
    <w:link w:val="CommentaireCar"/>
    <w:uiPriority w:val="99"/>
    <w:unhideWhenUsed/>
    <w:rsid w:val="001B4738"/>
    <w:pPr>
      <w:spacing w:line="240" w:lineRule="auto"/>
    </w:pPr>
    <w:rPr>
      <w:sz w:val="20"/>
      <w:szCs w:val="20"/>
    </w:rPr>
  </w:style>
  <w:style w:type="character" w:customStyle="1" w:styleId="CommentaireCar">
    <w:name w:val="Commentaire Car"/>
    <w:basedOn w:val="Policepardfaut"/>
    <w:link w:val="Commentaire"/>
    <w:uiPriority w:val="99"/>
    <w:rsid w:val="001B4738"/>
    <w:rPr>
      <w:sz w:val="20"/>
      <w:szCs w:val="20"/>
    </w:rPr>
  </w:style>
  <w:style w:type="paragraph" w:styleId="Objetducommentaire">
    <w:name w:val="annotation subject"/>
    <w:basedOn w:val="Commentaire"/>
    <w:next w:val="Commentaire"/>
    <w:link w:val="ObjetducommentaireCar"/>
    <w:uiPriority w:val="99"/>
    <w:semiHidden/>
    <w:unhideWhenUsed/>
    <w:rsid w:val="001B4738"/>
    <w:rPr>
      <w:b/>
      <w:bCs/>
    </w:rPr>
  </w:style>
  <w:style w:type="character" w:customStyle="1" w:styleId="ObjetducommentaireCar">
    <w:name w:val="Objet du commentaire Car"/>
    <w:basedOn w:val="CommentaireCar"/>
    <w:link w:val="Objetducommentaire"/>
    <w:uiPriority w:val="99"/>
    <w:semiHidden/>
    <w:rsid w:val="001B4738"/>
    <w:rPr>
      <w:b/>
      <w:bCs/>
      <w:sz w:val="20"/>
      <w:szCs w:val="20"/>
    </w:rPr>
  </w:style>
  <w:style w:type="paragraph" w:customStyle="1" w:styleId="Paragraphe">
    <w:name w:val="Paragraphe"/>
    <w:basedOn w:val="Normal"/>
    <w:link w:val="ParagrapheCar"/>
    <w:qFormat/>
    <w:rsid w:val="00CE2386"/>
    <w:pPr>
      <w:jc w:val="both"/>
    </w:pPr>
    <w:rPr>
      <w:rFonts w:ascii="Verdana" w:hAnsi="Verdana" w:cs="Calibri"/>
      <w:sz w:val="20"/>
      <w:szCs w:val="20"/>
    </w:rPr>
  </w:style>
  <w:style w:type="paragraph" w:customStyle="1" w:styleId="Titrepartie">
    <w:name w:val="Titre partie"/>
    <w:basedOn w:val="Paragraphedeliste"/>
    <w:link w:val="TitrepartieCar"/>
    <w:qFormat/>
    <w:rsid w:val="00A70123"/>
    <w:pPr>
      <w:numPr>
        <w:numId w:val="3"/>
      </w:numPr>
      <w:jc w:val="both"/>
    </w:pPr>
    <w:rPr>
      <w:rFonts w:ascii="Verdana" w:hAnsi="Verdana" w:cs="Calibri"/>
      <w:b/>
      <w:bCs/>
      <w:color w:val="0070C0"/>
      <w:szCs w:val="20"/>
    </w:rPr>
  </w:style>
  <w:style w:type="character" w:customStyle="1" w:styleId="ParagrapheCar">
    <w:name w:val="Paragraphe Car"/>
    <w:basedOn w:val="Policepardfaut"/>
    <w:link w:val="Paragraphe"/>
    <w:rsid w:val="00CE2386"/>
    <w:rPr>
      <w:rFonts w:ascii="Verdana" w:hAnsi="Verdana" w:cs="Calibri"/>
      <w:sz w:val="20"/>
      <w:szCs w:val="20"/>
    </w:rPr>
  </w:style>
  <w:style w:type="paragraph" w:customStyle="1" w:styleId="Exergue">
    <w:name w:val="Exergue"/>
    <w:basedOn w:val="Normal"/>
    <w:link w:val="ExergueCar"/>
    <w:qFormat/>
    <w:rsid w:val="00060CA0"/>
    <w:pPr>
      <w:spacing w:after="0" w:line="240" w:lineRule="auto"/>
      <w:jc w:val="both"/>
    </w:pPr>
    <w:rPr>
      <w:rFonts w:ascii="Verdana" w:eastAsia="Times New Roman" w:hAnsi="Verdana" w:cs="Times New Roman"/>
      <w:b/>
      <w:bCs/>
      <w:i/>
      <w:sz w:val="20"/>
      <w:szCs w:val="20"/>
    </w:rPr>
  </w:style>
  <w:style w:type="character" w:customStyle="1" w:styleId="ParagraphedelisteCar">
    <w:name w:val="Paragraphe de liste Car"/>
    <w:basedOn w:val="Policepardfaut"/>
    <w:link w:val="Paragraphedeliste"/>
    <w:uiPriority w:val="34"/>
    <w:rsid w:val="00A70123"/>
  </w:style>
  <w:style w:type="character" w:customStyle="1" w:styleId="TitrepartieCar">
    <w:name w:val="Titre partie Car"/>
    <w:basedOn w:val="ParagraphedelisteCar"/>
    <w:link w:val="Titrepartie"/>
    <w:rsid w:val="00A70123"/>
    <w:rPr>
      <w:rFonts w:ascii="Verdana" w:hAnsi="Verdana" w:cs="Calibri"/>
      <w:b/>
      <w:bCs/>
      <w:color w:val="0070C0"/>
      <w:szCs w:val="20"/>
    </w:rPr>
  </w:style>
  <w:style w:type="paragraph" w:customStyle="1" w:styleId="Sous-partie2">
    <w:name w:val="Sous-partie 2"/>
    <w:basedOn w:val="Paragraphedeliste"/>
    <w:link w:val="Sous-partie2Car"/>
    <w:qFormat/>
    <w:rsid w:val="002C56ED"/>
    <w:pPr>
      <w:numPr>
        <w:ilvl w:val="1"/>
        <w:numId w:val="3"/>
      </w:numPr>
      <w:jc w:val="both"/>
    </w:pPr>
    <w:rPr>
      <w:rFonts w:ascii="Verdana" w:hAnsi="Verdana" w:cs="Calibri"/>
      <w:color w:val="0070C0"/>
      <w:sz w:val="20"/>
      <w:szCs w:val="20"/>
    </w:rPr>
  </w:style>
  <w:style w:type="character" w:customStyle="1" w:styleId="ExergueCar">
    <w:name w:val="Exergue Car"/>
    <w:basedOn w:val="Policepardfaut"/>
    <w:link w:val="Exergue"/>
    <w:rsid w:val="00060CA0"/>
    <w:rPr>
      <w:rFonts w:ascii="Verdana" w:eastAsia="Times New Roman" w:hAnsi="Verdana" w:cs="Times New Roman"/>
      <w:b/>
      <w:bCs/>
      <w:i/>
      <w:sz w:val="20"/>
      <w:szCs w:val="20"/>
    </w:rPr>
  </w:style>
  <w:style w:type="character" w:styleId="Titredulivre">
    <w:name w:val="Book Title"/>
    <w:basedOn w:val="Policepardfaut"/>
    <w:uiPriority w:val="33"/>
    <w:qFormat/>
    <w:rsid w:val="002C56ED"/>
    <w:rPr>
      <w:b/>
      <w:bCs/>
      <w:i/>
      <w:iCs/>
      <w:spacing w:val="5"/>
    </w:rPr>
  </w:style>
  <w:style w:type="character" w:customStyle="1" w:styleId="Sous-partie2Car">
    <w:name w:val="Sous-partie 2 Car"/>
    <w:basedOn w:val="ParagraphedelisteCar"/>
    <w:link w:val="Sous-partie2"/>
    <w:rsid w:val="002C56ED"/>
    <w:rPr>
      <w:rFonts w:ascii="Verdana" w:hAnsi="Verdana" w:cs="Calibri"/>
      <w:color w:val="0070C0"/>
      <w:sz w:val="20"/>
      <w:szCs w:val="20"/>
    </w:rPr>
  </w:style>
  <w:style w:type="character" w:styleId="Rfrenceintense">
    <w:name w:val="Intense Reference"/>
    <w:basedOn w:val="Policepardfaut"/>
    <w:uiPriority w:val="32"/>
    <w:qFormat/>
    <w:rsid w:val="002C56ED"/>
    <w:rPr>
      <w:b/>
      <w:bCs/>
      <w:smallCaps/>
      <w:color w:val="4472C4" w:themeColor="accent1"/>
      <w:spacing w:val="5"/>
    </w:rPr>
  </w:style>
  <w:style w:type="character" w:styleId="Lienhypertexte">
    <w:name w:val="Hyperlink"/>
    <w:basedOn w:val="Policepardfaut"/>
    <w:uiPriority w:val="99"/>
    <w:unhideWhenUsed/>
    <w:rsid w:val="008D1089"/>
    <w:rPr>
      <w:color w:val="0563C1" w:themeColor="hyperlink"/>
      <w:u w:val="single"/>
    </w:rPr>
  </w:style>
  <w:style w:type="paragraph" w:styleId="Notedebasdepage">
    <w:name w:val="footnote text"/>
    <w:basedOn w:val="Normal"/>
    <w:link w:val="NotedebasdepageCar"/>
    <w:uiPriority w:val="99"/>
    <w:semiHidden/>
    <w:unhideWhenUsed/>
    <w:rsid w:val="008D1089"/>
    <w:pPr>
      <w:spacing w:after="0" w:line="240" w:lineRule="auto"/>
    </w:pPr>
    <w:rPr>
      <w:kern w:val="2"/>
      <w:sz w:val="20"/>
      <w:szCs w:val="20"/>
      <w14:ligatures w14:val="standardContextual"/>
    </w:rPr>
  </w:style>
  <w:style w:type="character" w:customStyle="1" w:styleId="NotedebasdepageCar">
    <w:name w:val="Note de bas de page Car"/>
    <w:basedOn w:val="Policepardfaut"/>
    <w:link w:val="Notedebasdepage"/>
    <w:uiPriority w:val="99"/>
    <w:semiHidden/>
    <w:rsid w:val="008D1089"/>
    <w:rPr>
      <w:kern w:val="2"/>
      <w:sz w:val="20"/>
      <w:szCs w:val="20"/>
      <w14:ligatures w14:val="standardContextual"/>
    </w:rPr>
  </w:style>
  <w:style w:type="character" w:styleId="Appelnotedebasdep">
    <w:name w:val="footnote reference"/>
    <w:basedOn w:val="Policepardfaut"/>
    <w:uiPriority w:val="99"/>
    <w:semiHidden/>
    <w:unhideWhenUsed/>
    <w:rsid w:val="008D1089"/>
    <w:rPr>
      <w:vertAlign w:val="superscript"/>
    </w:rPr>
  </w:style>
  <w:style w:type="paragraph" w:styleId="Rvision">
    <w:name w:val="Revision"/>
    <w:hidden/>
    <w:uiPriority w:val="99"/>
    <w:semiHidden/>
    <w:rsid w:val="001C11B9"/>
    <w:pPr>
      <w:spacing w:after="0" w:line="240" w:lineRule="auto"/>
    </w:pPr>
  </w:style>
  <w:style w:type="character" w:styleId="Mentionnonrsolue">
    <w:name w:val="Unresolved Mention"/>
    <w:basedOn w:val="Policepardfaut"/>
    <w:uiPriority w:val="99"/>
    <w:semiHidden/>
    <w:unhideWhenUsed/>
    <w:rsid w:val="007765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1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44625-7BBD-41D5-9DB1-7FF7BAFA6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1037</Words>
  <Characters>5708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MAMINIAINA</dc:creator>
  <cp:keywords/>
  <dc:description/>
  <cp:lastModifiedBy>Gilles RIBOUET</cp:lastModifiedBy>
  <cp:revision>4</cp:revision>
  <dcterms:created xsi:type="dcterms:W3CDTF">2026-08-04T10:08:00Z</dcterms:created>
  <dcterms:modified xsi:type="dcterms:W3CDTF">2026-08-04T10:14:00Z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fa0cbb6f-a7b2-4afd-90fd-6dda83e4e732</vt:lpwstr>
  </property>
</Properties>
</file>