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88B2" w14:textId="1358CC59" w:rsidR="00C12C93" w:rsidRPr="00816DAC" w:rsidRDefault="00C12C93" w:rsidP="00854EEA">
      <w:pPr>
        <w:jc w:val="center"/>
        <w:rPr>
          <w:rFonts w:ascii="Verdana" w:hAnsi="Verdana"/>
          <w:b/>
          <w:bCs/>
          <w:sz w:val="2"/>
          <w:szCs w:val="2"/>
        </w:rPr>
      </w:pPr>
    </w:p>
    <w:tbl>
      <w:tblPr>
        <w:tblStyle w:val="TableGrid"/>
        <w:tblW w:w="0" w:type="auto"/>
        <w:tblLook w:val="04A0" w:firstRow="1" w:lastRow="0" w:firstColumn="1" w:lastColumn="0" w:noHBand="0" w:noVBand="1"/>
      </w:tblPr>
      <w:tblGrid>
        <w:gridCol w:w="7225"/>
        <w:gridCol w:w="1837"/>
      </w:tblGrid>
      <w:tr w:rsidR="00EC22CC" w14:paraId="51109D41" w14:textId="77777777">
        <w:tc>
          <w:tcPr>
            <w:tcW w:w="9062" w:type="dxa"/>
            <w:gridSpan w:val="2"/>
          </w:tcPr>
          <w:p w14:paraId="6FC76F95" w14:textId="43FBCB0C" w:rsidR="00EC22CC" w:rsidRDefault="00995229" w:rsidP="00854EEA">
            <w:pPr>
              <w:jc w:val="center"/>
              <w:rPr>
                <w:rFonts w:ascii="Verdana" w:hAnsi="Verdana"/>
                <w:b/>
                <w:bCs/>
                <w:sz w:val="20"/>
                <w:szCs w:val="20"/>
              </w:rPr>
            </w:pPr>
            <w:r>
              <w:rPr>
                <w:rFonts w:ascii="Verdana" w:hAnsi="Verdana"/>
                <w:b/>
                <w:bCs/>
              </w:rPr>
              <w:t>Partenariat</w:t>
            </w:r>
            <w:r w:rsidR="00BA7570">
              <w:rPr>
                <w:rFonts w:ascii="Verdana" w:hAnsi="Verdana"/>
                <w:b/>
                <w:bCs/>
              </w:rPr>
              <w:t>s</w:t>
            </w:r>
          </w:p>
        </w:tc>
      </w:tr>
      <w:tr w:rsidR="00995229" w14:paraId="7F1B63D2" w14:textId="77777777" w:rsidTr="002A0933">
        <w:tc>
          <w:tcPr>
            <w:tcW w:w="7225" w:type="dxa"/>
          </w:tcPr>
          <w:p w14:paraId="056D9B10" w14:textId="4D90D050" w:rsidR="00995229" w:rsidRPr="002A096E" w:rsidRDefault="00995229" w:rsidP="00995229">
            <w:pPr>
              <w:rPr>
                <w:rFonts w:ascii="Verdana" w:hAnsi="Verdana"/>
                <w:sz w:val="20"/>
                <w:szCs w:val="20"/>
              </w:rPr>
            </w:pPr>
            <w:r>
              <w:rPr>
                <w:rFonts w:ascii="Verdana" w:hAnsi="Verdana"/>
                <w:sz w:val="20"/>
                <w:szCs w:val="20"/>
              </w:rPr>
              <w:t>Comité des OPL 0</w:t>
            </w:r>
            <w:r w:rsidR="00EB24EA">
              <w:rPr>
                <w:rFonts w:ascii="Verdana" w:hAnsi="Verdana"/>
                <w:sz w:val="20"/>
                <w:szCs w:val="20"/>
              </w:rPr>
              <w:t>3</w:t>
            </w:r>
            <w:r>
              <w:rPr>
                <w:rFonts w:ascii="Verdana" w:hAnsi="Verdana"/>
                <w:sz w:val="20"/>
                <w:szCs w:val="20"/>
              </w:rPr>
              <w:t>/202</w:t>
            </w:r>
            <w:r w:rsidR="001A78FF">
              <w:rPr>
                <w:rFonts w:ascii="Verdana" w:hAnsi="Verdana"/>
                <w:sz w:val="20"/>
                <w:szCs w:val="20"/>
              </w:rPr>
              <w:t>6</w:t>
            </w:r>
            <w:r>
              <w:rPr>
                <w:rFonts w:ascii="Verdana" w:hAnsi="Verdana"/>
                <w:sz w:val="20"/>
                <w:szCs w:val="20"/>
              </w:rPr>
              <w:t xml:space="preserve">, </w:t>
            </w:r>
            <w:r w:rsidR="00EB24EA">
              <w:rPr>
                <w:rFonts w:ascii="Verdana" w:hAnsi="Verdana"/>
                <w:sz w:val="20"/>
                <w:szCs w:val="20"/>
              </w:rPr>
              <w:t>03 septembre</w:t>
            </w:r>
            <w:r w:rsidR="00BE114F">
              <w:rPr>
                <w:rFonts w:ascii="Verdana" w:hAnsi="Verdana"/>
                <w:sz w:val="20"/>
                <w:szCs w:val="20"/>
              </w:rPr>
              <w:t xml:space="preserve"> 2026</w:t>
            </w:r>
            <w:r w:rsidR="000F443B">
              <w:rPr>
                <w:rFonts w:ascii="Verdana" w:hAnsi="Verdana"/>
                <w:sz w:val="20"/>
                <w:szCs w:val="20"/>
              </w:rPr>
              <w:t xml:space="preserve">, </w:t>
            </w:r>
            <w:r>
              <w:rPr>
                <w:rFonts w:ascii="Verdana" w:hAnsi="Verdana"/>
                <w:sz w:val="20"/>
                <w:szCs w:val="20"/>
              </w:rPr>
              <w:t xml:space="preserve">Maurice </w:t>
            </w:r>
            <w:r w:rsidR="001A78FF" w:rsidRPr="00D70A41">
              <w:rPr>
                <w:rFonts w:ascii="Verdana" w:hAnsi="Verdana"/>
                <w:sz w:val="20"/>
                <w:szCs w:val="20"/>
              </w:rPr>
              <w:t xml:space="preserve"> </w:t>
            </w:r>
          </w:p>
        </w:tc>
        <w:tc>
          <w:tcPr>
            <w:tcW w:w="1837" w:type="dxa"/>
          </w:tcPr>
          <w:p w14:paraId="58E25D1F" w14:textId="68F5093A" w:rsidR="00995229" w:rsidRPr="002A0933" w:rsidRDefault="00EB24EA" w:rsidP="00995229">
            <w:pPr>
              <w:jc w:val="center"/>
              <w:rPr>
                <w:rFonts w:ascii="Verdana" w:hAnsi="Verdana"/>
                <w:sz w:val="20"/>
                <w:szCs w:val="20"/>
              </w:rPr>
            </w:pPr>
            <w:r>
              <w:rPr>
                <w:rFonts w:ascii="Verdana" w:hAnsi="Verdana"/>
                <w:sz w:val="20"/>
                <w:szCs w:val="20"/>
              </w:rPr>
              <w:t>2.2.</w:t>
            </w:r>
          </w:p>
        </w:tc>
      </w:tr>
      <w:tr w:rsidR="00995229" w14:paraId="537D1DE5" w14:textId="77777777" w:rsidTr="002A0933">
        <w:tc>
          <w:tcPr>
            <w:tcW w:w="7225" w:type="dxa"/>
          </w:tcPr>
          <w:p w14:paraId="43DEF09E" w14:textId="758B4BA5" w:rsidR="00995229" w:rsidRPr="00A37C9F" w:rsidRDefault="00995229" w:rsidP="00995229">
            <w:pPr>
              <w:rPr>
                <w:rFonts w:ascii="Verdana" w:hAnsi="Verdana"/>
                <w:sz w:val="20"/>
                <w:szCs w:val="20"/>
              </w:rPr>
            </w:pPr>
            <w:r w:rsidRPr="00A148A1">
              <w:rPr>
                <w:rFonts w:ascii="Verdana" w:hAnsi="Verdana"/>
                <w:i/>
                <w:iCs/>
                <w:sz w:val="20"/>
                <w:szCs w:val="20"/>
              </w:rPr>
              <w:t>Dossier suivi par :</w:t>
            </w:r>
            <w:r w:rsidRPr="00A37C9F">
              <w:rPr>
                <w:rFonts w:ascii="Verdana" w:hAnsi="Verdana"/>
                <w:sz w:val="20"/>
                <w:szCs w:val="20"/>
              </w:rPr>
              <w:t xml:space="preserve"> </w:t>
            </w:r>
            <w:r w:rsidRPr="00A27A88">
              <w:rPr>
                <w:rFonts w:ascii="Verdana" w:hAnsi="Verdana"/>
                <w:sz w:val="20"/>
                <w:szCs w:val="20"/>
              </w:rPr>
              <w:t>Gina BONNE, directrice par intérim</w:t>
            </w:r>
            <w:r w:rsidR="000F443B" w:rsidRPr="00A27A88">
              <w:rPr>
                <w:rFonts w:ascii="Verdana" w:hAnsi="Verdana"/>
                <w:sz w:val="20"/>
                <w:szCs w:val="20"/>
              </w:rPr>
              <w:t xml:space="preserve"> – Raj Mohabeer, </w:t>
            </w:r>
            <w:r w:rsidR="0060348C" w:rsidRPr="00F35CF5">
              <w:rPr>
                <w:rFonts w:ascii="Verdana" w:hAnsi="Verdana"/>
                <w:sz w:val="20"/>
                <w:szCs w:val="20"/>
              </w:rPr>
              <w:t xml:space="preserve">Anfani Msoili, Juliette Janin, </w:t>
            </w:r>
            <w:r w:rsidR="004138E3" w:rsidRPr="00F35CF5">
              <w:rPr>
                <w:rFonts w:ascii="Verdana" w:hAnsi="Verdana"/>
                <w:sz w:val="20"/>
                <w:szCs w:val="20"/>
              </w:rPr>
              <w:t>Marc Maminiaina, chargés de mission</w:t>
            </w:r>
          </w:p>
        </w:tc>
        <w:tc>
          <w:tcPr>
            <w:tcW w:w="1837" w:type="dxa"/>
          </w:tcPr>
          <w:p w14:paraId="5AC1AFAB" w14:textId="3B90A041" w:rsidR="00995229" w:rsidRPr="002A0933" w:rsidRDefault="00995229" w:rsidP="00995229">
            <w:pPr>
              <w:jc w:val="center"/>
              <w:rPr>
                <w:rFonts w:ascii="Verdana" w:hAnsi="Verdana"/>
                <w:sz w:val="20"/>
                <w:szCs w:val="20"/>
              </w:rPr>
            </w:pPr>
            <w:r w:rsidRPr="006B416E">
              <w:rPr>
                <w:rFonts w:ascii="Verdana" w:hAnsi="Verdana"/>
                <w:sz w:val="20"/>
                <w:szCs w:val="20"/>
              </w:rPr>
              <w:t>Décision</w:t>
            </w:r>
            <w:r w:rsidRPr="004607F7">
              <w:rPr>
                <w:rFonts w:ascii="Verdana" w:hAnsi="Verdana"/>
                <w:sz w:val="20"/>
                <w:szCs w:val="20"/>
                <w:highlight w:val="yellow"/>
              </w:rPr>
              <w:t xml:space="preserve"> </w:t>
            </w:r>
          </w:p>
        </w:tc>
      </w:tr>
      <w:tr w:rsidR="00995229" w14:paraId="6896DB30" w14:textId="77777777">
        <w:tc>
          <w:tcPr>
            <w:tcW w:w="9062" w:type="dxa"/>
            <w:gridSpan w:val="2"/>
          </w:tcPr>
          <w:p w14:paraId="0495241B" w14:textId="48824272" w:rsidR="00995229" w:rsidRDefault="00995229" w:rsidP="00995229">
            <w:pPr>
              <w:rPr>
                <w:rFonts w:ascii="Verdana" w:hAnsi="Verdana"/>
                <w:sz w:val="20"/>
                <w:szCs w:val="20"/>
              </w:rPr>
            </w:pPr>
            <w:r>
              <w:rPr>
                <w:rFonts w:ascii="Verdana" w:hAnsi="Verdana"/>
                <w:i/>
                <w:iCs/>
                <w:sz w:val="20"/>
                <w:szCs w:val="20"/>
              </w:rPr>
              <w:t xml:space="preserve">Version du </w:t>
            </w:r>
            <w:r w:rsidR="00BE114F">
              <w:rPr>
                <w:rFonts w:ascii="Verdana" w:hAnsi="Verdana"/>
                <w:i/>
                <w:iCs/>
                <w:sz w:val="20"/>
                <w:szCs w:val="20"/>
              </w:rPr>
              <w:t>29/07/</w:t>
            </w:r>
            <w:r w:rsidR="001A78FF">
              <w:rPr>
                <w:rFonts w:ascii="Verdana" w:hAnsi="Verdana"/>
                <w:i/>
                <w:iCs/>
                <w:sz w:val="20"/>
                <w:szCs w:val="20"/>
              </w:rPr>
              <w:t>2026</w:t>
            </w:r>
          </w:p>
        </w:tc>
      </w:tr>
    </w:tbl>
    <w:p w14:paraId="1611BCC4" w14:textId="77777777" w:rsidR="00854EEA" w:rsidRDefault="00854EEA" w:rsidP="00816DAC">
      <w:pPr>
        <w:pStyle w:val="Paragraphe"/>
      </w:pPr>
      <w:bookmarkStart w:id="0" w:name="_Hlk24535240"/>
    </w:p>
    <w:p w14:paraId="678F0DFC" w14:textId="3923B394" w:rsidR="00854EEA" w:rsidRPr="0008468B" w:rsidRDefault="00955BB3" w:rsidP="00A70123">
      <w:pPr>
        <w:pStyle w:val="Titrepartie"/>
      </w:pPr>
      <w:r w:rsidRPr="0008468B">
        <w:t>Résumé</w:t>
      </w:r>
    </w:p>
    <w:p w14:paraId="64952049" w14:textId="77777777" w:rsidR="007906DA" w:rsidRPr="000F6772" w:rsidRDefault="00761EF3" w:rsidP="3C73634C">
      <w:pPr>
        <w:spacing w:line="257" w:lineRule="auto"/>
        <w:jc w:val="both"/>
        <w:rPr>
          <w:rFonts w:ascii="Verdana" w:eastAsia="Verdana" w:hAnsi="Verdana" w:cs="Verdana"/>
          <w:sz w:val="20"/>
          <w:szCs w:val="20"/>
          <w:lang w:val="fr"/>
        </w:rPr>
      </w:pPr>
      <w:r w:rsidRPr="000F6772">
        <w:rPr>
          <w:rFonts w:ascii="Verdana" w:eastAsia="Verdana" w:hAnsi="Verdana" w:cs="Verdana"/>
          <w:sz w:val="20"/>
          <w:szCs w:val="20"/>
          <w:lang w:val="fr"/>
        </w:rPr>
        <w:t>Poursuivant la mise en œuvre de l’axe 4 du Plan de développement stratégique</w:t>
      </w:r>
      <w:r w:rsidR="00AE6404" w:rsidRPr="000F6772">
        <w:rPr>
          <w:rFonts w:ascii="Verdana" w:eastAsia="Verdana" w:hAnsi="Verdana" w:cs="Verdana"/>
          <w:sz w:val="20"/>
          <w:szCs w:val="20"/>
          <w:lang w:val="fr"/>
        </w:rPr>
        <w:t>, notamment l’objectif spécifique 8</w:t>
      </w:r>
      <w:r w:rsidR="009A2FDA" w:rsidRPr="000F6772">
        <w:rPr>
          <w:rFonts w:ascii="Verdana" w:eastAsia="Verdana" w:hAnsi="Verdana" w:cs="Verdana"/>
          <w:sz w:val="20"/>
          <w:szCs w:val="20"/>
          <w:lang w:val="fr"/>
        </w:rPr>
        <w:t xml:space="preserve"> visant à « consolider et diversifier les partenariats », le Secrétariat général </w:t>
      </w:r>
      <w:r w:rsidR="00B401B2" w:rsidRPr="000F6772">
        <w:rPr>
          <w:rFonts w:ascii="Verdana" w:eastAsia="Verdana" w:hAnsi="Verdana" w:cs="Verdana"/>
          <w:sz w:val="20"/>
          <w:szCs w:val="20"/>
          <w:lang w:val="fr"/>
        </w:rPr>
        <w:t>soumet à l’attention du Comité des OPL un ensemble de protocoles d’accord et opportunités de collaborations pour adoption ou orientation</w:t>
      </w:r>
      <w:r w:rsidR="007906DA" w:rsidRPr="000F6772">
        <w:rPr>
          <w:rFonts w:ascii="Verdana" w:eastAsia="Verdana" w:hAnsi="Verdana" w:cs="Verdana"/>
          <w:sz w:val="20"/>
          <w:szCs w:val="20"/>
          <w:lang w:val="fr"/>
        </w:rPr>
        <w:t xml:space="preserve">, à savoir : </w:t>
      </w:r>
    </w:p>
    <w:p w14:paraId="7D5E2310" w14:textId="00E67144" w:rsidR="5F6D9979" w:rsidRPr="000F6772" w:rsidRDefault="007906DA" w:rsidP="007906DA">
      <w:pPr>
        <w:pStyle w:val="ListParagraph"/>
        <w:numPr>
          <w:ilvl w:val="0"/>
          <w:numId w:val="27"/>
        </w:numPr>
        <w:spacing w:line="257" w:lineRule="auto"/>
        <w:jc w:val="both"/>
        <w:rPr>
          <w:rFonts w:ascii="Verdana" w:eastAsia="Verdana" w:hAnsi="Verdana" w:cs="Verdana"/>
          <w:sz w:val="20"/>
          <w:szCs w:val="20"/>
          <w:lang w:val="fr"/>
        </w:rPr>
      </w:pPr>
      <w:r w:rsidRPr="000F6772">
        <w:rPr>
          <w:rFonts w:ascii="Verdana" w:eastAsia="Verdana" w:hAnsi="Verdana" w:cs="Verdana"/>
          <w:sz w:val="20"/>
          <w:szCs w:val="20"/>
          <w:lang w:val="fr"/>
        </w:rPr>
        <w:t xml:space="preserve">Formalisation mécanisme de dialogue renforcé avec l’Union européenne, plus particulièrement dans la perspective de la </w:t>
      </w:r>
      <w:r w:rsidR="003356A8" w:rsidRPr="000F6772">
        <w:rPr>
          <w:rFonts w:ascii="Verdana" w:eastAsia="Verdana" w:hAnsi="Verdana" w:cs="Verdana"/>
          <w:sz w:val="20"/>
          <w:szCs w:val="20"/>
          <w:lang w:val="fr"/>
        </w:rPr>
        <w:t>nouvelle programmation</w:t>
      </w:r>
      <w:r w:rsidR="00DB4CEC" w:rsidRPr="000F6772">
        <w:rPr>
          <w:rFonts w:ascii="Verdana" w:eastAsia="Verdana" w:hAnsi="Verdana" w:cs="Verdana"/>
          <w:sz w:val="20"/>
          <w:szCs w:val="20"/>
          <w:lang w:val="fr"/>
        </w:rPr>
        <w:t xml:space="preserve"> des financements d’action extérieure de l’UE </w:t>
      </w:r>
      <w:r w:rsidR="00CD6686" w:rsidRPr="000F6772">
        <w:rPr>
          <w:rFonts w:ascii="Verdana" w:eastAsia="Verdana" w:hAnsi="Verdana" w:cs="Verdana"/>
          <w:sz w:val="20"/>
          <w:szCs w:val="20"/>
          <w:lang w:val="fr"/>
        </w:rPr>
        <w:t>sous un unique pilier « Europe globale » pour la période</w:t>
      </w:r>
      <w:r w:rsidRPr="000F6772">
        <w:rPr>
          <w:rFonts w:ascii="Verdana" w:eastAsia="Verdana" w:hAnsi="Verdana" w:cs="Verdana"/>
          <w:sz w:val="20"/>
          <w:szCs w:val="20"/>
          <w:lang w:val="fr"/>
        </w:rPr>
        <w:t xml:space="preserve"> 2028-203</w:t>
      </w:r>
      <w:r w:rsidR="00CD6686" w:rsidRPr="000F6772">
        <w:rPr>
          <w:rFonts w:ascii="Verdana" w:eastAsia="Verdana" w:hAnsi="Verdana" w:cs="Verdana"/>
          <w:sz w:val="20"/>
          <w:szCs w:val="20"/>
          <w:lang w:val="fr"/>
        </w:rPr>
        <w:t xml:space="preserve">4 ; </w:t>
      </w:r>
    </w:p>
    <w:p w14:paraId="0C70E720" w14:textId="3DA1E4E9" w:rsidR="00990856" w:rsidRPr="000F6772" w:rsidRDefault="00CD6686" w:rsidP="00990856">
      <w:pPr>
        <w:pStyle w:val="ListParagraph"/>
        <w:numPr>
          <w:ilvl w:val="0"/>
          <w:numId w:val="27"/>
        </w:numPr>
        <w:spacing w:line="257" w:lineRule="auto"/>
        <w:jc w:val="both"/>
        <w:rPr>
          <w:rFonts w:ascii="Verdana" w:eastAsia="Verdana" w:hAnsi="Verdana" w:cs="Verdana"/>
          <w:sz w:val="20"/>
          <w:szCs w:val="20"/>
          <w:lang w:val="fr"/>
        </w:rPr>
      </w:pPr>
      <w:r w:rsidRPr="000F6772">
        <w:rPr>
          <w:rFonts w:ascii="Verdana" w:eastAsia="Verdana" w:hAnsi="Verdana" w:cs="Verdana"/>
          <w:sz w:val="20"/>
          <w:szCs w:val="20"/>
          <w:lang w:val="fr"/>
        </w:rPr>
        <w:t xml:space="preserve">Formalisation </w:t>
      </w:r>
      <w:r w:rsidR="00990856" w:rsidRPr="000F6772">
        <w:rPr>
          <w:rFonts w:ascii="Verdana" w:eastAsia="Verdana" w:hAnsi="Verdana" w:cs="Verdana"/>
          <w:sz w:val="20"/>
          <w:szCs w:val="20"/>
          <w:lang w:val="fr"/>
        </w:rPr>
        <w:t xml:space="preserve">des partenariats avec la Corée du Sud, </w:t>
      </w:r>
      <w:r w:rsidR="00BA7570">
        <w:rPr>
          <w:rFonts w:ascii="Verdana" w:eastAsia="Verdana" w:hAnsi="Verdana" w:cs="Verdana"/>
          <w:sz w:val="20"/>
          <w:szCs w:val="20"/>
          <w:lang w:val="fr"/>
        </w:rPr>
        <w:t xml:space="preserve">l’AP-COI, </w:t>
      </w:r>
      <w:r w:rsidR="00990856" w:rsidRPr="000F6772">
        <w:rPr>
          <w:rFonts w:ascii="Verdana" w:eastAsia="Verdana" w:hAnsi="Verdana" w:cs="Verdana"/>
          <w:sz w:val="20"/>
          <w:szCs w:val="20"/>
          <w:lang w:val="fr"/>
        </w:rPr>
        <w:t xml:space="preserve">ONU-Habitat, la SADC, </w:t>
      </w:r>
      <w:r w:rsidR="00CE1A4B" w:rsidRPr="000F6772">
        <w:rPr>
          <w:rFonts w:ascii="Verdana" w:eastAsia="Verdana" w:hAnsi="Verdana" w:cs="Verdana"/>
          <w:sz w:val="20"/>
          <w:szCs w:val="20"/>
          <w:lang w:val="fr"/>
        </w:rPr>
        <w:t>le Fonds de l’OPEP pour le développement et TetraTEC (opérateur de l’Agence australienne pour le développement)</w:t>
      </w:r>
    </w:p>
    <w:p w14:paraId="607BC4D7" w14:textId="2E2630E1" w:rsidR="00CE1A4B" w:rsidRPr="000F6772" w:rsidRDefault="00CE1A4B" w:rsidP="00990856">
      <w:pPr>
        <w:pStyle w:val="ListParagraph"/>
        <w:numPr>
          <w:ilvl w:val="0"/>
          <w:numId w:val="27"/>
        </w:numPr>
        <w:spacing w:line="257" w:lineRule="auto"/>
        <w:jc w:val="both"/>
        <w:rPr>
          <w:rFonts w:ascii="Verdana" w:eastAsia="Verdana" w:hAnsi="Verdana" w:cs="Verdana"/>
          <w:sz w:val="20"/>
          <w:szCs w:val="20"/>
          <w:lang w:val="fr"/>
        </w:rPr>
      </w:pPr>
      <w:r w:rsidRPr="000F6772">
        <w:rPr>
          <w:rFonts w:ascii="Verdana" w:eastAsia="Verdana" w:hAnsi="Verdana" w:cs="Verdana"/>
          <w:sz w:val="20"/>
          <w:szCs w:val="20"/>
          <w:lang w:val="fr"/>
        </w:rPr>
        <w:t>Le renouvellement des accords avec l’IRD</w:t>
      </w:r>
      <w:r w:rsidR="00BA7570">
        <w:rPr>
          <w:rFonts w:ascii="Verdana" w:eastAsia="Verdana" w:hAnsi="Verdana" w:cs="Verdana"/>
          <w:sz w:val="20"/>
          <w:szCs w:val="20"/>
          <w:lang w:val="fr"/>
        </w:rPr>
        <w:t>, la PIROI</w:t>
      </w:r>
      <w:r w:rsidRPr="000F6772">
        <w:rPr>
          <w:rFonts w:ascii="Verdana" w:eastAsia="Verdana" w:hAnsi="Verdana" w:cs="Verdana"/>
          <w:sz w:val="20"/>
          <w:szCs w:val="20"/>
          <w:lang w:val="fr"/>
        </w:rPr>
        <w:t xml:space="preserve"> et le CIRAD dans le cadre de la PRéRAD</w:t>
      </w:r>
      <w:r w:rsidR="000F6772" w:rsidRPr="000F6772">
        <w:rPr>
          <w:rFonts w:ascii="Verdana" w:eastAsia="Verdana" w:hAnsi="Verdana" w:cs="Verdana"/>
          <w:sz w:val="20"/>
          <w:szCs w:val="20"/>
          <w:lang w:val="fr"/>
        </w:rPr>
        <w:t>.</w:t>
      </w:r>
    </w:p>
    <w:p w14:paraId="1BE39DBE" w14:textId="77777777" w:rsidR="00BE2827" w:rsidRDefault="00BE2827" w:rsidP="00761EF3">
      <w:pPr>
        <w:pStyle w:val="Titrepartie"/>
        <w:numPr>
          <w:ilvl w:val="0"/>
          <w:numId w:val="0"/>
        </w:numPr>
        <w:spacing w:after="80"/>
        <w:ind w:left="360"/>
        <w:rPr>
          <w:b w:val="0"/>
          <w:bCs w:val="0"/>
          <w:color w:val="auto"/>
          <w:sz w:val="20"/>
        </w:rPr>
      </w:pPr>
    </w:p>
    <w:p w14:paraId="68009DDB" w14:textId="127133F9" w:rsidR="0008468B" w:rsidRDefault="00955BB3" w:rsidP="00761EF3">
      <w:pPr>
        <w:pStyle w:val="Titrepartie"/>
        <w:spacing w:after="80"/>
      </w:pPr>
      <w:r w:rsidRPr="0008468B">
        <w:t>Etat d’avancement</w:t>
      </w:r>
    </w:p>
    <w:p w14:paraId="03590BDB" w14:textId="77777777" w:rsidR="003F15D7" w:rsidRDefault="003F15D7" w:rsidP="00761EF3">
      <w:pPr>
        <w:pStyle w:val="Sous-partie2"/>
        <w:spacing w:after="80"/>
      </w:pPr>
      <w:r>
        <w:t>Dialogue stratégique avec l’Union européenne</w:t>
      </w:r>
    </w:p>
    <w:p w14:paraId="0A288683" w14:textId="77777777" w:rsidR="003F15D7" w:rsidRPr="00A27A88" w:rsidRDefault="003F15D7" w:rsidP="00761EF3">
      <w:pPr>
        <w:pStyle w:val="Sous-partie2"/>
        <w:numPr>
          <w:ilvl w:val="0"/>
          <w:numId w:val="0"/>
        </w:numPr>
        <w:spacing w:after="80"/>
        <w:contextualSpacing w:val="0"/>
        <w:rPr>
          <w:color w:val="auto"/>
        </w:rPr>
      </w:pPr>
      <w:r w:rsidRPr="00A27A88">
        <w:rPr>
          <w:color w:val="auto"/>
        </w:rPr>
        <w:t>En application de la décision 4 du COPL 02/26 qui « </w:t>
      </w:r>
      <w:r w:rsidRPr="00A27A88">
        <w:rPr>
          <w:i/>
          <w:iCs/>
          <w:color w:val="auto"/>
        </w:rPr>
        <w:t>invite le Secrétariat général à proposer une note sur la formalisation d’un mécanisme de dialogue de partenariat avec l’Union européenne </w:t>
      </w:r>
      <w:r w:rsidRPr="00A27A88">
        <w:rPr>
          <w:color w:val="auto"/>
        </w:rPr>
        <w:t xml:space="preserve">», le Secrétariat général a établi une note d’aide à la décision pour la formalisation du dialogue de partenariat avec l’Union européenne. </w:t>
      </w:r>
    </w:p>
    <w:p w14:paraId="4FBCFAAC" w14:textId="77777777" w:rsidR="003F15D7" w:rsidRPr="00A27A88" w:rsidRDefault="003F15D7" w:rsidP="00761EF3">
      <w:pPr>
        <w:pStyle w:val="Sous-partie2"/>
        <w:numPr>
          <w:ilvl w:val="0"/>
          <w:numId w:val="0"/>
        </w:numPr>
        <w:spacing w:after="80"/>
        <w:contextualSpacing w:val="0"/>
        <w:rPr>
          <w:color w:val="auto"/>
        </w:rPr>
      </w:pPr>
      <w:r w:rsidRPr="00A27A88">
        <w:rPr>
          <w:color w:val="auto"/>
        </w:rPr>
        <w:t xml:space="preserve">Il convient de noter que l’Union européenne est le premier partenaire de l’organisation, tant au regard de l’histoire que des volumes de financements en subventions. La relation de la COI avec l’UE s’est notamment bâtie autour des programmes indicatifs régionaux du Fonds européen de développement ainsi qu’au sein d’un dialogue politique régulier en marge de celui au niveau bilatéral avec Maurice. Depuis 2020, l’Union européenne bénéficie du statut d’observateur auprès de l’organisation bien que la logique partenariale existante dépasse le niveau d’un observateur. En outre, les modifications profondes de l’action extérieure de l’Union européenne, telle qu’entérinée dans l’Accord de Samoa avec les États ACP, ouvre de nouvelles modalités et de nouvelles opportunités d’initiatives communes. </w:t>
      </w:r>
    </w:p>
    <w:p w14:paraId="1FE98356" w14:textId="5AAE633D" w:rsidR="003F15D7" w:rsidRPr="00A27A88" w:rsidRDefault="003F15D7" w:rsidP="00761EF3">
      <w:pPr>
        <w:pStyle w:val="Sous-partie2"/>
        <w:numPr>
          <w:ilvl w:val="0"/>
          <w:numId w:val="0"/>
        </w:numPr>
        <w:spacing w:after="80"/>
        <w:contextualSpacing w:val="0"/>
        <w:rPr>
          <w:color w:val="auto"/>
        </w:rPr>
      </w:pPr>
      <w:r w:rsidRPr="00A27A88">
        <w:rPr>
          <w:color w:val="auto"/>
        </w:rPr>
        <w:t>La note d’aide à la décision annexée à la présente fiche développe plus en détail la justification d’un dialogue de partenariat renforcé et les modalités de celui-ci</w:t>
      </w:r>
      <w:r w:rsidR="00BE5562" w:rsidRPr="00A27A88">
        <w:rPr>
          <w:color w:val="auto"/>
        </w:rPr>
        <w:t xml:space="preserve"> pour lesquelles une décision des instances est requise</w:t>
      </w:r>
      <w:r w:rsidR="00F65249" w:rsidRPr="00A27A88">
        <w:rPr>
          <w:color w:val="auto"/>
        </w:rPr>
        <w:t xml:space="preserve"> (Annexe 1)</w:t>
      </w:r>
      <w:r w:rsidRPr="00A27A88">
        <w:rPr>
          <w:color w:val="auto"/>
        </w:rPr>
        <w:t xml:space="preserve">. </w:t>
      </w:r>
    </w:p>
    <w:p w14:paraId="54A119A3" w14:textId="4685EC48" w:rsidR="00006E4D" w:rsidRPr="00006E4D" w:rsidRDefault="00006E4D" w:rsidP="00761EF3">
      <w:pPr>
        <w:pStyle w:val="Sous-partie2"/>
        <w:numPr>
          <w:ilvl w:val="0"/>
          <w:numId w:val="0"/>
        </w:numPr>
        <w:spacing w:after="80"/>
        <w:ind w:left="1080"/>
        <w:rPr>
          <w:rFonts w:eastAsiaTheme="minorEastAsia" w:cstheme="minorBidi"/>
          <w:color w:val="auto"/>
        </w:rPr>
      </w:pPr>
    </w:p>
    <w:p w14:paraId="25AD4869" w14:textId="12A4E0A9" w:rsidR="00776292" w:rsidRDefault="00776292" w:rsidP="00761EF3">
      <w:pPr>
        <w:pStyle w:val="Sous-partie2"/>
        <w:spacing w:after="80"/>
      </w:pPr>
      <w:r>
        <w:t>Corée du Sud</w:t>
      </w:r>
    </w:p>
    <w:p w14:paraId="7DD862C0" w14:textId="55F4133B" w:rsidR="00DC1F1C" w:rsidRDefault="6C645F9F" w:rsidP="00761EF3">
      <w:pPr>
        <w:pStyle w:val="Paragraphe"/>
        <w:spacing w:after="80"/>
      </w:pPr>
      <w:r>
        <w:t>L</w:t>
      </w:r>
      <w:r w:rsidR="7672F86A">
        <w:t>e Gouvernement de l</w:t>
      </w:r>
      <w:r>
        <w:t xml:space="preserve">a </w:t>
      </w:r>
      <w:r w:rsidR="3CAE2585">
        <w:t>République</w:t>
      </w:r>
      <w:r w:rsidR="6B3CFE2D">
        <w:t xml:space="preserve"> de Corée, a </w:t>
      </w:r>
      <w:r w:rsidR="33D0ED5A">
        <w:t>émis</w:t>
      </w:r>
      <w:r w:rsidR="6B3CFE2D">
        <w:t xml:space="preserve"> le souhait </w:t>
      </w:r>
      <w:r w:rsidR="7E6C380C">
        <w:t xml:space="preserve">d’apporter un appui financier </w:t>
      </w:r>
      <w:r w:rsidR="44651BD9">
        <w:t>à la C</w:t>
      </w:r>
      <w:r w:rsidR="7E6C380C">
        <w:t xml:space="preserve">OI afin de </w:t>
      </w:r>
      <w:r w:rsidR="1BA31A52">
        <w:t>concrétiser</w:t>
      </w:r>
      <w:r w:rsidR="7E6C380C">
        <w:t xml:space="preserve"> leur </w:t>
      </w:r>
      <w:r w:rsidR="2EC4E977">
        <w:t>engagement</w:t>
      </w:r>
      <w:r w:rsidR="7E6C380C">
        <w:t xml:space="preserve"> </w:t>
      </w:r>
      <w:r w:rsidR="382603AE">
        <w:t>à</w:t>
      </w:r>
      <w:r w:rsidR="7E6C380C">
        <w:t xml:space="preserve"> travers la lettre d’intention </w:t>
      </w:r>
      <w:r w:rsidR="6B3CFE2D">
        <w:t>en tant que pays observateur</w:t>
      </w:r>
      <w:r w:rsidR="730365C3">
        <w:t>.</w:t>
      </w:r>
    </w:p>
    <w:p w14:paraId="4DCB39B8" w14:textId="71D9D22C" w:rsidR="730365C3" w:rsidRDefault="730365C3" w:rsidP="00761EF3">
      <w:pPr>
        <w:pStyle w:val="Paragraphe"/>
        <w:spacing w:after="80"/>
      </w:pPr>
      <w:r>
        <w:t xml:space="preserve">A ce titre, des réunions de consultations ont été tenues entre l’équipe du Secrétariat et l’Ambassade de la </w:t>
      </w:r>
      <w:r w:rsidR="5679980F">
        <w:t>République de Corée afin de définir les modalités de collaboration.</w:t>
      </w:r>
    </w:p>
    <w:p w14:paraId="2F3D60FF" w14:textId="6D7D6807" w:rsidR="5679980F" w:rsidRDefault="5679980F" w:rsidP="00761EF3">
      <w:pPr>
        <w:pStyle w:val="Paragraphe"/>
        <w:spacing w:after="80"/>
      </w:pPr>
      <w:r>
        <w:t>Les recommandations issues de ces consultations ont porté essentiellement sur</w:t>
      </w:r>
      <w:r w:rsidR="349032E0">
        <w:t xml:space="preserve"> la nécessité d’élab</w:t>
      </w:r>
      <w:r w:rsidR="008410D2">
        <w:t>orer</w:t>
      </w:r>
      <w:r w:rsidR="349032E0">
        <w:t xml:space="preserve"> un document cadre pour fixer ces modalités de collaboration, lesquelles ont fait l’objet d’</w:t>
      </w:r>
      <w:r w:rsidR="76CBB4BA">
        <w:t>échanges</w:t>
      </w:r>
      <w:r w:rsidR="349032E0">
        <w:t xml:space="preserve"> entre M. le </w:t>
      </w:r>
      <w:r w:rsidR="37635B9F">
        <w:t>Secrétaire</w:t>
      </w:r>
      <w:r w:rsidR="349032E0">
        <w:t xml:space="preserve"> </w:t>
      </w:r>
      <w:r w:rsidR="2593711C">
        <w:t>général</w:t>
      </w:r>
      <w:r w:rsidR="349032E0">
        <w:t xml:space="preserve"> et SE Madame l’Amb</w:t>
      </w:r>
      <w:r w:rsidR="69097F15">
        <w:t xml:space="preserve">assadeur de la République de </w:t>
      </w:r>
      <w:r w:rsidR="3C21062A">
        <w:t>Corée</w:t>
      </w:r>
      <w:r w:rsidR="69097F15">
        <w:t xml:space="preserve"> a l’occasion de leur </w:t>
      </w:r>
      <w:r w:rsidR="33919E40">
        <w:t>dernière</w:t>
      </w:r>
      <w:r w:rsidR="6AF8C88C">
        <w:t xml:space="preserve"> </w:t>
      </w:r>
      <w:r w:rsidR="69097F15">
        <w:t xml:space="preserve">rencontre </w:t>
      </w:r>
      <w:r w:rsidR="4931DCE6">
        <w:t>Antanana</w:t>
      </w:r>
      <w:r w:rsidR="16873F23">
        <w:t>rivo.</w:t>
      </w:r>
    </w:p>
    <w:p w14:paraId="0F18F18B" w14:textId="5E438173" w:rsidR="4931DCE6" w:rsidRDefault="16873F23" w:rsidP="00761EF3">
      <w:pPr>
        <w:pStyle w:val="Paragraphe"/>
        <w:spacing w:after="80"/>
      </w:pPr>
      <w:r>
        <w:t>La République de Corée propose d’apporter son appui dans deux domaines priorita</w:t>
      </w:r>
      <w:r w:rsidR="1B53E3F3">
        <w:t>ires</w:t>
      </w:r>
      <w:r w:rsidR="00151DBE">
        <w:t xml:space="preserve"> (Annexe </w:t>
      </w:r>
      <w:r w:rsidR="00CE1B00">
        <w:t>2</w:t>
      </w:r>
      <w:r w:rsidR="00151DBE">
        <w:t>)</w:t>
      </w:r>
      <w:r w:rsidR="1B53E3F3">
        <w:t xml:space="preserve">, </w:t>
      </w:r>
      <w:r w:rsidR="00E44ED4">
        <w:t>à</w:t>
      </w:r>
      <w:r w:rsidR="1B53E3F3">
        <w:t xml:space="preserve"> </w:t>
      </w:r>
      <w:r w:rsidR="0D3DF48E">
        <w:t>savoir :</w:t>
      </w:r>
    </w:p>
    <w:p w14:paraId="7244119D" w14:textId="77777777" w:rsidR="009D7F8C" w:rsidRDefault="1B53E3F3" w:rsidP="00761EF3">
      <w:pPr>
        <w:pStyle w:val="Paragraphe"/>
        <w:numPr>
          <w:ilvl w:val="0"/>
          <w:numId w:val="26"/>
        </w:numPr>
        <w:spacing w:after="80"/>
      </w:pPr>
      <w:r>
        <w:t>Le renforcement des capacités dans le secteur des pêcheries et de l’économie bleue;</w:t>
      </w:r>
    </w:p>
    <w:p w14:paraId="0A5ABA39" w14:textId="77777777" w:rsidR="009D7F8C" w:rsidRDefault="1B53E3F3" w:rsidP="00761EF3">
      <w:pPr>
        <w:pStyle w:val="Paragraphe"/>
        <w:numPr>
          <w:ilvl w:val="0"/>
          <w:numId w:val="26"/>
        </w:numPr>
        <w:spacing w:after="80"/>
      </w:pPr>
      <w:r>
        <w:t xml:space="preserve">Le renforcement des capacités pour la détection précoce des changements climatiques et des </w:t>
      </w:r>
      <w:r w:rsidR="4E239C05">
        <w:t>catastrophes</w:t>
      </w:r>
      <w:r>
        <w:t>.</w:t>
      </w:r>
    </w:p>
    <w:p w14:paraId="5AA6F7F8" w14:textId="05F4577C" w:rsidR="18A410B8" w:rsidRDefault="1919D850" w:rsidP="00761EF3">
      <w:pPr>
        <w:pStyle w:val="Paragraphe"/>
        <w:spacing w:after="80"/>
      </w:pPr>
      <w:r>
        <w:t>A cet effet, une ébauche d’accord de contribution financière a fait l’objet d’échanges entre la COI et la République de Corée</w:t>
      </w:r>
      <w:r w:rsidR="51ED6153">
        <w:t xml:space="preserve"> (Annexe </w:t>
      </w:r>
      <w:r w:rsidR="00CE1B00">
        <w:t>3</w:t>
      </w:r>
      <w:r w:rsidR="51ED6153">
        <w:t>)</w:t>
      </w:r>
      <w:r w:rsidR="009D7F8C">
        <w:t xml:space="preserve"> et est soumis à l’attention du COPL pour décision</w:t>
      </w:r>
      <w:r w:rsidR="51ED6153">
        <w:t>.</w:t>
      </w:r>
    </w:p>
    <w:p w14:paraId="7C325CB0" w14:textId="77777777" w:rsidR="00DC1F1C" w:rsidRDefault="00DC1F1C" w:rsidP="00761EF3">
      <w:pPr>
        <w:pStyle w:val="Titrepartie"/>
        <w:numPr>
          <w:ilvl w:val="0"/>
          <w:numId w:val="0"/>
        </w:numPr>
        <w:spacing w:after="80"/>
      </w:pPr>
    </w:p>
    <w:p w14:paraId="0E98A876" w14:textId="66F93548" w:rsidR="007B4E49" w:rsidRDefault="1435B26A" w:rsidP="00761EF3">
      <w:pPr>
        <w:pStyle w:val="Sous-partie2"/>
        <w:spacing w:after="80"/>
      </w:pPr>
      <w:r>
        <w:t xml:space="preserve">Agence australienne pour le développement international (AusAid) </w:t>
      </w:r>
    </w:p>
    <w:p w14:paraId="0B1C7BE4" w14:textId="04B48D9B" w:rsidR="007B4E49" w:rsidRPr="00B4762A" w:rsidRDefault="06AABADD" w:rsidP="00761EF3">
      <w:pPr>
        <w:pStyle w:val="Sous-partie2"/>
        <w:numPr>
          <w:ilvl w:val="0"/>
          <w:numId w:val="0"/>
        </w:numPr>
        <w:spacing w:after="80"/>
        <w:rPr>
          <w:rFonts w:eastAsia="Verdana" w:cs="Verdana"/>
          <w:color w:val="auto"/>
        </w:rPr>
      </w:pPr>
      <w:r w:rsidRPr="00B4762A">
        <w:rPr>
          <w:rFonts w:eastAsia="Verdana" w:cs="Verdana"/>
          <w:color w:val="auto"/>
        </w:rPr>
        <w:t>La</w:t>
      </w:r>
      <w:r w:rsidR="0BE86B1E" w:rsidRPr="00B4762A">
        <w:rPr>
          <w:rFonts w:eastAsia="Verdana" w:cs="Verdana"/>
          <w:color w:val="auto"/>
        </w:rPr>
        <w:t xml:space="preserve"> collaboration entre l'Australie et la COI remonte au début de l'année 2020 et porte principalement sur des activités liées à la gouvernance des océans, notamment dans les domaines de la sécurité maritime, de l'environnement, du changement climatique et de la réduction des risques de catastrophe (RRC). Ces activités ont été menées en collaboration avec l’université Curtin, l’université de Sunshine Coast et RedR Australia. Le présent protocole d’accord porte sur l’extension de la collaboration avec l’Australie en matière de réduction des risques de catastrophe par l’intermédiaire d’une nouvelle entreprise, Tetra</w:t>
      </w:r>
      <w:r w:rsidR="00D23F76" w:rsidRPr="00B4762A">
        <w:rPr>
          <w:rFonts w:eastAsia="Verdana" w:cs="Verdana"/>
          <w:color w:val="auto"/>
        </w:rPr>
        <w:t>TEC</w:t>
      </w:r>
      <w:r w:rsidR="0BE86B1E" w:rsidRPr="00B4762A">
        <w:rPr>
          <w:rFonts w:eastAsia="Verdana" w:cs="Verdana"/>
          <w:color w:val="auto"/>
        </w:rPr>
        <w:t>, mandatée par l’Australie pour gérer l’aide australienne.</w:t>
      </w:r>
    </w:p>
    <w:p w14:paraId="0B2AD501" w14:textId="09A90A4E" w:rsidR="007B4E49" w:rsidRDefault="0BE86B1E" w:rsidP="00761EF3">
      <w:pPr>
        <w:spacing w:after="80"/>
        <w:jc w:val="both"/>
        <w:rPr>
          <w:rFonts w:ascii="Verdana" w:eastAsia="Verdana" w:hAnsi="Verdana" w:cs="Verdana"/>
          <w:sz w:val="20"/>
          <w:szCs w:val="20"/>
        </w:rPr>
      </w:pPr>
      <w:r w:rsidRPr="3C73634C">
        <w:rPr>
          <w:rFonts w:ascii="Verdana" w:eastAsia="Verdana" w:hAnsi="Verdana" w:cs="Verdana"/>
          <w:sz w:val="20"/>
          <w:szCs w:val="20"/>
        </w:rPr>
        <w:t>Le protocole d’accord proposé avec Tetra</w:t>
      </w:r>
      <w:r w:rsidR="00D23F76">
        <w:rPr>
          <w:rFonts w:ascii="Verdana" w:eastAsia="Verdana" w:hAnsi="Verdana" w:cs="Verdana"/>
          <w:sz w:val="20"/>
          <w:szCs w:val="20"/>
        </w:rPr>
        <w:t>TEC</w:t>
      </w:r>
      <w:r w:rsidRPr="3C73634C">
        <w:rPr>
          <w:rFonts w:ascii="Verdana" w:eastAsia="Verdana" w:hAnsi="Verdana" w:cs="Verdana"/>
          <w:sz w:val="20"/>
          <w:szCs w:val="20"/>
        </w:rPr>
        <w:t xml:space="preserve"> prévoit un soutien au secrétariat de la COI et à ses États membres par la mise à disposition d’une assistance technique au secrétariat de la COI. Cette assistance proposée devrait doter le Secrétariat d’une expertise lui permettant de mener à bien ses activités de réduction des risques de catastrophe, notamment en contribuant au renforcement de la plateforme régionale en matière de RRC, à l’identification et à la formulation de programmes régionaux, à la mise en place de fonds d’urgence pour la RRC et à la collaboration entre les Etats insulaires en développement de l’Afrique, Caraïbe et Pacifique sur les questions liées à la RRC. Les modalités du protocole d’accord prévoient une durée de 5 ans, au cours desquelles la COI devra fournir un espace de travail et un soutien logistique à l’expert, tandis que Tetr</w:t>
      </w:r>
      <w:r w:rsidR="45AFB7A8" w:rsidRPr="3C73634C">
        <w:rPr>
          <w:rFonts w:ascii="Verdana" w:eastAsia="Verdana" w:hAnsi="Verdana" w:cs="Verdana"/>
          <w:sz w:val="20"/>
          <w:szCs w:val="20"/>
        </w:rPr>
        <w:t>aTEC</w:t>
      </w:r>
      <w:r w:rsidRPr="3C73634C">
        <w:rPr>
          <w:rFonts w:ascii="Verdana" w:eastAsia="Verdana" w:hAnsi="Verdana" w:cs="Verdana"/>
          <w:sz w:val="20"/>
          <w:szCs w:val="20"/>
        </w:rPr>
        <w:t xml:space="preserve"> prendra en charge le salaire, les indemnités associées et les frais de déplacement pour sa prise de fonction.  </w:t>
      </w:r>
    </w:p>
    <w:p w14:paraId="09440CCB" w14:textId="3D6E44FD" w:rsidR="007B4E49" w:rsidRDefault="0BE86B1E" w:rsidP="00761EF3">
      <w:pPr>
        <w:spacing w:after="80" w:line="257" w:lineRule="auto"/>
        <w:jc w:val="both"/>
        <w:rPr>
          <w:rFonts w:ascii="Verdana" w:eastAsia="Verdana" w:hAnsi="Verdana" w:cs="Verdana"/>
          <w:sz w:val="20"/>
          <w:szCs w:val="20"/>
        </w:rPr>
      </w:pPr>
      <w:r w:rsidRPr="3C73634C">
        <w:rPr>
          <w:rFonts w:ascii="Verdana" w:eastAsia="Verdana" w:hAnsi="Verdana" w:cs="Verdana"/>
          <w:sz w:val="20"/>
          <w:szCs w:val="20"/>
        </w:rPr>
        <w:t>L’intention du Secr</w:t>
      </w:r>
      <w:r w:rsidR="004C367E">
        <w:rPr>
          <w:rFonts w:ascii="Verdana" w:eastAsia="Verdana" w:hAnsi="Verdana" w:cs="Verdana"/>
          <w:sz w:val="20"/>
          <w:szCs w:val="20"/>
        </w:rPr>
        <w:t>é</w:t>
      </w:r>
      <w:r w:rsidRPr="3C73634C">
        <w:rPr>
          <w:rFonts w:ascii="Verdana" w:eastAsia="Verdana" w:hAnsi="Verdana" w:cs="Verdana"/>
          <w:sz w:val="20"/>
          <w:szCs w:val="20"/>
        </w:rPr>
        <w:t>tariat général de signer un protocole d’accord avec Tetra</w:t>
      </w:r>
      <w:r w:rsidR="00D23F76">
        <w:rPr>
          <w:rFonts w:ascii="Verdana" w:eastAsia="Verdana" w:hAnsi="Verdana" w:cs="Verdana"/>
          <w:sz w:val="20"/>
          <w:szCs w:val="20"/>
        </w:rPr>
        <w:t>TEC</w:t>
      </w:r>
      <w:r w:rsidRPr="3C73634C">
        <w:rPr>
          <w:rFonts w:ascii="Verdana" w:eastAsia="Verdana" w:hAnsi="Verdana" w:cs="Verdana"/>
          <w:sz w:val="20"/>
          <w:szCs w:val="20"/>
        </w:rPr>
        <w:t xml:space="preserve"> a été présentée au Comité </w:t>
      </w:r>
      <w:r w:rsidR="5E9017EC" w:rsidRPr="3C73634C">
        <w:rPr>
          <w:rFonts w:ascii="Verdana" w:eastAsia="Verdana" w:hAnsi="Verdana" w:cs="Verdana"/>
          <w:sz w:val="20"/>
          <w:szCs w:val="20"/>
        </w:rPr>
        <w:t xml:space="preserve">des </w:t>
      </w:r>
      <w:r w:rsidR="3190E45E" w:rsidRPr="3C73634C">
        <w:rPr>
          <w:rFonts w:ascii="Verdana" w:eastAsia="Verdana" w:hAnsi="Verdana" w:cs="Verdana"/>
          <w:sz w:val="20"/>
          <w:szCs w:val="20"/>
        </w:rPr>
        <w:t>OPL d’</w:t>
      </w:r>
      <w:r w:rsidR="0C2CD7B2" w:rsidRPr="3C73634C">
        <w:rPr>
          <w:rFonts w:ascii="Verdana" w:eastAsia="Verdana" w:hAnsi="Verdana" w:cs="Verdana"/>
          <w:sz w:val="20"/>
          <w:szCs w:val="20"/>
        </w:rPr>
        <w:t>avril 2025 et la d</w:t>
      </w:r>
      <w:r w:rsidR="00D23F76">
        <w:rPr>
          <w:rFonts w:ascii="Verdana" w:eastAsia="Verdana" w:hAnsi="Verdana" w:cs="Verdana"/>
          <w:sz w:val="20"/>
          <w:szCs w:val="20"/>
        </w:rPr>
        <w:t>é</w:t>
      </w:r>
      <w:r w:rsidR="0C2CD7B2" w:rsidRPr="3C73634C">
        <w:rPr>
          <w:rFonts w:ascii="Verdana" w:eastAsia="Verdana" w:hAnsi="Verdana" w:cs="Verdana"/>
          <w:sz w:val="20"/>
          <w:szCs w:val="20"/>
        </w:rPr>
        <w:t>cision 13c</w:t>
      </w:r>
      <w:r w:rsidR="25CE5B5C" w:rsidRPr="3C73634C">
        <w:rPr>
          <w:rFonts w:ascii="Verdana" w:eastAsia="Verdana" w:hAnsi="Verdana" w:cs="Verdana"/>
          <w:sz w:val="20"/>
          <w:szCs w:val="20"/>
        </w:rPr>
        <w:t>.</w:t>
      </w:r>
      <w:r w:rsidR="0C2CD7B2" w:rsidRPr="3C73634C">
        <w:rPr>
          <w:rFonts w:ascii="Verdana" w:eastAsia="Verdana" w:hAnsi="Verdana" w:cs="Verdana"/>
          <w:sz w:val="20"/>
          <w:szCs w:val="20"/>
        </w:rPr>
        <w:t xml:space="preserve"> demande au Secr</w:t>
      </w:r>
      <w:r w:rsidR="21F5585B" w:rsidRPr="3C73634C">
        <w:rPr>
          <w:rFonts w:ascii="Verdana" w:eastAsia="Verdana" w:hAnsi="Verdana" w:cs="Verdana"/>
          <w:sz w:val="20"/>
          <w:szCs w:val="20"/>
        </w:rPr>
        <w:t>é</w:t>
      </w:r>
      <w:r w:rsidR="0C2CD7B2" w:rsidRPr="3C73634C">
        <w:rPr>
          <w:rFonts w:ascii="Verdana" w:eastAsia="Verdana" w:hAnsi="Verdana" w:cs="Verdana"/>
          <w:sz w:val="20"/>
          <w:szCs w:val="20"/>
        </w:rPr>
        <w:t>t</w:t>
      </w:r>
      <w:r w:rsidR="0B897D0C" w:rsidRPr="3C73634C">
        <w:rPr>
          <w:rFonts w:ascii="Verdana" w:eastAsia="Verdana" w:hAnsi="Verdana" w:cs="Verdana"/>
          <w:sz w:val="20"/>
          <w:szCs w:val="20"/>
        </w:rPr>
        <w:t xml:space="preserve">ariat </w:t>
      </w:r>
      <w:r w:rsidR="28F6274C" w:rsidRPr="3C73634C">
        <w:rPr>
          <w:rFonts w:ascii="Verdana" w:eastAsia="Verdana" w:hAnsi="Verdana" w:cs="Verdana"/>
          <w:sz w:val="20"/>
          <w:szCs w:val="20"/>
        </w:rPr>
        <w:t>général</w:t>
      </w:r>
      <w:r w:rsidR="0B897D0C" w:rsidRPr="3C73634C">
        <w:rPr>
          <w:rFonts w:ascii="Verdana" w:eastAsia="Verdana" w:hAnsi="Verdana" w:cs="Verdana"/>
          <w:sz w:val="20"/>
          <w:szCs w:val="20"/>
        </w:rPr>
        <w:t xml:space="preserve"> de finaliser les </w:t>
      </w:r>
      <w:r w:rsidR="098A2AE3" w:rsidRPr="3C73634C">
        <w:rPr>
          <w:rFonts w:ascii="Verdana" w:eastAsia="Verdana" w:hAnsi="Verdana" w:cs="Verdana"/>
          <w:sz w:val="20"/>
          <w:szCs w:val="20"/>
        </w:rPr>
        <w:t>négociations</w:t>
      </w:r>
      <w:r w:rsidR="0B897D0C" w:rsidRPr="3C73634C">
        <w:rPr>
          <w:rFonts w:ascii="Verdana" w:eastAsia="Verdana" w:hAnsi="Verdana" w:cs="Verdana"/>
          <w:sz w:val="20"/>
          <w:szCs w:val="20"/>
        </w:rPr>
        <w:t xml:space="preserve"> avec les </w:t>
      </w:r>
      <w:r w:rsidR="20FDBC87" w:rsidRPr="3C73634C">
        <w:rPr>
          <w:rFonts w:ascii="Verdana" w:eastAsia="Verdana" w:hAnsi="Verdana" w:cs="Verdana"/>
          <w:sz w:val="20"/>
          <w:szCs w:val="20"/>
        </w:rPr>
        <w:t>partenaires</w:t>
      </w:r>
      <w:r w:rsidR="762F0B3B" w:rsidRPr="3C73634C">
        <w:rPr>
          <w:rFonts w:ascii="Verdana" w:eastAsia="Verdana" w:hAnsi="Verdana" w:cs="Verdana"/>
          <w:sz w:val="20"/>
          <w:szCs w:val="20"/>
        </w:rPr>
        <w:t>.</w:t>
      </w:r>
      <w:r w:rsidRPr="3C73634C">
        <w:rPr>
          <w:rFonts w:ascii="Verdana" w:eastAsia="Verdana" w:hAnsi="Verdana" w:cs="Verdana"/>
          <w:sz w:val="20"/>
          <w:szCs w:val="20"/>
        </w:rPr>
        <w:t xml:space="preserve"> Le protocole d’accord proposé avec Tetra</w:t>
      </w:r>
      <w:r w:rsidR="00DC5BAC">
        <w:rPr>
          <w:rFonts w:ascii="Verdana" w:eastAsia="Verdana" w:hAnsi="Verdana" w:cs="Verdana"/>
          <w:sz w:val="20"/>
          <w:szCs w:val="20"/>
        </w:rPr>
        <w:t>TEC</w:t>
      </w:r>
      <w:r w:rsidRPr="3C73634C">
        <w:rPr>
          <w:rFonts w:ascii="Verdana" w:eastAsia="Verdana" w:hAnsi="Verdana" w:cs="Verdana"/>
          <w:sz w:val="20"/>
          <w:szCs w:val="20"/>
        </w:rPr>
        <w:t xml:space="preserve"> (Annexe </w:t>
      </w:r>
      <w:r w:rsidR="00CE1B00">
        <w:rPr>
          <w:rFonts w:ascii="Verdana" w:eastAsia="Verdana" w:hAnsi="Verdana" w:cs="Verdana"/>
          <w:sz w:val="20"/>
          <w:szCs w:val="20"/>
        </w:rPr>
        <w:t>4</w:t>
      </w:r>
      <w:r w:rsidRPr="3C73634C">
        <w:rPr>
          <w:rFonts w:ascii="Verdana" w:eastAsia="Verdana" w:hAnsi="Verdana" w:cs="Verdana"/>
          <w:sz w:val="20"/>
          <w:szCs w:val="20"/>
        </w:rPr>
        <w:t xml:space="preserve">) prévoit un soutien au Secrétariat de la COI et à ses États membres par le biais de la mise à disposition d’une assistance technique à la COI. </w:t>
      </w:r>
    </w:p>
    <w:p w14:paraId="4F0028E2" w14:textId="271CCECD" w:rsidR="007B4E49" w:rsidRDefault="0BE86B1E" w:rsidP="00761EF3">
      <w:pPr>
        <w:spacing w:after="80"/>
      </w:pPr>
      <w:r w:rsidRPr="3C73634C">
        <w:rPr>
          <w:rFonts w:ascii="Verdana" w:eastAsia="Verdana" w:hAnsi="Verdana" w:cs="Verdana"/>
          <w:sz w:val="20"/>
          <w:szCs w:val="20"/>
        </w:rPr>
        <w:t xml:space="preserve">Cette collaboration </w:t>
      </w:r>
      <w:r w:rsidR="00DC5BAC">
        <w:rPr>
          <w:rFonts w:ascii="Verdana" w:eastAsia="Verdana" w:hAnsi="Verdana" w:cs="Verdana"/>
          <w:sz w:val="20"/>
          <w:szCs w:val="20"/>
        </w:rPr>
        <w:t>s’inscrit dans la mise en œuvre du</w:t>
      </w:r>
      <w:r w:rsidRPr="3C73634C">
        <w:rPr>
          <w:rFonts w:ascii="Verdana" w:eastAsia="Verdana" w:hAnsi="Verdana" w:cs="Verdana"/>
          <w:sz w:val="20"/>
          <w:szCs w:val="20"/>
        </w:rPr>
        <w:t xml:space="preserve"> Plan </w:t>
      </w:r>
      <w:r w:rsidR="000D6BA4">
        <w:rPr>
          <w:rFonts w:ascii="Verdana" w:eastAsia="Verdana" w:hAnsi="Verdana" w:cs="Verdana"/>
          <w:sz w:val="20"/>
          <w:szCs w:val="20"/>
        </w:rPr>
        <w:t>de développement</w:t>
      </w:r>
      <w:r w:rsidR="000D6BA4" w:rsidRPr="3C73634C">
        <w:rPr>
          <w:rFonts w:ascii="Verdana" w:eastAsia="Verdana" w:hAnsi="Verdana" w:cs="Verdana"/>
          <w:sz w:val="20"/>
          <w:szCs w:val="20"/>
        </w:rPr>
        <w:t xml:space="preserve"> </w:t>
      </w:r>
      <w:r w:rsidRPr="3C73634C">
        <w:rPr>
          <w:rFonts w:ascii="Verdana" w:eastAsia="Verdana" w:hAnsi="Verdana" w:cs="Verdana"/>
          <w:sz w:val="20"/>
          <w:szCs w:val="20"/>
        </w:rPr>
        <w:t>stratégique de la COI, dont l’axe 1 porte sur la résilience et l’axe 4 sur le partenariat. Le projet actuel de protocole d’accord est soumis à l’adoption du Comité.</w:t>
      </w:r>
    </w:p>
    <w:p w14:paraId="04D93764" w14:textId="5FCB31E9" w:rsidR="007B4E49" w:rsidRDefault="0BE86B1E" w:rsidP="00761EF3">
      <w:pPr>
        <w:spacing w:after="80" w:line="257" w:lineRule="auto"/>
        <w:jc w:val="both"/>
        <w:rPr>
          <w:rFonts w:eastAsia="Verdana" w:cs="Verdana"/>
          <w:b/>
          <w:bCs/>
          <w:lang w:val="fr"/>
        </w:rPr>
      </w:pPr>
      <w:r w:rsidRPr="3C73634C">
        <w:rPr>
          <w:rFonts w:ascii="Verdana" w:eastAsia="Verdana" w:hAnsi="Verdana" w:cs="Verdana"/>
          <w:b/>
          <w:bCs/>
          <w:color w:val="0070C0"/>
          <w:lang w:val="fr"/>
        </w:rPr>
        <w:t xml:space="preserve"> </w:t>
      </w:r>
    </w:p>
    <w:p w14:paraId="3BD78471" w14:textId="7BA62336" w:rsidR="007B4E49" w:rsidRDefault="0BE86B1E" w:rsidP="00761EF3">
      <w:pPr>
        <w:pStyle w:val="Sous-partie2"/>
        <w:spacing w:after="80"/>
        <w:rPr>
          <w:lang w:val="fr"/>
        </w:rPr>
      </w:pPr>
      <w:r w:rsidRPr="3C73634C">
        <w:rPr>
          <w:lang w:val="fr"/>
        </w:rPr>
        <w:t>Fond</w:t>
      </w:r>
      <w:r w:rsidR="000D6BA4">
        <w:rPr>
          <w:lang w:val="fr"/>
        </w:rPr>
        <w:t>s</w:t>
      </w:r>
      <w:r w:rsidRPr="3C73634C">
        <w:rPr>
          <w:lang w:val="fr"/>
        </w:rPr>
        <w:t xml:space="preserve"> OPEP pour le développement </w:t>
      </w:r>
    </w:p>
    <w:p w14:paraId="3B5E4EC6" w14:textId="64D15186" w:rsidR="007B4E49" w:rsidRDefault="00A9283E" w:rsidP="00761EF3">
      <w:pPr>
        <w:spacing w:after="80" w:line="276" w:lineRule="auto"/>
        <w:jc w:val="both"/>
        <w:rPr>
          <w:rFonts w:ascii="Verdana" w:eastAsia="Verdana" w:hAnsi="Verdana" w:cs="Verdana"/>
          <w:sz w:val="20"/>
          <w:szCs w:val="20"/>
        </w:rPr>
      </w:pPr>
      <w:r w:rsidRPr="3C73634C">
        <w:rPr>
          <w:rFonts w:ascii="Verdana" w:eastAsia="Verdana" w:hAnsi="Verdana" w:cs="Verdana"/>
          <w:sz w:val="20"/>
          <w:szCs w:val="20"/>
        </w:rPr>
        <w:t>Par suite de</w:t>
      </w:r>
      <w:r w:rsidR="0BE86B1E" w:rsidRPr="3C73634C">
        <w:rPr>
          <w:rFonts w:ascii="Verdana" w:eastAsia="Verdana" w:hAnsi="Verdana" w:cs="Verdana"/>
          <w:sz w:val="20"/>
          <w:szCs w:val="20"/>
        </w:rPr>
        <w:t xml:space="preserve"> l’accréditation de la COI par le Fonds vert pour le Climat en juillet 2024, la COI a été approchée en septembre 2024 par la Convention-cadre des Nations Unies sur les changements climatiques (CCNUCC), dans une perspective de coopération renforcée en appui aux engagements climatiques de ses États membres. C'est dans ce cadre que la CCNUCC a mis en relation la COI avec le Fonds de l'OPEP pour le développement international, identifié comme partenaire potentiel pour accompagner la tenue d'ateliers de formation et le montage de projets bancables. </w:t>
      </w:r>
    </w:p>
    <w:p w14:paraId="3F08F50D" w14:textId="6BB0FD9E" w:rsidR="007B4E49" w:rsidRDefault="0BE86B1E" w:rsidP="00761EF3">
      <w:pPr>
        <w:spacing w:after="80" w:line="276" w:lineRule="auto"/>
        <w:jc w:val="both"/>
        <w:rPr>
          <w:rFonts w:ascii="Verdana" w:eastAsia="Verdana" w:hAnsi="Verdana" w:cs="Verdana"/>
          <w:sz w:val="20"/>
          <w:szCs w:val="20"/>
          <w:lang w:val="fr"/>
        </w:rPr>
      </w:pPr>
      <w:r w:rsidRPr="3C73634C">
        <w:rPr>
          <w:rFonts w:ascii="Verdana" w:eastAsia="Verdana" w:hAnsi="Verdana" w:cs="Verdana"/>
          <w:sz w:val="20"/>
          <w:szCs w:val="20"/>
          <w:lang w:val="fr"/>
        </w:rPr>
        <w:t xml:space="preserve">En décembre 2024, le Comité des OPL (décision 14C portant sur les financements climatiques) a donné son accord pour que la COI poursuive les échanges avec le Fonds OPEP en vue de l'établissement d'un protocole d'entente. </w:t>
      </w:r>
    </w:p>
    <w:p w14:paraId="0B3163DE" w14:textId="6835248D" w:rsidR="007B4E49" w:rsidRDefault="0BE86B1E" w:rsidP="00761EF3">
      <w:pPr>
        <w:spacing w:after="80" w:line="276" w:lineRule="auto"/>
        <w:jc w:val="both"/>
        <w:rPr>
          <w:rFonts w:ascii="Verdana" w:eastAsia="Verdana" w:hAnsi="Verdana" w:cs="Verdana"/>
          <w:sz w:val="20"/>
          <w:szCs w:val="20"/>
        </w:rPr>
      </w:pPr>
      <w:r w:rsidRPr="3C73634C">
        <w:rPr>
          <w:rFonts w:ascii="Verdana" w:eastAsia="Verdana" w:hAnsi="Verdana" w:cs="Verdana"/>
          <w:sz w:val="20"/>
          <w:szCs w:val="20"/>
          <w:lang w:val="fr"/>
        </w:rPr>
        <w:t xml:space="preserve">Le 13 mars 2025, le Secrétariat général a transmis officiellement la version finale du MoU pour accord des pays avant signature. Lors du Comité des OPL des 4-6 avril 2025 (décision 12C, financement climatique), le Comité a demandé au Secrétariat général de continuer les échanges avec le Fonds OPEP, en concertation avec les États membres, sur les termes du MoU proposé et de l'accord de subvention. </w:t>
      </w:r>
      <w:r w:rsidRPr="3C73634C">
        <w:rPr>
          <w:rFonts w:ascii="Verdana" w:eastAsia="Verdana" w:hAnsi="Verdana" w:cs="Verdana"/>
          <w:sz w:val="20"/>
          <w:szCs w:val="20"/>
        </w:rPr>
        <w:t xml:space="preserve">Des informations complémentaires ont ensuite </w:t>
      </w:r>
      <w:r w:rsidR="007D7BEE">
        <w:rPr>
          <w:rFonts w:ascii="Verdana" w:eastAsia="Verdana" w:hAnsi="Verdana" w:cs="Verdana"/>
          <w:sz w:val="20"/>
          <w:szCs w:val="20"/>
        </w:rPr>
        <w:t xml:space="preserve">transmis aux </w:t>
      </w:r>
      <w:r w:rsidRPr="3C73634C">
        <w:rPr>
          <w:rFonts w:ascii="Verdana" w:eastAsia="Verdana" w:hAnsi="Verdana" w:cs="Verdana"/>
          <w:sz w:val="20"/>
          <w:szCs w:val="20"/>
        </w:rPr>
        <w:t xml:space="preserve">OPL </w:t>
      </w:r>
      <w:r w:rsidR="007D7BEE">
        <w:rPr>
          <w:rFonts w:ascii="Verdana" w:eastAsia="Verdana" w:hAnsi="Verdana" w:cs="Verdana"/>
          <w:sz w:val="20"/>
          <w:szCs w:val="20"/>
        </w:rPr>
        <w:t xml:space="preserve">dans une correspondance en date du </w:t>
      </w:r>
      <w:r w:rsidRPr="3C73634C">
        <w:rPr>
          <w:rFonts w:ascii="Verdana" w:eastAsia="Verdana" w:hAnsi="Verdana" w:cs="Verdana"/>
          <w:sz w:val="20"/>
          <w:szCs w:val="20"/>
        </w:rPr>
        <w:t>7 ao</w:t>
      </w:r>
      <w:r w:rsidR="007D7BEE">
        <w:rPr>
          <w:rFonts w:ascii="Verdana" w:eastAsia="Verdana" w:hAnsi="Verdana" w:cs="Verdana"/>
          <w:sz w:val="20"/>
          <w:szCs w:val="20"/>
        </w:rPr>
        <w:t>û</w:t>
      </w:r>
      <w:r w:rsidRPr="3C73634C">
        <w:rPr>
          <w:rFonts w:ascii="Verdana" w:eastAsia="Verdana" w:hAnsi="Verdana" w:cs="Verdana"/>
          <w:sz w:val="20"/>
          <w:szCs w:val="20"/>
        </w:rPr>
        <w:t>t 2025. Toutefois, à ce jour, il n’y a pas de décision permettant au Secr</w:t>
      </w:r>
      <w:r w:rsidR="00905760">
        <w:rPr>
          <w:rFonts w:ascii="Verdana" w:eastAsia="Verdana" w:hAnsi="Verdana" w:cs="Verdana"/>
          <w:sz w:val="20"/>
          <w:szCs w:val="20"/>
        </w:rPr>
        <w:t>é</w:t>
      </w:r>
      <w:r w:rsidRPr="3C73634C">
        <w:rPr>
          <w:rFonts w:ascii="Verdana" w:eastAsia="Verdana" w:hAnsi="Verdana" w:cs="Verdana"/>
          <w:sz w:val="20"/>
          <w:szCs w:val="20"/>
        </w:rPr>
        <w:t xml:space="preserve">tariat de conclure le protocole d’accord avec le Fonds. La version finalisé le protocole d’entente (MoU) est présenté pour validation (Annexe </w:t>
      </w:r>
      <w:r w:rsidR="00CE1B00">
        <w:rPr>
          <w:rFonts w:ascii="Verdana" w:eastAsia="Verdana" w:hAnsi="Verdana" w:cs="Verdana"/>
          <w:sz w:val="20"/>
          <w:szCs w:val="20"/>
        </w:rPr>
        <w:t>5</w:t>
      </w:r>
      <w:r w:rsidRPr="3C73634C">
        <w:rPr>
          <w:rFonts w:ascii="Verdana" w:eastAsia="Verdana" w:hAnsi="Verdana" w:cs="Verdana"/>
          <w:sz w:val="20"/>
          <w:szCs w:val="20"/>
        </w:rPr>
        <w:t>)</w:t>
      </w:r>
    </w:p>
    <w:p w14:paraId="53CB1D5B" w14:textId="6CFAE4ED" w:rsidR="007B4E49" w:rsidRDefault="0BE86B1E" w:rsidP="00761EF3">
      <w:pPr>
        <w:spacing w:after="80" w:line="276" w:lineRule="auto"/>
        <w:jc w:val="both"/>
      </w:pPr>
      <w:r w:rsidRPr="3C73634C">
        <w:rPr>
          <w:rFonts w:ascii="Verdana" w:eastAsia="Verdana" w:hAnsi="Verdana" w:cs="Verdana"/>
          <w:sz w:val="20"/>
          <w:szCs w:val="20"/>
        </w:rPr>
        <w:t xml:space="preserve">L’OPEP a en effet manifesté son intérêt pour une collaboration avec la COI dans le cadre de ses initiatives en cours dans la région, parmi lesquelles figurent notamment celles relatives à la cuisine propre, à l’efficacité énergétique et à des projets d’atténuation des changements climatiques. Conformément à la décision du Conseil des ministres de juin 2026 relative à la mobilisation des ressources, le présent projet est soumis pour décision afin de permettre au Secrétariat </w:t>
      </w:r>
      <w:r w:rsidR="007167AE">
        <w:rPr>
          <w:rFonts w:ascii="Verdana" w:eastAsia="Verdana" w:hAnsi="Verdana" w:cs="Verdana"/>
          <w:sz w:val="20"/>
          <w:szCs w:val="20"/>
        </w:rPr>
        <w:t xml:space="preserve">de concrétiser la mobilisation de ressources nouvelles en faveur des actions portant sur </w:t>
      </w:r>
      <w:r w:rsidR="0031053C">
        <w:rPr>
          <w:rFonts w:ascii="Verdana" w:eastAsia="Verdana" w:hAnsi="Verdana" w:cs="Verdana"/>
          <w:sz w:val="20"/>
          <w:szCs w:val="20"/>
        </w:rPr>
        <w:t>la résilience climatique et la transition énergétique</w:t>
      </w:r>
      <w:r w:rsidRPr="3C73634C">
        <w:rPr>
          <w:rFonts w:ascii="Verdana" w:eastAsia="Verdana" w:hAnsi="Verdana" w:cs="Verdana"/>
          <w:sz w:val="20"/>
          <w:szCs w:val="20"/>
        </w:rPr>
        <w:t>.</w:t>
      </w:r>
      <w:r>
        <w:t xml:space="preserve"> </w:t>
      </w:r>
    </w:p>
    <w:p w14:paraId="5AF4B40B" w14:textId="77777777" w:rsidR="000F6772" w:rsidRDefault="000F6772" w:rsidP="00761EF3">
      <w:pPr>
        <w:spacing w:after="80" w:line="276" w:lineRule="auto"/>
        <w:jc w:val="both"/>
      </w:pPr>
    </w:p>
    <w:p w14:paraId="1555DCA0" w14:textId="702D39E0" w:rsidR="007B4E49" w:rsidRDefault="67D5DF69" w:rsidP="00761EF3">
      <w:pPr>
        <w:pStyle w:val="Sous-partie2"/>
        <w:spacing w:after="80"/>
      </w:pPr>
      <w:r>
        <w:t>UN</w:t>
      </w:r>
      <w:r w:rsidR="006C12DA">
        <w:t>-</w:t>
      </w:r>
      <w:r>
        <w:t xml:space="preserve">Habitat </w:t>
      </w:r>
    </w:p>
    <w:p w14:paraId="6A0D9571" w14:textId="6FB3B3E8" w:rsidR="007B4E49" w:rsidRDefault="025F9B8B" w:rsidP="00761EF3">
      <w:pPr>
        <w:spacing w:after="80" w:line="276" w:lineRule="auto"/>
        <w:jc w:val="both"/>
        <w:rPr>
          <w:rFonts w:ascii="Verdana" w:hAnsi="Verdana"/>
          <w:sz w:val="20"/>
          <w:szCs w:val="20"/>
        </w:rPr>
      </w:pPr>
      <w:r w:rsidRPr="00A27A88">
        <w:rPr>
          <w:rFonts w:ascii="Verdana" w:hAnsi="Verdana"/>
          <w:sz w:val="20"/>
          <w:szCs w:val="20"/>
        </w:rPr>
        <w:t xml:space="preserve">Un projet d’accord de </w:t>
      </w:r>
      <w:r w:rsidR="3D03C059" w:rsidRPr="00A27A88">
        <w:rPr>
          <w:rFonts w:ascii="Verdana" w:hAnsi="Verdana"/>
          <w:sz w:val="20"/>
          <w:szCs w:val="20"/>
        </w:rPr>
        <w:t>coopération</w:t>
      </w:r>
      <w:r w:rsidRPr="00A27A88">
        <w:rPr>
          <w:rFonts w:ascii="Verdana" w:hAnsi="Verdana"/>
          <w:sz w:val="20"/>
          <w:szCs w:val="20"/>
        </w:rPr>
        <w:t xml:space="preserve"> entre la </w:t>
      </w:r>
      <w:r w:rsidR="0031053C">
        <w:rPr>
          <w:rFonts w:ascii="Verdana" w:hAnsi="Verdana"/>
          <w:sz w:val="20"/>
          <w:szCs w:val="20"/>
        </w:rPr>
        <w:t>COI</w:t>
      </w:r>
      <w:r w:rsidRPr="00A27A88">
        <w:rPr>
          <w:rFonts w:ascii="Verdana" w:hAnsi="Verdana"/>
          <w:sz w:val="20"/>
          <w:szCs w:val="20"/>
        </w:rPr>
        <w:t xml:space="preserve"> </w:t>
      </w:r>
      <w:r w:rsidR="78B5EEAC" w:rsidRPr="00A27A88">
        <w:rPr>
          <w:rFonts w:ascii="Verdana" w:hAnsi="Verdana"/>
          <w:sz w:val="20"/>
          <w:szCs w:val="20"/>
        </w:rPr>
        <w:t xml:space="preserve">et </w:t>
      </w:r>
      <w:r w:rsidR="00CC7CB7">
        <w:rPr>
          <w:rFonts w:ascii="Verdana" w:hAnsi="Verdana"/>
          <w:sz w:val="20"/>
          <w:szCs w:val="20"/>
        </w:rPr>
        <w:t xml:space="preserve">le Programme des Nations unies pour les établissements humains (UN-Habitat) </w:t>
      </w:r>
      <w:r w:rsidRPr="00A27A88">
        <w:rPr>
          <w:rFonts w:ascii="Verdana" w:hAnsi="Verdana"/>
          <w:sz w:val="20"/>
          <w:szCs w:val="20"/>
        </w:rPr>
        <w:t xml:space="preserve">a </w:t>
      </w:r>
      <w:r w:rsidR="2C6D6CF2" w:rsidRPr="00A27A88">
        <w:rPr>
          <w:rFonts w:ascii="Verdana" w:hAnsi="Verdana"/>
          <w:sz w:val="20"/>
          <w:szCs w:val="20"/>
        </w:rPr>
        <w:t>été</w:t>
      </w:r>
      <w:r w:rsidRPr="00A27A88">
        <w:rPr>
          <w:rFonts w:ascii="Verdana" w:hAnsi="Verdana"/>
          <w:sz w:val="20"/>
          <w:szCs w:val="20"/>
        </w:rPr>
        <w:t xml:space="preserve"> proposé </w:t>
      </w:r>
      <w:r w:rsidR="18E41CD4" w:rsidRPr="00A27A88">
        <w:rPr>
          <w:rFonts w:ascii="Verdana" w:hAnsi="Verdana"/>
          <w:sz w:val="20"/>
          <w:szCs w:val="20"/>
        </w:rPr>
        <w:t xml:space="preserve">au </w:t>
      </w:r>
      <w:r w:rsidR="081F47B7" w:rsidRPr="00A27A88">
        <w:rPr>
          <w:rFonts w:ascii="Verdana" w:hAnsi="Verdana"/>
          <w:sz w:val="20"/>
          <w:szCs w:val="20"/>
        </w:rPr>
        <w:t>premier Comité</w:t>
      </w:r>
      <w:r w:rsidRPr="00A27A88">
        <w:rPr>
          <w:rFonts w:ascii="Verdana" w:hAnsi="Verdana"/>
          <w:sz w:val="20"/>
          <w:szCs w:val="20"/>
        </w:rPr>
        <w:t xml:space="preserve"> des </w:t>
      </w:r>
      <w:r w:rsidR="18D6211D" w:rsidRPr="00A27A88">
        <w:rPr>
          <w:rFonts w:ascii="Verdana" w:hAnsi="Verdana"/>
          <w:sz w:val="20"/>
          <w:szCs w:val="20"/>
        </w:rPr>
        <w:t>OPL du</w:t>
      </w:r>
      <w:r w:rsidR="20E780BE" w:rsidRPr="00A27A88">
        <w:rPr>
          <w:rFonts w:ascii="Verdana" w:hAnsi="Verdana"/>
          <w:sz w:val="20"/>
          <w:szCs w:val="20"/>
        </w:rPr>
        <w:t xml:space="preserve"> 4 au 6 avril 2025 </w:t>
      </w:r>
      <w:r w:rsidR="12869B86" w:rsidRPr="00A27A88">
        <w:rPr>
          <w:rFonts w:ascii="Verdana" w:hAnsi="Verdana"/>
          <w:sz w:val="20"/>
          <w:szCs w:val="20"/>
        </w:rPr>
        <w:t xml:space="preserve">auquel il a été demandé au Secretariat général de poursuivre </w:t>
      </w:r>
      <w:r w:rsidR="00CC7CB7">
        <w:rPr>
          <w:rFonts w:ascii="Verdana" w:hAnsi="Verdana"/>
          <w:sz w:val="20"/>
          <w:szCs w:val="20"/>
        </w:rPr>
        <w:t xml:space="preserve">les négociations </w:t>
      </w:r>
      <w:r w:rsidR="68BE1DDD" w:rsidRPr="00A27A88">
        <w:rPr>
          <w:rFonts w:ascii="Verdana" w:hAnsi="Verdana"/>
          <w:sz w:val="20"/>
          <w:szCs w:val="20"/>
        </w:rPr>
        <w:t>(cf</w:t>
      </w:r>
      <w:r w:rsidR="008109F4">
        <w:rPr>
          <w:rFonts w:ascii="Verdana" w:hAnsi="Verdana"/>
          <w:sz w:val="20"/>
          <w:szCs w:val="20"/>
        </w:rPr>
        <w:t>.</w:t>
      </w:r>
      <w:r w:rsidR="68BE1DDD" w:rsidRPr="00A27A88">
        <w:rPr>
          <w:rFonts w:ascii="Verdana" w:hAnsi="Verdana"/>
          <w:sz w:val="20"/>
          <w:szCs w:val="20"/>
        </w:rPr>
        <w:t xml:space="preserve"> décision 13</w:t>
      </w:r>
      <w:r w:rsidR="00CC7CB7">
        <w:rPr>
          <w:rFonts w:ascii="Verdana" w:hAnsi="Verdana"/>
          <w:sz w:val="20"/>
          <w:szCs w:val="20"/>
        </w:rPr>
        <w:t>.c-iii)</w:t>
      </w:r>
      <w:r w:rsidR="12869B86" w:rsidRPr="00A27A88">
        <w:rPr>
          <w:rFonts w:ascii="Verdana" w:hAnsi="Verdana"/>
          <w:sz w:val="20"/>
          <w:szCs w:val="20"/>
        </w:rPr>
        <w:t xml:space="preserve">. </w:t>
      </w:r>
      <w:r w:rsidR="31B7442A" w:rsidRPr="00A27A88">
        <w:rPr>
          <w:rFonts w:ascii="Verdana" w:hAnsi="Verdana"/>
          <w:sz w:val="20"/>
          <w:szCs w:val="20"/>
        </w:rPr>
        <w:t xml:space="preserve"> Lors </w:t>
      </w:r>
      <w:r w:rsidR="5D460119" w:rsidRPr="00A27A88">
        <w:rPr>
          <w:rFonts w:ascii="Verdana" w:hAnsi="Verdana"/>
          <w:sz w:val="20"/>
          <w:szCs w:val="20"/>
        </w:rPr>
        <w:t xml:space="preserve">des discussions </w:t>
      </w:r>
      <w:r w:rsidR="0207986B" w:rsidRPr="00A27A88">
        <w:rPr>
          <w:rFonts w:ascii="Verdana" w:hAnsi="Verdana"/>
          <w:sz w:val="20"/>
          <w:szCs w:val="20"/>
        </w:rPr>
        <w:t>du deuxième</w:t>
      </w:r>
      <w:r w:rsidR="12869B86" w:rsidRPr="00A27A88">
        <w:rPr>
          <w:rFonts w:ascii="Verdana" w:hAnsi="Verdana"/>
          <w:sz w:val="20"/>
          <w:szCs w:val="20"/>
        </w:rPr>
        <w:t xml:space="preserve"> comi</w:t>
      </w:r>
      <w:r w:rsidR="304BD62B" w:rsidRPr="00A27A88">
        <w:rPr>
          <w:rFonts w:ascii="Verdana" w:hAnsi="Verdana"/>
          <w:sz w:val="20"/>
          <w:szCs w:val="20"/>
        </w:rPr>
        <w:t>té des OPL du 5 au 7</w:t>
      </w:r>
      <w:r w:rsidR="40CF4E1A" w:rsidRPr="00A27A88">
        <w:rPr>
          <w:rFonts w:ascii="Verdana" w:hAnsi="Verdana"/>
          <w:sz w:val="20"/>
          <w:szCs w:val="20"/>
        </w:rPr>
        <w:t xml:space="preserve"> mai 2025</w:t>
      </w:r>
      <w:r w:rsidR="50A1B2B8" w:rsidRPr="00A27A88">
        <w:rPr>
          <w:rFonts w:ascii="Verdana" w:hAnsi="Verdana"/>
          <w:sz w:val="20"/>
          <w:szCs w:val="20"/>
        </w:rPr>
        <w:t xml:space="preserve">, </w:t>
      </w:r>
      <w:r w:rsidR="345A56A2" w:rsidRPr="00A27A88">
        <w:rPr>
          <w:rFonts w:ascii="Verdana" w:hAnsi="Verdana"/>
          <w:sz w:val="20"/>
          <w:szCs w:val="20"/>
        </w:rPr>
        <w:t>il a été demandé au secr</w:t>
      </w:r>
      <w:r w:rsidR="008109F4">
        <w:rPr>
          <w:rFonts w:ascii="Verdana" w:hAnsi="Verdana"/>
          <w:sz w:val="20"/>
          <w:szCs w:val="20"/>
        </w:rPr>
        <w:t>é</w:t>
      </w:r>
      <w:r w:rsidR="345A56A2" w:rsidRPr="00A27A88">
        <w:rPr>
          <w:rFonts w:ascii="Verdana" w:hAnsi="Verdana"/>
          <w:sz w:val="20"/>
          <w:szCs w:val="20"/>
        </w:rPr>
        <w:t xml:space="preserve">tariat général de </w:t>
      </w:r>
      <w:r w:rsidR="7B10840E" w:rsidRPr="00A27A88">
        <w:rPr>
          <w:rFonts w:ascii="Verdana" w:hAnsi="Verdana"/>
          <w:sz w:val="20"/>
          <w:szCs w:val="20"/>
        </w:rPr>
        <w:t xml:space="preserve">revoir l’appellation </w:t>
      </w:r>
      <w:r w:rsidR="008109F4">
        <w:rPr>
          <w:rFonts w:ascii="Verdana" w:hAnsi="Verdana"/>
          <w:sz w:val="20"/>
          <w:szCs w:val="20"/>
        </w:rPr>
        <w:t>« petits États</w:t>
      </w:r>
      <w:r w:rsidR="7B10840E" w:rsidRPr="00A27A88">
        <w:rPr>
          <w:rFonts w:ascii="Verdana" w:hAnsi="Verdana"/>
          <w:sz w:val="20"/>
          <w:szCs w:val="20"/>
        </w:rPr>
        <w:t xml:space="preserve"> insulaire</w:t>
      </w:r>
      <w:r w:rsidR="5E1E509A" w:rsidRPr="00A27A88">
        <w:rPr>
          <w:rFonts w:ascii="Verdana" w:hAnsi="Verdana"/>
          <w:sz w:val="20"/>
          <w:szCs w:val="20"/>
        </w:rPr>
        <w:t>s</w:t>
      </w:r>
      <w:r w:rsidR="7B10840E" w:rsidRPr="00A27A88">
        <w:rPr>
          <w:rFonts w:ascii="Verdana" w:hAnsi="Verdana"/>
          <w:sz w:val="20"/>
          <w:szCs w:val="20"/>
        </w:rPr>
        <w:t xml:space="preserve"> en développement</w:t>
      </w:r>
      <w:r w:rsidR="008109F4">
        <w:rPr>
          <w:rFonts w:ascii="Verdana" w:hAnsi="Verdana"/>
          <w:sz w:val="20"/>
          <w:szCs w:val="20"/>
        </w:rPr>
        <w:t> »</w:t>
      </w:r>
      <w:r w:rsidR="0387D940" w:rsidRPr="00A27A88">
        <w:rPr>
          <w:rFonts w:ascii="Verdana" w:hAnsi="Verdana"/>
          <w:sz w:val="20"/>
          <w:szCs w:val="20"/>
        </w:rPr>
        <w:t xml:space="preserve"> (PEID)</w:t>
      </w:r>
      <w:r w:rsidR="7B10840E" w:rsidRPr="00A27A88">
        <w:rPr>
          <w:rFonts w:ascii="Verdana" w:hAnsi="Verdana"/>
          <w:sz w:val="20"/>
          <w:szCs w:val="20"/>
        </w:rPr>
        <w:t xml:space="preserve"> dan</w:t>
      </w:r>
      <w:r w:rsidR="0D83B028" w:rsidRPr="00A27A88">
        <w:rPr>
          <w:rFonts w:ascii="Verdana" w:hAnsi="Verdana"/>
          <w:sz w:val="20"/>
          <w:szCs w:val="20"/>
        </w:rPr>
        <w:t>s</w:t>
      </w:r>
      <w:r w:rsidR="7B10840E" w:rsidRPr="00A27A88">
        <w:rPr>
          <w:rFonts w:ascii="Verdana" w:hAnsi="Verdana"/>
          <w:sz w:val="20"/>
          <w:szCs w:val="20"/>
        </w:rPr>
        <w:t xml:space="preserve"> l’ensemble du</w:t>
      </w:r>
      <w:r w:rsidR="66CFC04F" w:rsidRPr="00A27A88">
        <w:rPr>
          <w:rFonts w:ascii="Verdana" w:hAnsi="Verdana"/>
          <w:sz w:val="20"/>
          <w:szCs w:val="20"/>
        </w:rPr>
        <w:t xml:space="preserve"> document pour prendre en</w:t>
      </w:r>
      <w:r w:rsidR="0334C8D3" w:rsidRPr="00A27A88">
        <w:rPr>
          <w:rFonts w:ascii="Verdana" w:hAnsi="Verdana"/>
          <w:sz w:val="20"/>
          <w:szCs w:val="20"/>
        </w:rPr>
        <w:t xml:space="preserve"> </w:t>
      </w:r>
      <w:r w:rsidR="66CFC04F" w:rsidRPr="00A27A88">
        <w:rPr>
          <w:rFonts w:ascii="Verdana" w:hAnsi="Verdana"/>
          <w:sz w:val="20"/>
          <w:szCs w:val="20"/>
        </w:rPr>
        <w:t>compte l</w:t>
      </w:r>
      <w:r w:rsidR="0D46352B" w:rsidRPr="00A27A88">
        <w:rPr>
          <w:rFonts w:ascii="Verdana" w:hAnsi="Verdana"/>
          <w:sz w:val="20"/>
          <w:szCs w:val="20"/>
        </w:rPr>
        <w:t xml:space="preserve">a spécificité de </w:t>
      </w:r>
      <w:r w:rsidR="17D641DC" w:rsidRPr="00A27A88">
        <w:rPr>
          <w:rFonts w:ascii="Verdana" w:hAnsi="Verdana"/>
          <w:sz w:val="20"/>
          <w:szCs w:val="20"/>
        </w:rPr>
        <w:t xml:space="preserve">Madagascar ainsi que </w:t>
      </w:r>
      <w:r w:rsidR="02F16827" w:rsidRPr="00A27A88">
        <w:rPr>
          <w:rFonts w:ascii="Verdana" w:hAnsi="Verdana"/>
          <w:sz w:val="20"/>
          <w:szCs w:val="20"/>
        </w:rPr>
        <w:t xml:space="preserve">de revoir </w:t>
      </w:r>
      <w:r w:rsidR="17D641DC" w:rsidRPr="00A27A88">
        <w:rPr>
          <w:rFonts w:ascii="Verdana" w:hAnsi="Verdana"/>
          <w:sz w:val="20"/>
          <w:szCs w:val="20"/>
        </w:rPr>
        <w:t>l</w:t>
      </w:r>
      <w:r w:rsidR="008109F4">
        <w:rPr>
          <w:rFonts w:ascii="Verdana" w:hAnsi="Verdana"/>
          <w:sz w:val="20"/>
          <w:szCs w:val="20"/>
        </w:rPr>
        <w:t>’</w:t>
      </w:r>
      <w:r w:rsidR="17D641DC" w:rsidRPr="00A27A88">
        <w:rPr>
          <w:rFonts w:ascii="Verdana" w:hAnsi="Verdana"/>
          <w:sz w:val="20"/>
          <w:szCs w:val="20"/>
        </w:rPr>
        <w:t xml:space="preserve">article </w:t>
      </w:r>
      <w:r w:rsidR="6289589C" w:rsidRPr="00A27A88">
        <w:rPr>
          <w:rFonts w:ascii="Verdana" w:hAnsi="Verdana"/>
          <w:sz w:val="20"/>
          <w:szCs w:val="20"/>
        </w:rPr>
        <w:t xml:space="preserve">15 portant sur </w:t>
      </w:r>
      <w:r w:rsidR="0996418A" w:rsidRPr="00A27A88">
        <w:rPr>
          <w:rFonts w:ascii="Verdana" w:hAnsi="Verdana"/>
          <w:sz w:val="20"/>
          <w:szCs w:val="20"/>
        </w:rPr>
        <w:t>l</w:t>
      </w:r>
      <w:r w:rsidR="008109F4">
        <w:rPr>
          <w:rFonts w:ascii="Verdana" w:hAnsi="Verdana"/>
          <w:sz w:val="20"/>
          <w:szCs w:val="20"/>
        </w:rPr>
        <w:t>’</w:t>
      </w:r>
      <w:r w:rsidR="0996418A" w:rsidRPr="00A27A88">
        <w:rPr>
          <w:rFonts w:ascii="Verdana" w:hAnsi="Verdana"/>
          <w:sz w:val="20"/>
          <w:szCs w:val="20"/>
        </w:rPr>
        <w:t>indemnisation</w:t>
      </w:r>
      <w:r w:rsidR="1BD8A4F0" w:rsidRPr="00A27A88">
        <w:rPr>
          <w:rFonts w:ascii="Verdana" w:hAnsi="Verdana"/>
          <w:sz w:val="20"/>
          <w:szCs w:val="20"/>
        </w:rPr>
        <w:t xml:space="preserve"> en attendant les retours des OP</w:t>
      </w:r>
      <w:r w:rsidR="008109F4">
        <w:rPr>
          <w:rFonts w:ascii="Verdana" w:hAnsi="Verdana"/>
          <w:sz w:val="20"/>
          <w:szCs w:val="20"/>
        </w:rPr>
        <w:t xml:space="preserve">L </w:t>
      </w:r>
      <w:r w:rsidR="6DA6AD9B" w:rsidRPr="00A27A88">
        <w:rPr>
          <w:rFonts w:ascii="Verdana" w:hAnsi="Verdana"/>
          <w:sz w:val="20"/>
          <w:szCs w:val="20"/>
        </w:rPr>
        <w:t>(cf décision 17</w:t>
      </w:r>
      <w:r w:rsidR="008109F4">
        <w:rPr>
          <w:rFonts w:ascii="Verdana" w:hAnsi="Verdana"/>
          <w:sz w:val="20"/>
          <w:szCs w:val="20"/>
        </w:rPr>
        <w:t>.</w:t>
      </w:r>
      <w:r w:rsidR="6DA6AD9B" w:rsidRPr="00A27A88">
        <w:rPr>
          <w:rFonts w:ascii="Verdana" w:hAnsi="Verdana"/>
          <w:sz w:val="20"/>
          <w:szCs w:val="20"/>
        </w:rPr>
        <w:t xml:space="preserve">d). </w:t>
      </w:r>
      <w:r w:rsidR="007C7AF0">
        <w:rPr>
          <w:rFonts w:ascii="Verdana" w:hAnsi="Verdana"/>
          <w:sz w:val="20"/>
          <w:szCs w:val="20"/>
        </w:rPr>
        <w:t>Le projet d’accord révisé, intégrant les modifications susmentionnées (suppression des occurrences « P</w:t>
      </w:r>
      <w:r w:rsidR="00597059">
        <w:rPr>
          <w:rFonts w:ascii="Verdana" w:hAnsi="Verdana"/>
          <w:sz w:val="20"/>
          <w:szCs w:val="20"/>
        </w:rPr>
        <w:t>EI</w:t>
      </w:r>
      <w:r w:rsidR="007C7AF0">
        <w:rPr>
          <w:rFonts w:ascii="Verdana" w:hAnsi="Verdana"/>
          <w:sz w:val="20"/>
          <w:szCs w:val="20"/>
        </w:rPr>
        <w:t>D » et suppression de l’article 15)</w:t>
      </w:r>
      <w:r w:rsidR="00ED2331">
        <w:rPr>
          <w:rFonts w:ascii="Verdana" w:hAnsi="Verdana"/>
          <w:sz w:val="20"/>
          <w:szCs w:val="20"/>
        </w:rPr>
        <w:t xml:space="preserve">, est soumis pour validation en vue de sa signature (Annexe </w:t>
      </w:r>
      <w:r w:rsidR="00CE1B00">
        <w:rPr>
          <w:rFonts w:ascii="Verdana" w:hAnsi="Verdana"/>
          <w:sz w:val="20"/>
          <w:szCs w:val="20"/>
        </w:rPr>
        <w:t>6</w:t>
      </w:r>
      <w:r w:rsidR="00ED2331">
        <w:rPr>
          <w:rFonts w:ascii="Verdana" w:hAnsi="Verdana"/>
          <w:sz w:val="20"/>
          <w:szCs w:val="20"/>
        </w:rPr>
        <w:t xml:space="preserve">). </w:t>
      </w:r>
    </w:p>
    <w:p w14:paraId="74BAE123" w14:textId="77777777" w:rsidR="000F6772" w:rsidRPr="00A27A88" w:rsidRDefault="000F6772" w:rsidP="00761EF3">
      <w:pPr>
        <w:spacing w:after="80" w:line="276" w:lineRule="auto"/>
        <w:jc w:val="both"/>
        <w:rPr>
          <w:rFonts w:ascii="Verdana" w:hAnsi="Verdana"/>
          <w:sz w:val="20"/>
          <w:szCs w:val="20"/>
        </w:rPr>
      </w:pPr>
    </w:p>
    <w:p w14:paraId="3F5B79C6" w14:textId="6827D12D" w:rsidR="001A7949" w:rsidRDefault="009C3076" w:rsidP="00761EF3">
      <w:pPr>
        <w:pStyle w:val="Sous-partie2"/>
        <w:spacing w:after="80"/>
      </w:pPr>
      <w:r>
        <w:t>Promotion d</w:t>
      </w:r>
      <w:r w:rsidR="00901CDD">
        <w:t>u</w:t>
      </w:r>
      <w:r w:rsidR="00901CDD" w:rsidRPr="00901CDD">
        <w:t xml:space="preserve"> développement économique intégré, durable et innovant</w:t>
      </w:r>
      <w:r w:rsidR="0014389E">
        <w:t> : partenariats avec l’OEACP, l’AUDA-NEPAD et la SADC</w:t>
      </w:r>
    </w:p>
    <w:p w14:paraId="69543178" w14:textId="7CD63C8D" w:rsidR="00962BC9" w:rsidRPr="000D3C13" w:rsidRDefault="00962BC9" w:rsidP="00761EF3">
      <w:pPr>
        <w:pStyle w:val="Paragraphe"/>
        <w:spacing w:after="80"/>
      </w:pPr>
      <w:r w:rsidRPr="000D3C13">
        <w:t xml:space="preserve">Une proposition </w:t>
      </w:r>
      <w:r>
        <w:t>de protocole d’entente</w:t>
      </w:r>
      <w:r w:rsidRPr="000D3C13">
        <w:t xml:space="preserve"> a été élaborée conjointement par l</w:t>
      </w:r>
      <w:r>
        <w:t>e Secrétariat général de la</w:t>
      </w:r>
      <w:r w:rsidRPr="000D3C13">
        <w:t xml:space="preserve"> COI et l</w:t>
      </w:r>
      <w:r>
        <w:t xml:space="preserve">e Secrétariat exécutif de la </w:t>
      </w:r>
      <w:r w:rsidRPr="000D3C13">
        <w:t xml:space="preserve">SADC. </w:t>
      </w:r>
      <w:r>
        <w:t xml:space="preserve">Ce protocole d’entente, non contraignant, prévoit de faciliter et encadrer les collaborations entre les deux institutions dans les domaines (i) de l’agriculture et de la sécurité alimentaire, (ii) de la promotion du développement durable, notamment de l’économie bleue et circulaire ; (iii) du soutien aux PME et à l’entrepreneuriat ; (iv) du développement et de la promotion du tourisme durable et (v) de la promotion du développement industriel. Ce cadre permettra de renforcer les collaborations entre les deux institutions tout en veillant à une prise en compte des besoins spécifiques des États membres insulaires des deux organisations. Le protocole d’entente porte sur une durée de 5 ans reconductible sur décision commune via un accord d’extension. </w:t>
      </w:r>
      <w:r w:rsidRPr="000D3C13">
        <w:t xml:space="preserve">La dernière version consolidée a été partagée par la SADC le 14 juillet 2026 pour des précisions auprès de la COI. Elle est dorénavant, soumise aux États membres de la COI pour examen, amendements et validation (Annexe </w:t>
      </w:r>
      <w:r w:rsidR="00CE1B00">
        <w:t>7</w:t>
      </w:r>
      <w:r w:rsidRPr="000D3C13">
        <w:t>).</w:t>
      </w:r>
    </w:p>
    <w:p w14:paraId="7218D6C1" w14:textId="19542363" w:rsidR="000D3C13" w:rsidRPr="000D3C13" w:rsidRDefault="5576E744" w:rsidP="00761EF3">
      <w:pPr>
        <w:pStyle w:val="Paragraphe"/>
        <w:spacing w:before="240" w:after="80"/>
      </w:pPr>
      <w:r w:rsidRPr="3C73634C">
        <w:t>Conformément à la décision 4b) du COPL 01/2024, les échanges avec l’OEACP ont repris en mars 2026 avec de nouveaux interlocuteurs, dans l’objectif de poursuivre la consolidation du cadre de partenariat proposé par la COI en 2024. Malgré plusieurs relances du Secrétariat général, aucun retour n’a pu être obtenu à ce stade. À la suite d’une rencontre entre les deux Secrétaires généraux en août 2026, les éléments du dossier ont été retransmis à l’OEACP afin de faciliter la poursuite des échanges et la finalisation du cadre de partenariat.</w:t>
      </w:r>
    </w:p>
    <w:p w14:paraId="008FF56E" w14:textId="056DE37B" w:rsidR="000D3C13" w:rsidRPr="000D3C13" w:rsidRDefault="3A3CA025" w:rsidP="00761EF3">
      <w:pPr>
        <w:pStyle w:val="Paragraphe"/>
        <w:spacing w:after="80"/>
      </w:pPr>
      <w:r>
        <w:t xml:space="preserve">Conformément à la décision 4b) du COPL n°02/2025, et dans une optique de formalisation de la coopération sur des thématiques d’intérêt commun, le Secrétaire général a initié des échanges avec </w:t>
      </w:r>
      <w:r w:rsidR="0081484D">
        <w:t xml:space="preserve">l’Agence de développement de l’Union africaine </w:t>
      </w:r>
      <w:r w:rsidR="00F04C27">
        <w:t>–</w:t>
      </w:r>
      <w:r w:rsidR="0081484D">
        <w:t xml:space="preserve"> </w:t>
      </w:r>
      <w:r w:rsidR="00F04C27">
        <w:t>Nouveau partenariat pour le développement de l’Afrique (</w:t>
      </w:r>
      <w:r>
        <w:t>AUDA-NEPAD</w:t>
      </w:r>
      <w:r w:rsidR="00F04C27">
        <w:t>)</w:t>
      </w:r>
      <w:r>
        <w:t xml:space="preserve"> </w:t>
      </w:r>
      <w:r w:rsidR="31F6311E">
        <w:t>en vue d’élaborer un cadre de partenariat structuré pouvant ouvrir la voie à des collaborations en termes d’expertises et de financements</w:t>
      </w:r>
      <w:r>
        <w:t>. Une relance officielle a été envoyée à l’AUDA-NEPAD le 08 juin 2026 pour la désignation du point focal. Aucun retour officiel n’a été reçu à ce jour.</w:t>
      </w:r>
    </w:p>
    <w:p w14:paraId="0D458B09" w14:textId="5123DF83" w:rsidR="20CB7062" w:rsidRDefault="20CB7062" w:rsidP="00761EF3">
      <w:pPr>
        <w:pStyle w:val="Sous-partie2"/>
        <w:numPr>
          <w:ilvl w:val="0"/>
          <w:numId w:val="0"/>
        </w:numPr>
        <w:spacing w:after="80"/>
        <w:rPr>
          <w:color w:val="595959" w:themeColor="text1" w:themeTint="A6"/>
        </w:rPr>
      </w:pPr>
    </w:p>
    <w:p w14:paraId="3E6EE92C" w14:textId="51A0EAFB" w:rsidR="0B94CEC1" w:rsidRDefault="0B94CEC1" w:rsidP="00761EF3">
      <w:pPr>
        <w:pStyle w:val="Sous-partie2"/>
        <w:spacing w:after="80"/>
      </w:pPr>
      <w:r w:rsidRPr="20CB7062">
        <w:t>Plateforme d’Intervention Régionale Océan Indien (PIROI) - Croix Rouge</w:t>
      </w:r>
    </w:p>
    <w:p w14:paraId="09BB55AE" w14:textId="7A5A5B5F" w:rsidR="401627E6" w:rsidRDefault="401627E6" w:rsidP="00761EF3">
      <w:pPr>
        <w:pStyle w:val="Sous-partie2"/>
        <w:numPr>
          <w:ilvl w:val="0"/>
          <w:numId w:val="0"/>
        </w:numPr>
        <w:spacing w:after="80"/>
      </w:pPr>
      <w:r w:rsidRPr="20CB7062">
        <w:rPr>
          <w:color w:val="auto"/>
        </w:rPr>
        <w:t>La COI et la PIROI sont liés par un accord-cadre de coopération signé en février 2016. Afin de tenir compte des évolutions intervenues depuis, notamment l'inauguration du PIROI Center en novembre 2024 en présence du Secrétaire général de la COI, le PIROI a proposé de résilier cet accord et de le remplacer par un nouveau cadre de partenariat. Ce nouvel accord est aligné sur le Plan de développement stratégique (PDS) 2023-2033 de la COI et le Cadre stratégique 2024-2030 du PIROI, tout en intégrant les défis croissants liés au changement climatique, aux catastrophes naturelles et aux risques sanitaires dans l'Indianocéanie. Il élargit les domaines de coopération afin de renforcer la résilience des populations, la prévention et la gestion des catastrophes et des épidémies, la promotion de l'approche One Health, le développement des capacités, la recherche et l'innovation, ainsi que la mobilisation de ressources conjointes. Il reconnaît également le rôle du PIROI Center comme partenaire opérationnel de la COI pour la mise en œuvre d'actions et de projets régionaux. Le présent projet d'accord-cadre est soumis pour examen et approbation</w:t>
      </w:r>
      <w:r w:rsidR="00577C95">
        <w:rPr>
          <w:color w:val="auto"/>
        </w:rPr>
        <w:t xml:space="preserve"> (Annexe </w:t>
      </w:r>
      <w:r w:rsidR="00CE1B00">
        <w:rPr>
          <w:color w:val="auto"/>
        </w:rPr>
        <w:t>8</w:t>
      </w:r>
      <w:r w:rsidR="00577C95">
        <w:rPr>
          <w:color w:val="auto"/>
        </w:rPr>
        <w:t>)</w:t>
      </w:r>
      <w:r w:rsidRPr="20CB7062">
        <w:rPr>
          <w:color w:val="auto"/>
        </w:rPr>
        <w:t>.</w:t>
      </w:r>
    </w:p>
    <w:p w14:paraId="6C9853B6" w14:textId="045CFA9A" w:rsidR="20CB7062" w:rsidRDefault="20CB7062" w:rsidP="00761EF3">
      <w:pPr>
        <w:pStyle w:val="Sous-partie2"/>
        <w:numPr>
          <w:ilvl w:val="0"/>
          <w:numId w:val="0"/>
        </w:numPr>
        <w:spacing w:after="80"/>
        <w:rPr>
          <w:color w:val="auto"/>
        </w:rPr>
      </w:pPr>
    </w:p>
    <w:p w14:paraId="65FFA797" w14:textId="1C2CA459" w:rsidR="323B8D7B" w:rsidRDefault="323B8D7B" w:rsidP="00761EF3">
      <w:pPr>
        <w:pStyle w:val="Sous-partie2"/>
        <w:spacing w:after="80"/>
      </w:pPr>
      <w:r w:rsidRPr="00B34B24">
        <w:t>Institut</w:t>
      </w:r>
      <w:r w:rsidRPr="20CB7062">
        <w:t xml:space="preserve"> </w:t>
      </w:r>
      <w:r w:rsidR="3C1281EC" w:rsidRPr="20CB7062">
        <w:t>de Recherche et Développement</w:t>
      </w:r>
      <w:r w:rsidR="00597059">
        <w:t xml:space="preserve"> (IRD)</w:t>
      </w:r>
    </w:p>
    <w:p w14:paraId="390FAB0A" w14:textId="614D1329" w:rsidR="00ED7C32" w:rsidRPr="00ED7C32" w:rsidRDefault="00783F58" w:rsidP="00761EF3">
      <w:pPr>
        <w:pStyle w:val="Paragraphe"/>
        <w:spacing w:after="80"/>
      </w:pPr>
      <w:r>
        <w:t>En 2022, l</w:t>
      </w:r>
      <w:r w:rsidR="00ED7C32" w:rsidRPr="00ED7C32">
        <w:t>a COI a signé un accord</w:t>
      </w:r>
      <w:r w:rsidR="00001756">
        <w:t>-</w:t>
      </w:r>
      <w:r w:rsidR="00ED7C32" w:rsidRPr="00ED7C32">
        <w:t xml:space="preserve">cadre de partenariat avec l’Institut de Recherche et Développement (IRD) dans divers domaines tels que le développement durable et l’économie bleue, </w:t>
      </w:r>
      <w:r w:rsidRPr="00ED7C32">
        <w:t>le renforcement</w:t>
      </w:r>
      <w:r w:rsidR="00ED7C32" w:rsidRPr="00ED7C32">
        <w:t xml:space="preserve"> de la résilience des populations côtières et la </w:t>
      </w:r>
      <w:r>
        <w:t>lutte</w:t>
      </w:r>
      <w:r w:rsidR="00ED7C32" w:rsidRPr="00ED7C32">
        <w:t xml:space="preserve"> contre la pollution plastique, la santé, la culture, la communication, la recherche et l’innovation.</w:t>
      </w:r>
    </w:p>
    <w:p w14:paraId="29216884" w14:textId="67C12AA6" w:rsidR="00ED7C32" w:rsidRPr="00ED7C32" w:rsidRDefault="00ED7C32" w:rsidP="00761EF3">
      <w:pPr>
        <w:pStyle w:val="Paragraphe"/>
        <w:spacing w:after="80"/>
      </w:pPr>
      <w:r w:rsidRPr="00ED7C32">
        <w:t xml:space="preserve">A titre de rappel, </w:t>
      </w:r>
      <w:r w:rsidR="00783F58">
        <w:t>l</w:t>
      </w:r>
      <w:r w:rsidRPr="00ED7C32">
        <w:t>’IRD a pour mission de promouvoir et de réaliser tous travaux de recherche scientifique, en France et hors de France, susceptibles de contribuer durablement au progrès économique, social et culturel des pays en développement.</w:t>
      </w:r>
    </w:p>
    <w:p w14:paraId="01B3472E" w14:textId="5FC6E545" w:rsidR="00ED7C32" w:rsidRPr="00ED7C32" w:rsidRDefault="00ED7C32" w:rsidP="00761EF3">
      <w:pPr>
        <w:pStyle w:val="Paragraphe"/>
        <w:spacing w:after="80"/>
      </w:pPr>
      <w:r w:rsidRPr="00ED7C32">
        <w:t xml:space="preserve">L’IRD et </w:t>
      </w:r>
      <w:r w:rsidRPr="00ED7C32">
        <w:rPr>
          <w:bCs/>
        </w:rPr>
        <w:t>la COI</w:t>
      </w:r>
      <w:r w:rsidRPr="00ED7C32">
        <w:t xml:space="preserve"> ont des préoccupations et objectifs communs en matière de recherche pour le développement et de renforcement de la coopération scientifique dans l’océan Indien.</w:t>
      </w:r>
    </w:p>
    <w:p w14:paraId="7F8D0C99" w14:textId="77777777" w:rsidR="00D93785" w:rsidRDefault="00ED7C32" w:rsidP="00761EF3">
      <w:pPr>
        <w:pStyle w:val="Paragraphe"/>
        <w:spacing w:after="80"/>
      </w:pPr>
      <w:r w:rsidRPr="00ED7C32">
        <w:t>Et au vu des résultats obtenus par le passé, le renouvellement de l’accord</w:t>
      </w:r>
      <w:r w:rsidR="00001756">
        <w:t>-</w:t>
      </w:r>
      <w:r w:rsidR="00001756" w:rsidRPr="00ED7C32">
        <w:t>cadre</w:t>
      </w:r>
      <w:r w:rsidRPr="00ED7C32">
        <w:t xml:space="preserve"> de coopération, permettra d’optimiser et pérenniser les actions engagées en matière de recherche dans divers domaines</w:t>
      </w:r>
      <w:r w:rsidR="00001756">
        <w:t>, notamment dans le cadre d</w:t>
      </w:r>
      <w:r w:rsidRPr="00ED7C32">
        <w:t>es projets ExPLOI et RECOS de la COI</w:t>
      </w:r>
      <w:r w:rsidR="00001756">
        <w:t xml:space="preserve"> pour les</w:t>
      </w:r>
      <w:r w:rsidR="00B978BA">
        <w:t xml:space="preserve">quels l’IRD contribuent directement à la mise en œuvre d’une composante scientifique pour l’un et d’activités </w:t>
      </w:r>
      <w:r w:rsidR="00D93785">
        <w:t xml:space="preserve">conjointes pour l’autre. Des accords spécifiques d’application sont établis pour la mise en œuvre de ces activités conformément aux conventions de financement. </w:t>
      </w:r>
    </w:p>
    <w:p w14:paraId="55BE5E2A" w14:textId="565476A5" w:rsidR="00ED7C32" w:rsidRDefault="00D93785" w:rsidP="00761EF3">
      <w:pPr>
        <w:pStyle w:val="Paragraphe"/>
        <w:spacing w:after="80"/>
      </w:pPr>
      <w:r>
        <w:t>Tenant compte de</w:t>
      </w:r>
      <w:r w:rsidR="00726194">
        <w:t xml:space="preserve">s collaborations en cours entre la COI et l’IRD, notamment dans le cadre des projets susmentionnés, le Secrétariat général propose aux instances </w:t>
      </w:r>
      <w:r w:rsidR="00EB26AC">
        <w:t xml:space="preserve">donner mandat au Secrétaire général de </w:t>
      </w:r>
      <w:r w:rsidR="001824AF">
        <w:t>formaliser le renouvellement de l’accord-cadre dont le projet est annexé à la présente fiche</w:t>
      </w:r>
      <w:r w:rsidR="00577C95">
        <w:t xml:space="preserve"> (Annexe </w:t>
      </w:r>
      <w:r w:rsidR="000F622C" w:rsidRPr="000F622C">
        <w:t>9</w:t>
      </w:r>
      <w:r w:rsidR="00577C95" w:rsidRPr="000F622C">
        <w:t>)</w:t>
      </w:r>
      <w:r w:rsidR="001824AF" w:rsidRPr="000F622C">
        <w:t>.</w:t>
      </w:r>
      <w:r w:rsidR="001824AF">
        <w:t xml:space="preserve"> </w:t>
      </w:r>
    </w:p>
    <w:p w14:paraId="415C7D49" w14:textId="77777777" w:rsidR="000F6772" w:rsidRPr="00ED7C32" w:rsidRDefault="000F6772" w:rsidP="00761EF3">
      <w:pPr>
        <w:pStyle w:val="Paragraphe"/>
        <w:spacing w:after="80"/>
      </w:pPr>
    </w:p>
    <w:p w14:paraId="4E637322" w14:textId="730A19A7" w:rsidR="00E67FED" w:rsidRPr="00B34B24" w:rsidRDefault="6F802D76" w:rsidP="00761EF3">
      <w:pPr>
        <w:pStyle w:val="Sous-partie2"/>
        <w:spacing w:after="80"/>
      </w:pPr>
      <w:r>
        <w:t xml:space="preserve">CIRAD – </w:t>
      </w:r>
      <w:r w:rsidR="73F1EA76">
        <w:t>P</w:t>
      </w:r>
      <w:r w:rsidR="19558B98">
        <w:t>lateforme régionale en recherche agronomique pour le développement dans l'océan Indien (P</w:t>
      </w:r>
      <w:r w:rsidR="389CABD6">
        <w:t>ReRAD-OI)</w:t>
      </w:r>
    </w:p>
    <w:p w14:paraId="5219E110" w14:textId="56707B4A" w:rsidR="58F9E15C" w:rsidRPr="00A27A88" w:rsidRDefault="58F9E15C" w:rsidP="00761EF3">
      <w:pPr>
        <w:spacing w:after="80"/>
        <w:jc w:val="both"/>
        <w:rPr>
          <w:rFonts w:ascii="Verdana" w:eastAsia="Trebuchet MS" w:hAnsi="Verdana" w:cs="Trebuchet MS"/>
          <w:sz w:val="20"/>
          <w:szCs w:val="20"/>
        </w:rPr>
      </w:pPr>
      <w:r w:rsidRPr="00A27A88">
        <w:rPr>
          <w:rFonts w:ascii="Verdana" w:eastAsia="Trebuchet MS" w:hAnsi="Verdana" w:cs="Trebuchet MS"/>
          <w:sz w:val="20"/>
          <w:szCs w:val="20"/>
        </w:rPr>
        <w:t>Un accord-cadre de coopération scientifique régionale pour la Plateforme Régionale en Recherche Agronomique pour le Développement (PRéRAD-OI) a été signé le 26 novembre 2021 par le Secrétaire général de la COI, le Préfet de la Réunion, le Conseil régional de La Réunion, le Conseil départemental de La Réunion et le Cirad</w:t>
      </w:r>
      <w:r w:rsidR="00C20954">
        <w:rPr>
          <w:rFonts w:ascii="Verdana" w:eastAsia="Trebuchet MS" w:hAnsi="Verdana" w:cs="Trebuchet MS"/>
          <w:sz w:val="20"/>
          <w:szCs w:val="20"/>
        </w:rPr>
        <w:t xml:space="preserve"> (Annexe 10)</w:t>
      </w:r>
      <w:r w:rsidRPr="00A27A88">
        <w:rPr>
          <w:rFonts w:ascii="Verdana" w:eastAsia="Trebuchet MS" w:hAnsi="Verdana" w:cs="Trebuchet MS"/>
          <w:sz w:val="20"/>
          <w:szCs w:val="20"/>
        </w:rPr>
        <w:t>.</w:t>
      </w:r>
    </w:p>
    <w:p w14:paraId="5BAC8DC1" w14:textId="358CEE3D" w:rsidR="58F9E15C" w:rsidRPr="00A27A88" w:rsidRDefault="005161DF" w:rsidP="00761EF3">
      <w:pPr>
        <w:spacing w:after="80"/>
        <w:jc w:val="both"/>
        <w:rPr>
          <w:rFonts w:ascii="Verdana" w:eastAsia="Trebuchet MS" w:hAnsi="Verdana" w:cs="Trebuchet MS"/>
          <w:sz w:val="20"/>
          <w:szCs w:val="20"/>
        </w:rPr>
      </w:pPr>
      <w:r>
        <w:rPr>
          <w:rFonts w:ascii="Verdana" w:eastAsia="Trebuchet MS" w:hAnsi="Verdana" w:cs="Trebuchet MS"/>
          <w:sz w:val="20"/>
          <w:szCs w:val="20"/>
        </w:rPr>
        <w:t>C</w:t>
      </w:r>
      <w:r w:rsidR="58F9E15C" w:rsidRPr="00A27A88">
        <w:rPr>
          <w:rFonts w:ascii="Verdana" w:eastAsia="Trebuchet MS" w:hAnsi="Verdana" w:cs="Trebuchet MS"/>
          <w:sz w:val="20"/>
          <w:szCs w:val="20"/>
        </w:rPr>
        <w:t>et accord-cadre de coopération scientifique régionale porte sur le renforcement, à travers le PRéRAD-OI, des systèmes nationaux en recherche agricole ainsi que la promotion des partenariats institutionnels et scientifiques, qui associent les principales structures de recherche et de développement des États membres de la COI.</w:t>
      </w:r>
    </w:p>
    <w:p w14:paraId="641C4843" w14:textId="083F3709" w:rsidR="58F9E15C" w:rsidRPr="00A27A88" w:rsidRDefault="58F9E15C" w:rsidP="00761EF3">
      <w:pPr>
        <w:spacing w:after="80"/>
        <w:jc w:val="both"/>
        <w:rPr>
          <w:rFonts w:ascii="Verdana" w:eastAsia="Trebuchet MS" w:hAnsi="Verdana" w:cs="Trebuchet MS"/>
          <w:sz w:val="20"/>
          <w:szCs w:val="20"/>
        </w:rPr>
      </w:pPr>
      <w:r w:rsidRPr="00A27A88">
        <w:rPr>
          <w:rFonts w:ascii="Verdana" w:eastAsia="Trebuchet MS" w:hAnsi="Verdana" w:cs="Trebuchet MS"/>
          <w:sz w:val="20"/>
          <w:szCs w:val="20"/>
        </w:rPr>
        <w:t xml:space="preserve">La </w:t>
      </w:r>
      <w:r w:rsidR="00881C70" w:rsidRPr="00A27A88">
        <w:rPr>
          <w:rFonts w:ascii="Verdana" w:eastAsia="Trebuchet MS" w:hAnsi="Verdana" w:cs="Trebuchet MS"/>
          <w:sz w:val="20"/>
          <w:szCs w:val="20"/>
        </w:rPr>
        <w:t>période</w:t>
      </w:r>
      <w:r w:rsidRPr="00A27A88">
        <w:rPr>
          <w:rFonts w:ascii="Verdana" w:eastAsia="Trebuchet MS" w:hAnsi="Verdana" w:cs="Trebuchet MS"/>
          <w:sz w:val="20"/>
          <w:szCs w:val="20"/>
        </w:rPr>
        <w:t xml:space="preserve"> de mise en œuvre de l’accord a été prévue initialement pour trois an</w:t>
      </w:r>
      <w:r w:rsidR="004228D9">
        <w:rPr>
          <w:rFonts w:ascii="Verdana" w:eastAsia="Trebuchet MS" w:hAnsi="Verdana" w:cs="Trebuchet MS"/>
          <w:sz w:val="20"/>
          <w:szCs w:val="20"/>
        </w:rPr>
        <w:t>s</w:t>
      </w:r>
      <w:r w:rsidR="00881C70" w:rsidRPr="00A27A88">
        <w:rPr>
          <w:rFonts w:ascii="Verdana" w:eastAsia="Trebuchet MS" w:hAnsi="Verdana" w:cs="Trebuchet MS"/>
          <w:sz w:val="20"/>
          <w:szCs w:val="20"/>
        </w:rPr>
        <w:t xml:space="preserve">, soit </w:t>
      </w:r>
      <w:r w:rsidR="436EEA6F" w:rsidRPr="00A27A88">
        <w:rPr>
          <w:rFonts w:ascii="Verdana" w:eastAsia="Trebuchet MS" w:hAnsi="Verdana" w:cs="Trebuchet MS"/>
          <w:sz w:val="20"/>
          <w:szCs w:val="20"/>
        </w:rPr>
        <w:t>jusqu’au</w:t>
      </w:r>
      <w:r w:rsidRPr="00A27A88">
        <w:rPr>
          <w:rFonts w:ascii="Verdana" w:eastAsia="Trebuchet MS" w:hAnsi="Verdana" w:cs="Trebuchet MS"/>
          <w:sz w:val="20"/>
          <w:szCs w:val="20"/>
        </w:rPr>
        <w:t xml:space="preserve"> 31 décembre 202</w:t>
      </w:r>
      <w:r w:rsidR="00881C70" w:rsidRPr="00A27A88">
        <w:rPr>
          <w:rFonts w:ascii="Verdana" w:eastAsia="Trebuchet MS" w:hAnsi="Verdana" w:cs="Trebuchet MS"/>
          <w:sz w:val="20"/>
          <w:szCs w:val="20"/>
        </w:rPr>
        <w:t>4.</w:t>
      </w:r>
    </w:p>
    <w:p w14:paraId="252F9E1E" w14:textId="7A9C7C9D" w:rsidR="58F9E15C" w:rsidRPr="00A27A88" w:rsidRDefault="58F9E15C" w:rsidP="00761EF3">
      <w:pPr>
        <w:spacing w:after="80"/>
        <w:jc w:val="both"/>
        <w:rPr>
          <w:rFonts w:ascii="Verdana" w:hAnsi="Verdana"/>
          <w:sz w:val="20"/>
          <w:szCs w:val="20"/>
        </w:rPr>
      </w:pPr>
      <w:r w:rsidRPr="00A27A88">
        <w:rPr>
          <w:rFonts w:ascii="Verdana" w:eastAsia="Trebuchet MS" w:hAnsi="Verdana" w:cs="Trebuchet MS"/>
          <w:sz w:val="20"/>
          <w:szCs w:val="20"/>
        </w:rPr>
        <w:t xml:space="preserve">A ce titre, une nouvelle version de l’avenant ramenant la durée de l’avenant à 3 ans a </w:t>
      </w:r>
      <w:r w:rsidR="46D97406" w:rsidRPr="00A27A88">
        <w:rPr>
          <w:rFonts w:ascii="Verdana" w:eastAsia="Trebuchet MS" w:hAnsi="Verdana" w:cs="Trebuchet MS"/>
          <w:sz w:val="20"/>
          <w:szCs w:val="20"/>
        </w:rPr>
        <w:t>été</w:t>
      </w:r>
      <w:r w:rsidRPr="00A27A88">
        <w:rPr>
          <w:rFonts w:ascii="Verdana" w:eastAsia="Trebuchet MS" w:hAnsi="Verdana" w:cs="Trebuchet MS"/>
          <w:sz w:val="20"/>
          <w:szCs w:val="20"/>
        </w:rPr>
        <w:t xml:space="preserve"> soumise à l’approbation des Etats membres en vue de sa signature par le </w:t>
      </w:r>
      <w:r w:rsidR="2061763D" w:rsidRPr="00A27A88">
        <w:rPr>
          <w:rFonts w:ascii="Verdana" w:eastAsia="Trebuchet MS" w:hAnsi="Verdana" w:cs="Trebuchet MS"/>
          <w:sz w:val="20"/>
          <w:szCs w:val="20"/>
        </w:rPr>
        <w:t>Secrétaire</w:t>
      </w:r>
      <w:r w:rsidRPr="00A27A88">
        <w:rPr>
          <w:rFonts w:ascii="Verdana" w:eastAsia="Trebuchet MS" w:hAnsi="Verdana" w:cs="Trebuchet MS"/>
          <w:sz w:val="20"/>
          <w:szCs w:val="20"/>
        </w:rPr>
        <w:t xml:space="preserve"> </w:t>
      </w:r>
      <w:r w:rsidR="25B62318" w:rsidRPr="00A27A88">
        <w:rPr>
          <w:rFonts w:ascii="Verdana" w:eastAsia="Trebuchet MS" w:hAnsi="Verdana" w:cs="Trebuchet MS"/>
          <w:sz w:val="20"/>
          <w:szCs w:val="20"/>
        </w:rPr>
        <w:t>général</w:t>
      </w:r>
      <w:r w:rsidR="330407AB" w:rsidRPr="00A27A88">
        <w:rPr>
          <w:rFonts w:ascii="Verdana" w:eastAsia="Trebuchet MS" w:hAnsi="Verdana" w:cs="Trebuchet MS"/>
          <w:sz w:val="20"/>
          <w:szCs w:val="20"/>
        </w:rPr>
        <w:t xml:space="preserve"> (Cf projet d’avenant en annexe</w:t>
      </w:r>
      <w:r w:rsidR="233E14E0" w:rsidRPr="00A27A88">
        <w:rPr>
          <w:rFonts w:ascii="Verdana" w:eastAsia="Trebuchet MS" w:hAnsi="Verdana" w:cs="Trebuchet MS"/>
          <w:sz w:val="20"/>
          <w:szCs w:val="20"/>
        </w:rPr>
        <w:t xml:space="preserve"> </w:t>
      </w:r>
      <w:r w:rsidR="000F622C">
        <w:rPr>
          <w:rFonts w:ascii="Verdana" w:eastAsia="Trebuchet MS" w:hAnsi="Verdana" w:cs="Trebuchet MS"/>
          <w:sz w:val="20"/>
          <w:szCs w:val="20"/>
        </w:rPr>
        <w:t>11</w:t>
      </w:r>
      <w:r w:rsidR="330407AB" w:rsidRPr="00A27A88">
        <w:rPr>
          <w:rFonts w:ascii="Verdana" w:eastAsia="Trebuchet MS" w:hAnsi="Verdana" w:cs="Trebuchet MS"/>
          <w:sz w:val="20"/>
          <w:szCs w:val="20"/>
        </w:rPr>
        <w:t>)</w:t>
      </w:r>
      <w:r w:rsidR="15E56290" w:rsidRPr="00A27A88">
        <w:rPr>
          <w:rFonts w:ascii="Verdana" w:eastAsia="Trebuchet MS" w:hAnsi="Verdana" w:cs="Trebuchet MS"/>
          <w:sz w:val="20"/>
          <w:szCs w:val="20"/>
        </w:rPr>
        <w:t>.</w:t>
      </w:r>
    </w:p>
    <w:p w14:paraId="235F122E" w14:textId="47BF9B5C" w:rsidR="37003CC7" w:rsidRPr="00A27A88" w:rsidRDefault="37003CC7" w:rsidP="00761EF3">
      <w:pPr>
        <w:spacing w:after="80"/>
        <w:jc w:val="both"/>
        <w:rPr>
          <w:rFonts w:ascii="Verdana" w:hAnsi="Verdana"/>
          <w:sz w:val="20"/>
          <w:szCs w:val="20"/>
        </w:rPr>
      </w:pPr>
      <w:r w:rsidRPr="00A27A88">
        <w:rPr>
          <w:rFonts w:ascii="Verdana" w:eastAsia="Trebuchet MS" w:hAnsi="Verdana" w:cs="Trebuchet MS"/>
          <w:sz w:val="20"/>
          <w:szCs w:val="20"/>
        </w:rPr>
        <w:t xml:space="preserve">Les Etats membres ont été saisis à ce sujet par le Secrétariat à travers deux </w:t>
      </w:r>
      <w:r w:rsidR="689F8A8F" w:rsidRPr="00A27A88">
        <w:rPr>
          <w:rFonts w:ascii="Verdana" w:eastAsia="Trebuchet MS" w:hAnsi="Verdana" w:cs="Trebuchet MS"/>
          <w:sz w:val="20"/>
          <w:szCs w:val="20"/>
        </w:rPr>
        <w:t xml:space="preserve">correspondances en date respectivement du </w:t>
      </w:r>
      <w:r w:rsidR="4841AD05" w:rsidRPr="00A27A88">
        <w:rPr>
          <w:rFonts w:ascii="Verdana" w:eastAsia="Trebuchet MS" w:hAnsi="Verdana" w:cs="Trebuchet MS"/>
          <w:sz w:val="20"/>
          <w:szCs w:val="20"/>
        </w:rPr>
        <w:t xml:space="preserve">23 octobre 2024 et du </w:t>
      </w:r>
      <w:r w:rsidR="689F8A8F" w:rsidRPr="00A27A88">
        <w:rPr>
          <w:rFonts w:ascii="Verdana" w:eastAsia="Trebuchet MS" w:hAnsi="Verdana" w:cs="Trebuchet MS"/>
          <w:sz w:val="20"/>
          <w:szCs w:val="20"/>
        </w:rPr>
        <w:t xml:space="preserve">04 </w:t>
      </w:r>
      <w:r w:rsidR="1B05F34D" w:rsidRPr="00A27A88">
        <w:rPr>
          <w:rFonts w:ascii="Verdana" w:eastAsia="Trebuchet MS" w:hAnsi="Verdana" w:cs="Trebuchet MS"/>
          <w:sz w:val="20"/>
          <w:szCs w:val="20"/>
        </w:rPr>
        <w:t>février</w:t>
      </w:r>
      <w:r w:rsidR="689F8A8F" w:rsidRPr="00A27A88">
        <w:rPr>
          <w:rFonts w:ascii="Verdana" w:eastAsia="Trebuchet MS" w:hAnsi="Verdana" w:cs="Trebuchet MS"/>
          <w:sz w:val="20"/>
          <w:szCs w:val="20"/>
        </w:rPr>
        <w:t xml:space="preserve"> 2025</w:t>
      </w:r>
      <w:r w:rsidR="7347C125" w:rsidRPr="00A27A88">
        <w:rPr>
          <w:rFonts w:ascii="Verdana" w:eastAsia="Trebuchet MS" w:hAnsi="Verdana" w:cs="Trebuchet MS"/>
          <w:sz w:val="20"/>
          <w:szCs w:val="20"/>
        </w:rPr>
        <w:t xml:space="preserve">. </w:t>
      </w:r>
    </w:p>
    <w:p w14:paraId="2C8190ED" w14:textId="60902A61" w:rsidR="3C73634C" w:rsidRDefault="7347C125" w:rsidP="00761EF3">
      <w:pPr>
        <w:spacing w:after="80"/>
        <w:jc w:val="both"/>
        <w:rPr>
          <w:rFonts w:ascii="Verdana" w:eastAsia="Trebuchet MS" w:hAnsi="Verdana" w:cs="Trebuchet MS"/>
          <w:sz w:val="20"/>
          <w:szCs w:val="20"/>
        </w:rPr>
      </w:pPr>
      <w:r w:rsidRPr="00A27A88">
        <w:rPr>
          <w:rFonts w:ascii="Verdana" w:eastAsia="Trebuchet MS" w:hAnsi="Verdana" w:cs="Trebuchet MS"/>
          <w:sz w:val="20"/>
          <w:szCs w:val="20"/>
        </w:rPr>
        <w:t xml:space="preserve">La signature de cet avenant est prévue en marge de </w:t>
      </w:r>
      <w:r w:rsidR="3AD90DE6" w:rsidRPr="00A27A88">
        <w:rPr>
          <w:rFonts w:ascii="Verdana" w:eastAsia="Trebuchet MS" w:hAnsi="Verdana" w:cs="Trebuchet MS"/>
          <w:sz w:val="20"/>
          <w:szCs w:val="20"/>
        </w:rPr>
        <w:t>la réunion du comité régional d’orientations stratégiques et techniques de la PRéRAD-OI, laquelle se tiendra à Maurice du</w:t>
      </w:r>
      <w:r w:rsidR="5FEBD1A3" w:rsidRPr="00A27A88">
        <w:rPr>
          <w:rFonts w:ascii="Verdana" w:eastAsia="Trebuchet MS" w:hAnsi="Verdana" w:cs="Trebuchet MS"/>
          <w:sz w:val="20"/>
          <w:szCs w:val="20"/>
        </w:rPr>
        <w:t xml:space="preserve"> 07 au 11 septembre.</w:t>
      </w:r>
    </w:p>
    <w:p w14:paraId="4D1090F6" w14:textId="0B0F3D60" w:rsidR="003E50F1" w:rsidRDefault="003E50F1" w:rsidP="00761EF3">
      <w:pPr>
        <w:spacing w:after="80"/>
        <w:jc w:val="both"/>
        <w:rPr>
          <w:rFonts w:ascii="Verdana" w:eastAsia="Trebuchet MS" w:hAnsi="Verdana" w:cs="Trebuchet MS"/>
          <w:sz w:val="20"/>
          <w:szCs w:val="20"/>
        </w:rPr>
      </w:pPr>
    </w:p>
    <w:p w14:paraId="00423334" w14:textId="00DAB217" w:rsidR="003E50F1" w:rsidRDefault="003E50F1" w:rsidP="003E50F1">
      <w:pPr>
        <w:pStyle w:val="Sous-partie2"/>
      </w:pPr>
      <w:r>
        <w:t>Association des Parlements des Etats membres de la COI (AP-COI)</w:t>
      </w:r>
    </w:p>
    <w:p w14:paraId="24E36C11" w14:textId="79A34EC1" w:rsidR="003E50F1" w:rsidRDefault="003E50F1" w:rsidP="003E50F1">
      <w:pPr>
        <w:spacing w:after="120"/>
        <w:jc w:val="both"/>
        <w:rPr>
          <w:rFonts w:ascii="Verdana" w:eastAsia="Verdana" w:hAnsi="Verdana" w:cs="Verdana"/>
          <w:color w:val="000000" w:themeColor="text1"/>
          <w:sz w:val="20"/>
          <w:szCs w:val="20"/>
        </w:rPr>
      </w:pPr>
      <w:r w:rsidRPr="79F5AB3B">
        <w:rPr>
          <w:rFonts w:ascii="Verdana" w:eastAsia="Verdana" w:hAnsi="Verdana" w:cs="Verdana"/>
          <w:color w:val="000000" w:themeColor="text1"/>
          <w:sz w:val="20"/>
          <w:szCs w:val="20"/>
        </w:rPr>
        <w:t>La décision 11</w:t>
      </w:r>
      <w:r w:rsidR="00700B5C">
        <w:rPr>
          <w:rFonts w:ascii="Verdana" w:eastAsia="Verdana" w:hAnsi="Verdana" w:cs="Verdana"/>
          <w:color w:val="000000" w:themeColor="text1"/>
          <w:sz w:val="20"/>
          <w:szCs w:val="20"/>
        </w:rPr>
        <w:t>-</w:t>
      </w:r>
      <w:r w:rsidRPr="79F5AB3B">
        <w:rPr>
          <w:rFonts w:ascii="Verdana" w:eastAsia="Verdana" w:hAnsi="Verdana" w:cs="Verdana"/>
          <w:color w:val="000000" w:themeColor="text1"/>
          <w:sz w:val="20"/>
          <w:szCs w:val="20"/>
        </w:rPr>
        <w:t>a</w:t>
      </w:r>
      <w:r w:rsidR="00700B5C">
        <w:rPr>
          <w:rFonts w:ascii="Verdana" w:eastAsia="Verdana" w:hAnsi="Verdana" w:cs="Verdana"/>
          <w:color w:val="000000" w:themeColor="text1"/>
          <w:sz w:val="20"/>
          <w:szCs w:val="20"/>
        </w:rPr>
        <w:t>-</w:t>
      </w:r>
      <w:r w:rsidRPr="79F5AB3B">
        <w:rPr>
          <w:rFonts w:ascii="Verdana" w:eastAsia="Verdana" w:hAnsi="Verdana" w:cs="Verdana"/>
          <w:color w:val="000000" w:themeColor="text1"/>
          <w:sz w:val="20"/>
          <w:szCs w:val="20"/>
        </w:rPr>
        <w:t>v) du Comité des OPL, réuni du 11 au 13 novembre 2025, a pris note du projet de Mémorandum d’entente entre la Commission de l’océan Indien et l’Association des Parlements des États membres de la COI (AP-COI).</w:t>
      </w:r>
    </w:p>
    <w:p w14:paraId="1C40C011" w14:textId="75EAB204" w:rsidR="003E50F1" w:rsidRDefault="003E50F1" w:rsidP="003E50F1">
      <w:pPr>
        <w:spacing w:after="120"/>
        <w:jc w:val="both"/>
      </w:pPr>
      <w:r w:rsidRPr="79F5AB3B">
        <w:rPr>
          <w:rFonts w:ascii="Verdana" w:eastAsia="Verdana" w:hAnsi="Verdana" w:cs="Verdana"/>
          <w:color w:val="000000" w:themeColor="text1"/>
          <w:sz w:val="20"/>
          <w:szCs w:val="20"/>
        </w:rPr>
        <w:t>Ce projet de MoU s’inscrit également dans le cadre de la mise en œuvre de la décision 6 c) du 37</w:t>
      </w:r>
      <w:r w:rsidRPr="00700B5C">
        <w:rPr>
          <w:rFonts w:ascii="Verdana" w:eastAsia="Verdana" w:hAnsi="Verdana" w:cs="Verdana"/>
          <w:color w:val="000000" w:themeColor="text1"/>
          <w:sz w:val="20"/>
          <w:szCs w:val="20"/>
          <w:vertAlign w:val="superscript"/>
        </w:rPr>
        <w:t>ème</w:t>
      </w:r>
      <w:r w:rsidRPr="79F5AB3B">
        <w:rPr>
          <w:rFonts w:ascii="Verdana" w:eastAsia="Verdana" w:hAnsi="Verdana" w:cs="Verdana"/>
          <w:color w:val="000000" w:themeColor="text1"/>
          <w:sz w:val="20"/>
          <w:szCs w:val="20"/>
        </w:rPr>
        <w:t xml:space="preserve"> Conseil des </w:t>
      </w:r>
      <w:r w:rsidR="00700B5C">
        <w:rPr>
          <w:rFonts w:ascii="Verdana" w:eastAsia="Verdana" w:hAnsi="Verdana" w:cs="Verdana"/>
          <w:color w:val="000000" w:themeColor="text1"/>
          <w:sz w:val="20"/>
          <w:szCs w:val="20"/>
        </w:rPr>
        <w:t>m</w:t>
      </w:r>
      <w:r w:rsidRPr="79F5AB3B">
        <w:rPr>
          <w:rFonts w:ascii="Verdana" w:eastAsia="Verdana" w:hAnsi="Verdana" w:cs="Verdana"/>
          <w:color w:val="000000" w:themeColor="text1"/>
          <w:sz w:val="20"/>
          <w:szCs w:val="20"/>
        </w:rPr>
        <w:t>inistres du 17 mai 2023, laquelle souligne l’importance d’associer les plateformes régionales, dont l’AP-COI, aux actions de coopération politique et diplomatique de la COI.</w:t>
      </w:r>
    </w:p>
    <w:p w14:paraId="71CDC646" w14:textId="77777777" w:rsidR="003E50F1" w:rsidRDefault="003E50F1" w:rsidP="003E50F1">
      <w:pPr>
        <w:spacing w:after="120"/>
        <w:jc w:val="both"/>
      </w:pPr>
      <w:r w:rsidRPr="79F5AB3B">
        <w:rPr>
          <w:rFonts w:ascii="Verdana" w:eastAsia="Verdana" w:hAnsi="Verdana" w:cs="Verdana"/>
          <w:color w:val="000000" w:themeColor="text1"/>
          <w:sz w:val="20"/>
          <w:szCs w:val="20"/>
        </w:rPr>
        <w:t>Ce Mémorandum vise à formaliser le cadre de collaboration entre la COI et l’AP-COI, notamment afin de renforcer le plaidoyer sur les enjeux d’intérêt commun et de favoriser l’implication des représentants des peuples de la région dans les initiatives de la COI. Le document a déjà été validé par les membres de l’AP-COI, lequel a fait l’objet d’un accord de principe lors de la réunion plénière des 22 et 23 mai 2025.</w:t>
      </w:r>
    </w:p>
    <w:p w14:paraId="6D2E0C4A" w14:textId="7B45DCBC" w:rsidR="003E50F1" w:rsidRDefault="003E50F1" w:rsidP="003E50F1">
      <w:pPr>
        <w:spacing w:after="120"/>
        <w:jc w:val="both"/>
      </w:pPr>
      <w:r w:rsidRPr="79F5AB3B">
        <w:rPr>
          <w:rFonts w:ascii="Verdana" w:eastAsia="Verdana" w:hAnsi="Verdana" w:cs="Verdana"/>
          <w:color w:val="000000" w:themeColor="text1"/>
          <w:sz w:val="20"/>
          <w:szCs w:val="20"/>
        </w:rPr>
        <w:t xml:space="preserve">Le document </w:t>
      </w:r>
      <w:r w:rsidR="00582EA0">
        <w:rPr>
          <w:rFonts w:ascii="Verdana" w:eastAsia="Verdana" w:hAnsi="Verdana" w:cs="Verdana"/>
          <w:color w:val="000000" w:themeColor="text1"/>
          <w:sz w:val="20"/>
          <w:szCs w:val="20"/>
        </w:rPr>
        <w:t xml:space="preserve">a </w:t>
      </w:r>
      <w:r w:rsidRPr="79F5AB3B">
        <w:rPr>
          <w:rFonts w:ascii="Verdana" w:eastAsia="Verdana" w:hAnsi="Verdana" w:cs="Verdana"/>
          <w:color w:val="000000" w:themeColor="text1"/>
          <w:sz w:val="20"/>
          <w:szCs w:val="20"/>
        </w:rPr>
        <w:t>été soumis par la suite au Comité des OPL, réuni du 05 au 07 mai 2026. A l’issue de cette réunion, des consultations supplémentaires entres les États membres ont été engagées en vue de la finalisation du document. Ces consultations étant désormais achevées, les retours des États membres ont été recueillis, notamment celui de Madagascar, qui a fait part de son accueil favorable à la formalisation de la collaboration entre la COI et l’AP-COI et s’est déclaré favorable au texte révisé (Annexe 1</w:t>
      </w:r>
      <w:r w:rsidR="00CB4C89">
        <w:rPr>
          <w:rFonts w:ascii="Verdana" w:eastAsia="Verdana" w:hAnsi="Verdana" w:cs="Verdana"/>
          <w:color w:val="000000" w:themeColor="text1"/>
          <w:sz w:val="20"/>
          <w:szCs w:val="20"/>
        </w:rPr>
        <w:t>2</w:t>
      </w:r>
      <w:r w:rsidRPr="79F5AB3B">
        <w:rPr>
          <w:rFonts w:ascii="Verdana" w:eastAsia="Verdana" w:hAnsi="Verdana" w:cs="Verdana"/>
          <w:color w:val="000000" w:themeColor="text1"/>
          <w:sz w:val="20"/>
          <w:szCs w:val="20"/>
        </w:rPr>
        <w:t>).</w:t>
      </w:r>
    </w:p>
    <w:p w14:paraId="2E8F0F29" w14:textId="77777777" w:rsidR="003E50F1" w:rsidRDefault="003E50F1" w:rsidP="003E50F1">
      <w:pPr>
        <w:spacing w:after="120"/>
        <w:jc w:val="both"/>
      </w:pPr>
      <w:r w:rsidRPr="79F5AB3B">
        <w:rPr>
          <w:rFonts w:ascii="Verdana" w:eastAsia="Verdana" w:hAnsi="Verdana" w:cs="Verdana"/>
          <w:color w:val="000000" w:themeColor="text1"/>
          <w:sz w:val="20"/>
          <w:szCs w:val="20"/>
        </w:rPr>
        <w:t>La prochaine étape consiste désormais à procéder à sa signature par le Secrétariat de la COI et l’AP-COI.</w:t>
      </w:r>
    </w:p>
    <w:p w14:paraId="10141DCF" w14:textId="77777777" w:rsidR="00C562D7" w:rsidRDefault="00C562D7" w:rsidP="00CB4C89">
      <w:pPr>
        <w:pStyle w:val="Paragraphe"/>
      </w:pPr>
    </w:p>
    <w:p w14:paraId="0F5C6E17" w14:textId="77777777" w:rsidR="00CB4C89" w:rsidRPr="00ED7C32" w:rsidRDefault="00CB4C89" w:rsidP="00CB4C89">
      <w:pPr>
        <w:pStyle w:val="Paragraphe"/>
      </w:pPr>
    </w:p>
    <w:p w14:paraId="585F32A5" w14:textId="77777777" w:rsidR="00447470" w:rsidRDefault="508F2885" w:rsidP="00761EF3">
      <w:pPr>
        <w:pStyle w:val="Sous-partie2"/>
        <w:spacing w:after="80"/>
      </w:pPr>
      <w:r>
        <w:t>Organisation internationale du travail</w:t>
      </w:r>
    </w:p>
    <w:p w14:paraId="5726BBC2" w14:textId="77777777" w:rsidR="00447470" w:rsidRPr="00E7710E" w:rsidRDefault="508F2885" w:rsidP="00761EF3">
      <w:pPr>
        <w:pStyle w:val="Paragraphe"/>
        <w:spacing w:after="80"/>
      </w:pPr>
      <w:r>
        <w:t xml:space="preserve">Conformément à la décision 5c) du COPL n°2-2026 et à l’issue du passage du Directeur de l’OIT-OI au Secrétariat général de la COI le 12 juin 2026, il a été convenu que : </w:t>
      </w:r>
    </w:p>
    <w:p w14:paraId="03FDD6D3" w14:textId="77777777" w:rsidR="00447470" w:rsidRPr="00E7710E" w:rsidRDefault="508F2885" w:rsidP="00761EF3">
      <w:pPr>
        <w:pStyle w:val="Paragraphe"/>
        <w:numPr>
          <w:ilvl w:val="0"/>
          <w:numId w:val="25"/>
        </w:numPr>
        <w:spacing w:after="80"/>
      </w:pPr>
      <w:r>
        <w:t>Une attention particulière est portée en faveur des femmes et des jeunes des États membres de la COI, dans toutes les initiatives envisagées dans la mise en œuvre du cadre de partenariat, en vigueur depuis juillet 2023.</w:t>
      </w:r>
    </w:p>
    <w:p w14:paraId="3C270BDC" w14:textId="77777777" w:rsidR="00447470" w:rsidRDefault="508F2885" w:rsidP="00761EF3">
      <w:pPr>
        <w:pStyle w:val="Paragraphe"/>
        <w:numPr>
          <w:ilvl w:val="0"/>
          <w:numId w:val="25"/>
        </w:numPr>
        <w:spacing w:after="80"/>
      </w:pPr>
      <w:r>
        <w:t>L’OIT transmettra à la COI les éléments détaillés de la suite à donner à la table ronde ministérielle sur la justice sociale, le travail décent, la résilience climatique, la transformation numérique et l’intelligence artificielle, organisée en décembre 2025, et précisera la nature de la contribution attendue à la COI, quant à la formalisation d’une table ronde ministérielle annuelle sur la justice sociale et le travail décent</w:t>
      </w:r>
    </w:p>
    <w:p w14:paraId="40FEBB08" w14:textId="77777777" w:rsidR="00447470" w:rsidRPr="00A9703B" w:rsidRDefault="36587F78" w:rsidP="00761EF3">
      <w:pPr>
        <w:pStyle w:val="Paragraphe"/>
        <w:spacing w:after="80"/>
      </w:pPr>
      <w:r>
        <w:t>Le Secrétariat général reste en attente de ces éléments pour partage aux États membres.</w:t>
      </w:r>
    </w:p>
    <w:p w14:paraId="2FC88D4B" w14:textId="46017686" w:rsidR="79F5AB3B" w:rsidRDefault="79F5AB3B" w:rsidP="79F5AB3B">
      <w:pPr>
        <w:pStyle w:val="Paragraphe"/>
        <w:spacing w:after="80"/>
      </w:pPr>
    </w:p>
    <w:p w14:paraId="2F7F5914" w14:textId="608AD6BB" w:rsidR="00955BB3" w:rsidRPr="0008468B" w:rsidRDefault="00955BB3" w:rsidP="00A70123">
      <w:pPr>
        <w:pStyle w:val="Titrepartie"/>
      </w:pPr>
      <w:r w:rsidRPr="0008468B">
        <w:t>Proposition de décision</w:t>
      </w:r>
    </w:p>
    <w:p w14:paraId="05F1F967" w14:textId="5C962838" w:rsidR="0008468B" w:rsidRPr="004F5C4B" w:rsidRDefault="0008468B" w:rsidP="00FE285D">
      <w:pPr>
        <w:pStyle w:val="Paragraphe"/>
      </w:pPr>
      <w:r w:rsidRPr="004F5C4B">
        <w:t>Le Comité des OPL</w:t>
      </w:r>
      <w:r w:rsidR="001A7949">
        <w:t xml:space="preserve"> </w:t>
      </w:r>
      <w:r w:rsidR="00A76B07">
        <w:t>:</w:t>
      </w:r>
    </w:p>
    <w:p w14:paraId="59B4A6E5" w14:textId="0798C7B2" w:rsidR="009268E9" w:rsidRDefault="003C65AB" w:rsidP="00FE285D">
      <w:pPr>
        <w:pStyle w:val="Paragraphe"/>
        <w:numPr>
          <w:ilvl w:val="0"/>
          <w:numId w:val="7"/>
        </w:numPr>
      </w:pPr>
      <w:r>
        <w:t xml:space="preserve">Confirme la pertinence d’un dialogue de partenariat renforcé avec l’Union européenne et invite le Secrétariat général à </w:t>
      </w:r>
      <w:r w:rsidRPr="00F8764C">
        <w:rPr>
          <w:highlight w:val="yellow"/>
        </w:rPr>
        <w:t xml:space="preserve">[procéder à la formalisation de ce mécanisme par un échange de lettre avec la </w:t>
      </w:r>
      <w:r w:rsidR="005E7D54" w:rsidRPr="00F8764C">
        <w:rPr>
          <w:highlight w:val="yellow"/>
        </w:rPr>
        <w:t>partie européenne]</w:t>
      </w:r>
      <w:r w:rsidR="009268E9">
        <w:t xml:space="preserve"> ; </w:t>
      </w:r>
    </w:p>
    <w:p w14:paraId="401C842C" w14:textId="75A696A1" w:rsidR="001A371A" w:rsidRDefault="00C26ECC" w:rsidP="00FE285D">
      <w:pPr>
        <w:pStyle w:val="Paragraphe"/>
        <w:numPr>
          <w:ilvl w:val="0"/>
          <w:numId w:val="7"/>
        </w:numPr>
      </w:pPr>
      <w:r>
        <w:t>Notant avec satisfaction les</w:t>
      </w:r>
      <w:r w:rsidR="00084DDB">
        <w:t xml:space="preserve"> discussions engagées avec la représentation de Corée du Sud, après son accession au statut d’observateur, </w:t>
      </w:r>
      <w:r w:rsidR="00FF15FB">
        <w:t>en vue d’une coopération effective dans les domaines des pêches, de l’économie et du climat</w:t>
      </w:r>
      <w:r>
        <w:t xml:space="preserve">, </w:t>
      </w:r>
      <w:r w:rsidR="008F676E">
        <w:t xml:space="preserve">encourage le Secrétariat général à finaliser les pourparlers avec la partie coréenne sur le projet d’Accord de contribution financière </w:t>
      </w:r>
      <w:r w:rsidR="004E3A40">
        <w:t>et approuve</w:t>
      </w:r>
      <w:r w:rsidR="008F676E">
        <w:t xml:space="preserve"> sa </w:t>
      </w:r>
      <w:r w:rsidR="004E3A40">
        <w:t xml:space="preserve">signature dans les meilleurs délais ; </w:t>
      </w:r>
    </w:p>
    <w:p w14:paraId="12A0DBA5" w14:textId="77777777" w:rsidR="00B862C1" w:rsidRDefault="00B862C1" w:rsidP="00FE285D">
      <w:pPr>
        <w:pStyle w:val="Paragraphe"/>
        <w:numPr>
          <w:ilvl w:val="0"/>
          <w:numId w:val="7"/>
        </w:numPr>
      </w:pPr>
      <w:r>
        <w:t>Approuve le</w:t>
      </w:r>
      <w:r w:rsidR="00054ADC">
        <w:t xml:space="preserve"> </w:t>
      </w:r>
      <w:r w:rsidR="008974A6">
        <w:t xml:space="preserve">protocole d’accord avec TetraTEC, </w:t>
      </w:r>
      <w:r w:rsidR="00EC22E4">
        <w:t xml:space="preserve">opérateur de l’Agence </w:t>
      </w:r>
      <w:r w:rsidR="00E63700">
        <w:t>pour le développement international de l’Australie</w:t>
      </w:r>
      <w:r w:rsidR="00EC22E4">
        <w:t>,</w:t>
      </w:r>
      <w:r>
        <w:t xml:space="preserve"> et invite le Secrétariat général à procéder à sa formalisation ; </w:t>
      </w:r>
    </w:p>
    <w:p w14:paraId="45403C18" w14:textId="1CC322C0" w:rsidR="003372BE" w:rsidRDefault="00171CC9" w:rsidP="00FE285D">
      <w:pPr>
        <w:pStyle w:val="Paragraphe"/>
        <w:numPr>
          <w:ilvl w:val="0"/>
          <w:numId w:val="7"/>
        </w:numPr>
      </w:pPr>
      <w:r>
        <w:t>Prend note des informations additionnelles apportées par le Secrétariat général sur les modalités de coopération avec le Fonds de l’OPEP pour le développement international et demande au Secrétariat général de</w:t>
      </w:r>
      <w:r w:rsidR="003372BE">
        <w:t xml:space="preserve"> procéder à la signature du protocole d’accord validé ; </w:t>
      </w:r>
    </w:p>
    <w:p w14:paraId="2592A2CC" w14:textId="77777777" w:rsidR="00C75C35" w:rsidRDefault="007F37AD" w:rsidP="00FE285D">
      <w:pPr>
        <w:pStyle w:val="Paragraphe"/>
        <w:numPr>
          <w:ilvl w:val="0"/>
          <w:numId w:val="7"/>
        </w:numPr>
      </w:pPr>
      <w:r>
        <w:t xml:space="preserve">Approuve les modifications apportées au projet de protocole d’accord avec </w:t>
      </w:r>
      <w:r w:rsidR="002E4758">
        <w:t>le Programme des Nations unies pour les établissements humains (ONU-Habitat) et invite le Secrétaire général à signer le protocole d’accord</w:t>
      </w:r>
      <w:r w:rsidR="00C75C35">
        <w:t xml:space="preserve"> finalisé ; </w:t>
      </w:r>
    </w:p>
    <w:p w14:paraId="7EE59A18" w14:textId="77777777" w:rsidR="008333C3" w:rsidRDefault="008333C3" w:rsidP="00FE285D">
      <w:pPr>
        <w:pStyle w:val="Paragraphe"/>
        <w:numPr>
          <w:ilvl w:val="0"/>
          <w:numId w:val="7"/>
        </w:numPr>
      </w:pPr>
      <w:r>
        <w:t xml:space="preserve">Valide le protocole d’entente avec la Communauté de développement de l’Afrique australe (SADC) et demande au Secrétariat général de procéder à signature ; </w:t>
      </w:r>
    </w:p>
    <w:p w14:paraId="376FCEA7" w14:textId="77777777" w:rsidR="009A55EC" w:rsidRDefault="0062500A" w:rsidP="00FE285D">
      <w:pPr>
        <w:pStyle w:val="Paragraphe"/>
        <w:numPr>
          <w:ilvl w:val="0"/>
          <w:numId w:val="7"/>
        </w:numPr>
      </w:pPr>
      <w:r>
        <w:t>Donne mandat au Secrétariat général de</w:t>
      </w:r>
      <w:r w:rsidR="004D163D">
        <w:t xml:space="preserve"> formaliser le renouvellement de l’accord-cadre de coopération avec l’Institut de recherche pour le développement (IRD) selon les termes du projet soumis</w:t>
      </w:r>
      <w:r w:rsidR="009A55EC">
        <w:t xml:space="preserve"> et validé ; </w:t>
      </w:r>
    </w:p>
    <w:p w14:paraId="6A06AE69" w14:textId="77777777" w:rsidR="000B2A82" w:rsidRDefault="009A55EC" w:rsidP="00FE285D">
      <w:pPr>
        <w:pStyle w:val="Paragraphe"/>
        <w:numPr>
          <w:ilvl w:val="0"/>
          <w:numId w:val="7"/>
        </w:numPr>
      </w:pPr>
      <w:r>
        <w:t>Autorise le Secrétaire général à procéder à la signature de l’avenant</w:t>
      </w:r>
      <w:r w:rsidR="000B2A82">
        <w:t xml:space="preserve"> de l’accord-cadre de coopération scientifique régionale pour la Plateforme régionale en recherche agronomique pour le développement (PRéRAD-OI) avec le Cirad ; </w:t>
      </w:r>
    </w:p>
    <w:p w14:paraId="4CACDC4D" w14:textId="4984A6E7" w:rsidR="003264C2" w:rsidRDefault="003264C2" w:rsidP="000C6E30">
      <w:pPr>
        <w:pStyle w:val="Paragraphe"/>
        <w:numPr>
          <w:ilvl w:val="0"/>
          <w:numId w:val="7"/>
        </w:numPr>
      </w:pPr>
      <w:r w:rsidRPr="79F5AB3B">
        <w:rPr>
          <w:rFonts w:eastAsia="Verdana" w:cs="Verdana"/>
          <w:color w:val="000000" w:themeColor="text1"/>
        </w:rPr>
        <w:t>Accueille favorablement la formalisation de la collaboration entre la COI et l’A</w:t>
      </w:r>
      <w:r>
        <w:rPr>
          <w:rFonts w:eastAsia="Verdana" w:cs="Verdana"/>
          <w:color w:val="000000" w:themeColor="text1"/>
        </w:rPr>
        <w:t>ssociation des Parlements des États membres de la COI (A</w:t>
      </w:r>
      <w:r w:rsidRPr="79F5AB3B">
        <w:rPr>
          <w:rFonts w:eastAsia="Verdana" w:cs="Verdana"/>
          <w:color w:val="000000" w:themeColor="text1"/>
        </w:rPr>
        <w:t>P-COI</w:t>
      </w:r>
      <w:r>
        <w:rPr>
          <w:rFonts w:eastAsia="Verdana" w:cs="Verdana"/>
          <w:color w:val="000000" w:themeColor="text1"/>
        </w:rPr>
        <w:t>)</w:t>
      </w:r>
      <w:r w:rsidRPr="79F5AB3B">
        <w:rPr>
          <w:rFonts w:eastAsia="Verdana" w:cs="Verdana"/>
          <w:color w:val="000000" w:themeColor="text1"/>
        </w:rPr>
        <w:t xml:space="preserve"> et approuve la signature par le Secrétaire général du Mémorandum d’entente entre les de</w:t>
      </w:r>
      <w:r>
        <w:rPr>
          <w:rFonts w:eastAsia="Verdana" w:cs="Verdana"/>
          <w:color w:val="000000" w:themeColor="text1"/>
        </w:rPr>
        <w:t>ux</w:t>
      </w:r>
      <w:r w:rsidRPr="79F5AB3B">
        <w:rPr>
          <w:rFonts w:eastAsia="Verdana" w:cs="Verdana"/>
          <w:color w:val="000000" w:themeColor="text1"/>
        </w:rPr>
        <w:t xml:space="preserve"> Organisations</w:t>
      </w:r>
      <w:r>
        <w:rPr>
          <w:rFonts w:eastAsia="Verdana" w:cs="Verdana"/>
          <w:color w:val="000000" w:themeColor="text1"/>
        </w:rPr>
        <w:t> </w:t>
      </w:r>
      <w:r>
        <w:t xml:space="preserve">; </w:t>
      </w:r>
    </w:p>
    <w:p w14:paraId="0C0EE3F1" w14:textId="3DB7C909" w:rsidR="7AD1BDE1" w:rsidRPr="003264C2" w:rsidRDefault="000B2A82" w:rsidP="003264C2">
      <w:pPr>
        <w:pStyle w:val="Paragraphe"/>
        <w:numPr>
          <w:ilvl w:val="0"/>
          <w:numId w:val="7"/>
        </w:numPr>
      </w:pPr>
      <w:r>
        <w:t xml:space="preserve">Prend note des informations fournies par le Secrétariat général sur la </w:t>
      </w:r>
      <w:r w:rsidR="00975196">
        <w:t xml:space="preserve">poursuite des discussions avec l’Organisation des États d’Afrique, Caraïbes et Pacifique (OEACP), l’Agence </w:t>
      </w:r>
      <w:r w:rsidR="0081484D">
        <w:t>de développement de l’Union africaine (AUDA-NEPAD)</w:t>
      </w:r>
      <w:r w:rsidR="00EC22E4">
        <w:t xml:space="preserve"> </w:t>
      </w:r>
      <w:r w:rsidR="004366CA">
        <w:t xml:space="preserve">et l’Organisation internationale du travail (OIT) </w:t>
      </w:r>
      <w:r w:rsidR="00546228">
        <w:t>en vue de collaborations sectorielles et invite le Secrétariat général</w:t>
      </w:r>
      <w:r w:rsidR="00263396">
        <w:t xml:space="preserve"> à capitaliser sur ces opportunités partenariales en faveur de la mobilisation de ressources et d</w:t>
      </w:r>
      <w:r w:rsidR="00754E92">
        <w:t>u</w:t>
      </w:r>
      <w:r w:rsidR="00263396">
        <w:t xml:space="preserve"> </w:t>
      </w:r>
      <w:r w:rsidR="00754E92">
        <w:t xml:space="preserve">développement d’un nouveau portefeuilles de projets. </w:t>
      </w:r>
    </w:p>
    <w:p w14:paraId="6BA83E18" w14:textId="2DDB2E1A" w:rsidR="0073113C" w:rsidRDefault="0073113C" w:rsidP="0073113C">
      <w:pPr>
        <w:pStyle w:val="Paragraphe"/>
        <w:ind w:left="720"/>
      </w:pPr>
    </w:p>
    <w:p w14:paraId="7EAEB404" w14:textId="72ACB4A7" w:rsidR="00955BB3" w:rsidRPr="0008468B" w:rsidRDefault="00955BB3" w:rsidP="00FE285D">
      <w:pPr>
        <w:pStyle w:val="Titrepartie"/>
      </w:pPr>
      <w:r w:rsidRPr="0008468B">
        <w:t>Rappel des décisions antérieures</w:t>
      </w:r>
    </w:p>
    <w:bookmarkEnd w:id="0"/>
    <w:p w14:paraId="3C7BA368" w14:textId="6AC61374" w:rsidR="007C294C" w:rsidRPr="000F5FB1" w:rsidRDefault="007C294C" w:rsidP="006368FC">
      <w:pPr>
        <w:pStyle w:val="Paragraphe"/>
        <w:numPr>
          <w:ilvl w:val="0"/>
          <w:numId w:val="18"/>
        </w:numPr>
        <w:rPr>
          <w:b/>
          <w:bCs/>
          <w:i/>
          <w:iCs/>
        </w:rPr>
      </w:pPr>
      <w:r w:rsidRPr="000F5FB1">
        <w:rPr>
          <w:b/>
          <w:bCs/>
          <w:i/>
          <w:iCs/>
        </w:rPr>
        <w:t xml:space="preserve">Cf Décision 4a), </w:t>
      </w:r>
      <w:r w:rsidR="000F5FB1" w:rsidRPr="000F5FB1">
        <w:rPr>
          <w:b/>
          <w:bCs/>
          <w:i/>
          <w:iCs/>
        </w:rPr>
        <w:t>Programme COI Horizon 2030 et modernisation institutionnelle</w:t>
      </w:r>
      <w:r w:rsidR="000F5FB1">
        <w:rPr>
          <w:b/>
          <w:bCs/>
          <w:i/>
          <w:iCs/>
        </w:rPr>
        <w:t>, COPL 02/26 du 05 mai 2026 :</w:t>
      </w:r>
    </w:p>
    <w:p w14:paraId="1871AF7C" w14:textId="4BD9E762" w:rsidR="000F5FB1" w:rsidRPr="007C294C" w:rsidRDefault="000F5FB1" w:rsidP="000F5FB1">
      <w:pPr>
        <w:pStyle w:val="Paragraphe"/>
        <w:ind w:left="360"/>
      </w:pPr>
      <w:r w:rsidRPr="00F4283B">
        <w:t>Invite le Secrétariat général à proposer une note sur la formalisation d’un mécanisme de dialogue de partenariat avec l’Union européenne </w:t>
      </w:r>
    </w:p>
    <w:p w14:paraId="3BDFE1E7" w14:textId="0512C77C" w:rsidR="009D297E" w:rsidRPr="009D297E" w:rsidRDefault="006368FC" w:rsidP="006368FC">
      <w:pPr>
        <w:pStyle w:val="Paragraphe"/>
        <w:numPr>
          <w:ilvl w:val="0"/>
          <w:numId w:val="18"/>
        </w:numPr>
      </w:pPr>
      <w:r w:rsidRPr="006368FC">
        <w:rPr>
          <w:b/>
          <w:bCs/>
          <w:i/>
          <w:iCs/>
        </w:rPr>
        <w:t>cf. Décision 5d)</w:t>
      </w:r>
      <w:r>
        <w:rPr>
          <w:b/>
          <w:bCs/>
          <w:i/>
          <w:iCs/>
        </w:rPr>
        <w:t>, priorité de la présidence en exercice,</w:t>
      </w:r>
      <w:r w:rsidRPr="006368FC">
        <w:rPr>
          <w:b/>
          <w:bCs/>
          <w:i/>
          <w:iCs/>
        </w:rPr>
        <w:t xml:space="preserve"> 37ème conseil des ministres de la C</w:t>
      </w:r>
      <w:r>
        <w:rPr>
          <w:b/>
          <w:bCs/>
          <w:i/>
          <w:iCs/>
        </w:rPr>
        <w:t>OI</w:t>
      </w:r>
      <w:r w:rsidR="009D297E">
        <w:rPr>
          <w:b/>
          <w:bCs/>
          <w:i/>
          <w:iCs/>
        </w:rPr>
        <w:t>, 17 mai 2023</w:t>
      </w:r>
      <w:r>
        <w:rPr>
          <w:b/>
          <w:bCs/>
          <w:i/>
          <w:iCs/>
        </w:rPr>
        <w:t xml:space="preserve"> : </w:t>
      </w:r>
    </w:p>
    <w:p w14:paraId="1393F775" w14:textId="1BB9A446" w:rsidR="006368FC" w:rsidRDefault="006368FC" w:rsidP="009D297E">
      <w:pPr>
        <w:pStyle w:val="Paragraphe"/>
        <w:ind w:left="360"/>
      </w:pPr>
      <w:r>
        <w:t xml:space="preserve">Prend note des actions envisagées en faveur du développement des échanges économiques comme indiqué dans le PDS 2023-2033 ;  </w:t>
      </w:r>
    </w:p>
    <w:p w14:paraId="49817418" w14:textId="09B9A060" w:rsidR="00ED3DD8" w:rsidRPr="00ED3DD8" w:rsidRDefault="006368FC" w:rsidP="00ED3DD8">
      <w:pPr>
        <w:pStyle w:val="Paragraphe"/>
        <w:numPr>
          <w:ilvl w:val="0"/>
          <w:numId w:val="18"/>
        </w:numPr>
      </w:pPr>
      <w:r w:rsidRPr="006368FC">
        <w:rPr>
          <w:b/>
          <w:bCs/>
          <w:i/>
          <w:iCs/>
        </w:rPr>
        <w:t>cf. Décision 4</w:t>
      </w:r>
      <w:r w:rsidR="00ED3DD8">
        <w:rPr>
          <w:b/>
          <w:bCs/>
          <w:i/>
          <w:iCs/>
        </w:rPr>
        <w:t xml:space="preserve">b) et 4c) </w:t>
      </w:r>
      <w:r w:rsidRPr="006368FC">
        <w:rPr>
          <w:b/>
          <w:bCs/>
          <w:i/>
          <w:iCs/>
        </w:rPr>
        <w:t>du Comité des Officiers permanents de liaison (OPL) 01/2024</w:t>
      </w:r>
      <w:r w:rsidR="009D297E">
        <w:rPr>
          <w:b/>
          <w:bCs/>
          <w:i/>
          <w:iCs/>
        </w:rPr>
        <w:t>, 22 et 23 avril 2024</w:t>
      </w:r>
      <w:r w:rsidR="00ED3DD8">
        <w:rPr>
          <w:b/>
          <w:bCs/>
          <w:i/>
          <w:iCs/>
        </w:rPr>
        <w:t> :</w:t>
      </w:r>
    </w:p>
    <w:p w14:paraId="1D95B8D5" w14:textId="064F979C" w:rsidR="00ED3DD8" w:rsidRPr="00ED3DD8" w:rsidRDefault="00ED3DD8" w:rsidP="00ED3DD8">
      <w:pPr>
        <w:pStyle w:val="Paragraphe"/>
        <w:ind w:left="360"/>
      </w:pPr>
      <w:r w:rsidRPr="00ED3DD8">
        <w:t>Demande au Secrétariat général de proposer un cadre de partenariat avec l’Organisation des Etats d’Afrique, Caraïbes et Pacifique (OEACP) dans une perspective de prise en compte des intérêts insulaires de l’Afrique et de l’océan Indien dans le cadre des prochains programmes de l’OEACP tel que prévu par l’accord de Samoa.</w:t>
      </w:r>
    </w:p>
    <w:p w14:paraId="572602FC" w14:textId="592002B3" w:rsidR="009D297E" w:rsidRPr="009D297E" w:rsidRDefault="00792C38" w:rsidP="009D297E">
      <w:pPr>
        <w:pStyle w:val="Paragraphe"/>
        <w:numPr>
          <w:ilvl w:val="0"/>
          <w:numId w:val="18"/>
        </w:numPr>
        <w:rPr>
          <w:b/>
          <w:bCs/>
          <w:i/>
          <w:iCs/>
        </w:rPr>
      </w:pPr>
      <w:r>
        <w:rPr>
          <w:b/>
          <w:bCs/>
          <w:i/>
          <w:iCs/>
        </w:rPr>
        <w:t>c</w:t>
      </w:r>
      <w:r w:rsidR="009D297E">
        <w:rPr>
          <w:b/>
          <w:bCs/>
          <w:i/>
          <w:iCs/>
        </w:rPr>
        <w:t>f. D</w:t>
      </w:r>
      <w:r w:rsidR="009D297E" w:rsidRPr="009D297E">
        <w:rPr>
          <w:b/>
          <w:bCs/>
          <w:i/>
          <w:iCs/>
        </w:rPr>
        <w:t xml:space="preserve">écision </w:t>
      </w:r>
      <w:r w:rsidR="00F26F90">
        <w:rPr>
          <w:b/>
          <w:bCs/>
          <w:i/>
          <w:iCs/>
        </w:rPr>
        <w:t>4b</w:t>
      </w:r>
      <w:r w:rsidR="009D297E" w:rsidRPr="009D297E">
        <w:rPr>
          <w:b/>
          <w:bCs/>
          <w:i/>
          <w:iCs/>
        </w:rPr>
        <w:t xml:space="preserve">) </w:t>
      </w:r>
      <w:r w:rsidR="00F26F90">
        <w:rPr>
          <w:b/>
          <w:bCs/>
          <w:i/>
          <w:iCs/>
        </w:rPr>
        <w:t xml:space="preserve">du </w:t>
      </w:r>
      <w:r w:rsidR="00F26F90" w:rsidRPr="006368FC">
        <w:rPr>
          <w:b/>
          <w:bCs/>
          <w:i/>
          <w:iCs/>
        </w:rPr>
        <w:t>Comité des Officiers permanents de liaison (OPL) 0</w:t>
      </w:r>
      <w:r w:rsidR="00F26F90">
        <w:rPr>
          <w:b/>
          <w:bCs/>
          <w:i/>
          <w:iCs/>
        </w:rPr>
        <w:t>2</w:t>
      </w:r>
      <w:r w:rsidR="00F26F90" w:rsidRPr="006368FC">
        <w:rPr>
          <w:b/>
          <w:bCs/>
          <w:i/>
          <w:iCs/>
        </w:rPr>
        <w:t>/202</w:t>
      </w:r>
      <w:r w:rsidR="00F26F90">
        <w:rPr>
          <w:b/>
          <w:bCs/>
          <w:i/>
          <w:iCs/>
        </w:rPr>
        <w:t>5, 11 au 13 novembre 2025 :</w:t>
      </w:r>
    </w:p>
    <w:p w14:paraId="16E18EB7" w14:textId="7815B80B" w:rsidR="006368FC" w:rsidRDefault="00F26F90" w:rsidP="00907B69">
      <w:pPr>
        <w:pStyle w:val="Paragraphe"/>
        <w:ind w:left="360"/>
      </w:pPr>
      <w:r w:rsidRPr="00F26F90">
        <w:t>Demande au Secrétariat général de proposer aux prochaines instances des cadres de partenariat avec l’Agence de développement de l’Union africaine-NEPAD (AUDA-NEPAD) et avec la Communauté de développement de l’Afrique australe (SADC) afin de formaliser les collaborations sur les sujets d’intérêt commun.</w:t>
      </w:r>
    </w:p>
    <w:p w14:paraId="63980D12" w14:textId="77777777" w:rsidR="0073113C" w:rsidRPr="009D297E" w:rsidRDefault="0073113C" w:rsidP="00907B69">
      <w:pPr>
        <w:pStyle w:val="Paragraphe"/>
        <w:ind w:left="360"/>
      </w:pPr>
    </w:p>
    <w:p w14:paraId="1D6F1669" w14:textId="72833CAD" w:rsidR="00417683" w:rsidRPr="0008468B" w:rsidRDefault="00417683" w:rsidP="00060CA0">
      <w:pPr>
        <w:pStyle w:val="Titrepartie"/>
      </w:pPr>
      <w:r w:rsidRPr="0008468B">
        <w:t>Annexe</w:t>
      </w:r>
      <w:r w:rsidR="008F173C" w:rsidRPr="0008468B">
        <w:t>s</w:t>
      </w:r>
      <w:r w:rsidRPr="0008468B">
        <w:t> :</w:t>
      </w:r>
    </w:p>
    <w:p w14:paraId="697191CC" w14:textId="2869D381" w:rsidR="003F15D7" w:rsidRDefault="185A0170">
      <w:pPr>
        <w:pStyle w:val="Paragraphe"/>
        <w:numPr>
          <w:ilvl w:val="0"/>
          <w:numId w:val="10"/>
        </w:numPr>
      </w:pPr>
      <w:r>
        <w:t xml:space="preserve">Annexe </w:t>
      </w:r>
      <w:r w:rsidR="4271639F">
        <w:t>1</w:t>
      </w:r>
      <w:r>
        <w:t> : Note d’aide à la décision</w:t>
      </w:r>
      <w:r w:rsidR="12CEDD56">
        <w:t xml:space="preserve"> pour un dialogue de partenariat renforcé avec l’Union européenne </w:t>
      </w:r>
    </w:p>
    <w:p w14:paraId="20F64C34" w14:textId="77777777" w:rsidR="00FB18F4" w:rsidRDefault="1742EA5F" w:rsidP="00A27A88">
      <w:pPr>
        <w:pStyle w:val="Paragraphe"/>
        <w:numPr>
          <w:ilvl w:val="0"/>
          <w:numId w:val="10"/>
        </w:numPr>
      </w:pPr>
      <w:r>
        <w:t>Annexe 2</w:t>
      </w:r>
      <w:r w:rsidR="00D44289">
        <w:t> :</w:t>
      </w:r>
      <w:r w:rsidR="19568D92">
        <w:t xml:space="preserve"> </w:t>
      </w:r>
      <w:r w:rsidR="00D44289">
        <w:t>Note sur les domaines de coopération proposé</w:t>
      </w:r>
      <w:r w:rsidR="00FB18F4">
        <w:t xml:space="preserve">s par la Corée du Sud ; </w:t>
      </w:r>
    </w:p>
    <w:p w14:paraId="6EA76108" w14:textId="6517CEB4" w:rsidR="00FB18F4" w:rsidRDefault="00FB18F4" w:rsidP="00A27A88">
      <w:pPr>
        <w:pStyle w:val="Paragraphe"/>
        <w:numPr>
          <w:ilvl w:val="0"/>
          <w:numId w:val="10"/>
        </w:numPr>
      </w:pPr>
      <w:r>
        <w:t>Annexe 3 : Projet d’Accord de contribution financière</w:t>
      </w:r>
      <w:r w:rsidR="006C0F1F">
        <w:t xml:space="preserve"> avec la Corée du Sud</w:t>
      </w:r>
      <w:r>
        <w:t xml:space="preserve"> (pour validation)</w:t>
      </w:r>
    </w:p>
    <w:p w14:paraId="1B834BE8" w14:textId="77777777" w:rsidR="00FB18F4" w:rsidRDefault="00FB18F4" w:rsidP="00A27A88">
      <w:pPr>
        <w:pStyle w:val="Paragraphe"/>
        <w:numPr>
          <w:ilvl w:val="0"/>
          <w:numId w:val="10"/>
        </w:numPr>
      </w:pPr>
      <w:r>
        <w:t>Annexe 4 : Projet de protocole d’accord avec TetraTEC (pour validation)</w:t>
      </w:r>
    </w:p>
    <w:p w14:paraId="7C23DC4E" w14:textId="77777777" w:rsidR="00AF16A2" w:rsidRDefault="00FB18F4" w:rsidP="00A27A88">
      <w:pPr>
        <w:pStyle w:val="Paragraphe"/>
        <w:numPr>
          <w:ilvl w:val="0"/>
          <w:numId w:val="10"/>
        </w:numPr>
      </w:pPr>
      <w:r>
        <w:t xml:space="preserve">Annexe 5 : </w:t>
      </w:r>
      <w:r w:rsidR="00AF16A2">
        <w:t>Projet de protocole d’entente avec l’OPEP Fund (pour validation)</w:t>
      </w:r>
    </w:p>
    <w:p w14:paraId="34435FD4" w14:textId="207CB8BF" w:rsidR="00AF16A2" w:rsidRDefault="00AF16A2" w:rsidP="00A27A88">
      <w:pPr>
        <w:pStyle w:val="Paragraphe"/>
        <w:numPr>
          <w:ilvl w:val="0"/>
          <w:numId w:val="10"/>
        </w:numPr>
      </w:pPr>
      <w:r>
        <w:t>Annexe 6 : P</w:t>
      </w:r>
      <w:r w:rsidR="003C38BA">
        <w:t>rojet de p</w:t>
      </w:r>
      <w:r>
        <w:t xml:space="preserve">rotocole d’accord avec l’ONU-Habitat en versions anglaise et française (pour validation) </w:t>
      </w:r>
    </w:p>
    <w:p w14:paraId="069111E6" w14:textId="77777777" w:rsidR="003C38BA" w:rsidRDefault="00AF16A2" w:rsidP="00A27A88">
      <w:pPr>
        <w:pStyle w:val="Paragraphe"/>
        <w:numPr>
          <w:ilvl w:val="0"/>
          <w:numId w:val="10"/>
        </w:numPr>
      </w:pPr>
      <w:r>
        <w:t xml:space="preserve">Annexe 7 : </w:t>
      </w:r>
      <w:r w:rsidR="003C38BA">
        <w:t>Projet de protocole d’entente avec la SADC (pour validation)</w:t>
      </w:r>
    </w:p>
    <w:p w14:paraId="2C3C4361" w14:textId="42588DA0" w:rsidR="004C3DF6" w:rsidRDefault="003C38BA" w:rsidP="00A27A88">
      <w:pPr>
        <w:pStyle w:val="Paragraphe"/>
        <w:numPr>
          <w:ilvl w:val="0"/>
          <w:numId w:val="10"/>
        </w:numPr>
      </w:pPr>
      <w:r>
        <w:t xml:space="preserve">Annexe 8 : </w:t>
      </w:r>
      <w:r w:rsidR="004C3DF6">
        <w:t>Projet d’accord</w:t>
      </w:r>
      <w:r w:rsidR="009A5740">
        <w:t xml:space="preserve">-cadre </w:t>
      </w:r>
      <w:r w:rsidR="004C3DF6">
        <w:t>avec la PIROI (pour validation)</w:t>
      </w:r>
    </w:p>
    <w:p w14:paraId="713B9530" w14:textId="3A81315E" w:rsidR="009A5740" w:rsidRDefault="004C3DF6" w:rsidP="00A27A88">
      <w:pPr>
        <w:pStyle w:val="Paragraphe"/>
        <w:numPr>
          <w:ilvl w:val="0"/>
          <w:numId w:val="10"/>
        </w:numPr>
      </w:pPr>
      <w:r>
        <w:t>Annexe 9 : Projet de renouvelle</w:t>
      </w:r>
      <w:r w:rsidR="009A5740">
        <w:t xml:space="preserve">ment de l’accord-cadre de </w:t>
      </w:r>
      <w:r>
        <w:t xml:space="preserve">partenariat </w:t>
      </w:r>
      <w:r w:rsidR="009A5740">
        <w:t>avec l’IRD (pour validation)</w:t>
      </w:r>
    </w:p>
    <w:p w14:paraId="00E5D44E" w14:textId="7B2AB413" w:rsidR="007A1650" w:rsidRDefault="007A1650" w:rsidP="005A738E">
      <w:pPr>
        <w:pStyle w:val="Paragraphe"/>
        <w:numPr>
          <w:ilvl w:val="0"/>
          <w:numId w:val="10"/>
        </w:numPr>
      </w:pPr>
      <w:r>
        <w:t>Annexe 10 : Accord-cadre de coopération scientifique pour la PRéRAD de 2021 (</w:t>
      </w:r>
      <w:r w:rsidR="007D7A4F">
        <w:t>pour mémoire)</w:t>
      </w:r>
      <w:r w:rsidR="00E82DC9">
        <w:t>.</w:t>
      </w:r>
    </w:p>
    <w:p w14:paraId="136893A9" w14:textId="507711EF" w:rsidR="5D2F8BA1" w:rsidRDefault="009A5740" w:rsidP="005A738E">
      <w:pPr>
        <w:pStyle w:val="Paragraphe"/>
        <w:numPr>
          <w:ilvl w:val="0"/>
          <w:numId w:val="10"/>
        </w:numPr>
      </w:pPr>
      <w:r>
        <w:t>Annexe 1</w:t>
      </w:r>
      <w:r w:rsidR="00E82DC9">
        <w:t>1</w:t>
      </w:r>
      <w:r>
        <w:t> : Projet d</w:t>
      </w:r>
      <w:r w:rsidR="001922B4">
        <w:t xml:space="preserve">’avenant à l’accord-cadre de coopération scientifique pour la PRéRAD (pour validation). </w:t>
      </w:r>
      <w:r>
        <w:t xml:space="preserve"> </w:t>
      </w:r>
    </w:p>
    <w:p w14:paraId="0A15C5A6" w14:textId="0FAD5303" w:rsidR="5D2F8BA1" w:rsidRDefault="35890199" w:rsidP="005A738E">
      <w:pPr>
        <w:pStyle w:val="Paragraphe"/>
        <w:numPr>
          <w:ilvl w:val="0"/>
          <w:numId w:val="10"/>
        </w:numPr>
      </w:pPr>
      <w:r>
        <w:t>Annexe 1</w:t>
      </w:r>
      <w:r w:rsidR="00E82DC9">
        <w:t>2 :</w:t>
      </w:r>
      <w:r>
        <w:t xml:space="preserve"> Projet de mémorandum d’entente entre l’AP-COI et la COI</w:t>
      </w:r>
      <w:r w:rsidR="00E82DC9">
        <w:t xml:space="preserve"> (pour validation)</w:t>
      </w:r>
      <w:r>
        <w:t>.</w:t>
      </w:r>
      <w:r w:rsidR="003C38BA">
        <w:t xml:space="preserve"> </w:t>
      </w:r>
    </w:p>
    <w:sectPr w:rsidR="5D2F8BA1" w:rsidSect="00367785">
      <w:headerReference w:type="default" r:id="rId7"/>
      <w:footerReference w:type="default" r:id="rId8"/>
      <w:pgSz w:w="11906" w:h="16838"/>
      <w:pgMar w:top="1560" w:right="1417" w:bottom="1135" w:left="1417" w:header="708"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9F66" w14:textId="77777777" w:rsidR="002F6A76" w:rsidRDefault="002F6A76">
      <w:pPr>
        <w:spacing w:after="0" w:line="240" w:lineRule="auto"/>
      </w:pPr>
      <w:r>
        <w:separator/>
      </w:r>
    </w:p>
  </w:endnote>
  <w:endnote w:type="continuationSeparator" w:id="0">
    <w:p w14:paraId="42B89D61" w14:textId="77777777" w:rsidR="002F6A76" w:rsidRDefault="002F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92675"/>
      <w:docPartObj>
        <w:docPartGallery w:val="Page Numbers (Bottom of Page)"/>
        <w:docPartUnique/>
      </w:docPartObj>
    </w:sdtPr>
    <w:sdtContent>
      <w:p w14:paraId="4D3A5F2A" w14:textId="631EC867" w:rsidR="00AA63A3" w:rsidRDefault="00AA63A3" w:rsidP="000F4728">
        <w:pPr>
          <w:pStyle w:val="Footer"/>
          <w:pBdr>
            <w:top w:val="single" w:sz="4" w:space="1" w:color="ED7D31" w:themeColor="accent2"/>
          </w:pBdr>
          <w:jc w:val="right"/>
        </w:pPr>
        <w:r>
          <w:fldChar w:fldCharType="begin"/>
        </w:r>
        <w:r>
          <w:instrText>PAGE   \* MERGEFORMAT</w:instrText>
        </w:r>
        <w:r>
          <w:fldChar w:fldCharType="separate"/>
        </w:r>
        <w:r>
          <w:t>2</w:t>
        </w:r>
        <w:r>
          <w:fldChar w:fldCharType="end"/>
        </w:r>
      </w:p>
    </w:sdtContent>
  </w:sdt>
  <w:p w14:paraId="5BF7192F" w14:textId="77777777" w:rsidR="00063A26" w:rsidRDefault="00063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E42C2" w14:textId="77777777" w:rsidR="002F6A76" w:rsidRDefault="002F6A76">
      <w:pPr>
        <w:spacing w:after="0" w:line="240" w:lineRule="auto"/>
      </w:pPr>
      <w:r>
        <w:separator/>
      </w:r>
    </w:p>
  </w:footnote>
  <w:footnote w:type="continuationSeparator" w:id="0">
    <w:p w14:paraId="78F68EAA" w14:textId="77777777" w:rsidR="002F6A76" w:rsidRDefault="002F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7793" w14:textId="20BCC567" w:rsidR="00AA63A3" w:rsidRDefault="00854EEA" w:rsidP="0073113C">
    <w:pPr>
      <w:pStyle w:val="Header"/>
      <w:pBdr>
        <w:bottom w:val="single" w:sz="4" w:space="1" w:color="0070C0"/>
      </w:pBdr>
      <w:tabs>
        <w:tab w:val="clear" w:pos="4536"/>
        <w:tab w:val="clear" w:pos="9072"/>
        <w:tab w:val="center" w:pos="0"/>
      </w:tabs>
    </w:pPr>
    <w:r>
      <w:rPr>
        <w:i/>
        <w:iCs/>
        <w:noProof/>
      </w:rPr>
      <w:drawing>
        <wp:inline distT="0" distB="0" distL="0" distR="0" wp14:anchorId="09635A91" wp14:editId="3A6A5A2C">
          <wp:extent cx="1090909" cy="360000"/>
          <wp:effectExtent l="0" t="0" r="0" b="2540"/>
          <wp:docPr id="501524703" name="Image 50152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screen">
                    <a:extLst>
                      <a:ext uri="{28A0092B-C50C-407E-A947-70E740481C1C}">
                        <a14:useLocalDpi xmlns:a14="http://schemas.microsoft.com/office/drawing/2010/main"/>
                      </a:ext>
                    </a:extLst>
                  </a:blip>
                  <a:stretch>
                    <a:fillRect/>
                  </a:stretch>
                </pic:blipFill>
                <pic:spPr>
                  <a:xfrm>
                    <a:off x="0" y="0"/>
                    <a:ext cx="1090909" cy="360000"/>
                  </a:xfrm>
                  <a:prstGeom prst="rect">
                    <a:avLst/>
                  </a:prstGeom>
                </pic:spPr>
              </pic:pic>
            </a:graphicData>
          </a:graphic>
        </wp:inline>
      </w:drawing>
    </w:r>
    <w:r w:rsidR="003604B9">
      <w:tab/>
    </w:r>
    <w:r w:rsidR="003604B9">
      <w:tab/>
    </w:r>
    <w:r w:rsidR="003604B9">
      <w:tab/>
    </w:r>
    <w:r w:rsidR="003604B9">
      <w:tab/>
    </w:r>
    <w:r w:rsidR="004F5C4B">
      <w:tab/>
    </w:r>
    <w:r>
      <w:tab/>
    </w:r>
    <w:r>
      <w:tab/>
    </w:r>
    <w:r>
      <w:tab/>
    </w:r>
    <w:r>
      <w:tab/>
    </w:r>
    <w:r w:rsidR="003604B9" w:rsidRPr="0018252D">
      <w:rPr>
        <w:rFonts w:ascii="Verdana" w:hAnsi="Verdana"/>
        <w:b/>
        <w:bCs/>
        <w:sz w:val="20"/>
        <w:szCs w:val="20"/>
      </w:rPr>
      <w:t xml:space="preserve">Point. </w:t>
    </w:r>
    <w:r w:rsidR="00EB24EA">
      <w:rPr>
        <w:rFonts w:ascii="Verdana" w:hAnsi="Verdana"/>
        <w:b/>
        <w:bCs/>
        <w:sz w:val="20"/>
        <w:szCs w:val="20"/>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7E0"/>
    <w:multiLevelType w:val="hybridMultilevel"/>
    <w:tmpl w:val="64F6AEFE"/>
    <w:lvl w:ilvl="0" w:tplc="8CC02074">
      <w:numFmt w:val="bullet"/>
      <w:lvlText w:val="-"/>
      <w:lvlJc w:val="left"/>
      <w:pPr>
        <w:ind w:left="720" w:hanging="360"/>
      </w:pPr>
      <w:rPr>
        <w:rFonts w:ascii="Verdana" w:eastAsia="Verdana"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71177C"/>
    <w:multiLevelType w:val="hybridMultilevel"/>
    <w:tmpl w:val="45CAC7E8"/>
    <w:lvl w:ilvl="0" w:tplc="3F74BDEA">
      <w:numFmt w:val="bullet"/>
      <w:lvlText w:val="-"/>
      <w:lvlJc w:val="left"/>
      <w:pPr>
        <w:ind w:left="360" w:hanging="360"/>
      </w:pPr>
      <w:rPr>
        <w:rFonts w:ascii="Verdana" w:eastAsiaTheme="minorHAnsi" w:hAnsi="Verdana" w:cs="Calibri" w:hint="default"/>
      </w:rPr>
    </w:lvl>
    <w:lvl w:ilvl="1" w:tplc="10000003">
      <w:start w:val="1"/>
      <w:numFmt w:val="bullet"/>
      <w:lvlText w:val="o"/>
      <w:lvlJc w:val="left"/>
      <w:pPr>
        <w:ind w:left="1080" w:hanging="360"/>
      </w:pPr>
      <w:rPr>
        <w:rFonts w:ascii="Courier New" w:hAnsi="Courier New" w:cs="Courier New" w:hint="default"/>
      </w:rPr>
    </w:lvl>
    <w:lvl w:ilvl="2" w:tplc="10000005">
      <w:start w:val="1"/>
      <w:numFmt w:val="bullet"/>
      <w:lvlText w:val=""/>
      <w:lvlJc w:val="left"/>
      <w:pPr>
        <w:ind w:left="1800" w:hanging="360"/>
      </w:pPr>
      <w:rPr>
        <w:rFonts w:ascii="Wingdings" w:hAnsi="Wingdings" w:hint="default"/>
      </w:rPr>
    </w:lvl>
    <w:lvl w:ilvl="3" w:tplc="10000001">
      <w:start w:val="1"/>
      <w:numFmt w:val="bullet"/>
      <w:lvlText w:val=""/>
      <w:lvlJc w:val="left"/>
      <w:pPr>
        <w:ind w:left="2520" w:hanging="360"/>
      </w:pPr>
      <w:rPr>
        <w:rFonts w:ascii="Symbol" w:hAnsi="Symbol" w:hint="default"/>
      </w:rPr>
    </w:lvl>
    <w:lvl w:ilvl="4" w:tplc="10000003">
      <w:start w:val="1"/>
      <w:numFmt w:val="bullet"/>
      <w:lvlText w:val="o"/>
      <w:lvlJc w:val="left"/>
      <w:pPr>
        <w:ind w:left="3240" w:hanging="360"/>
      </w:pPr>
      <w:rPr>
        <w:rFonts w:ascii="Courier New" w:hAnsi="Courier New" w:cs="Courier New" w:hint="default"/>
      </w:rPr>
    </w:lvl>
    <w:lvl w:ilvl="5" w:tplc="10000005">
      <w:start w:val="1"/>
      <w:numFmt w:val="bullet"/>
      <w:lvlText w:val=""/>
      <w:lvlJc w:val="left"/>
      <w:pPr>
        <w:ind w:left="3960" w:hanging="360"/>
      </w:pPr>
      <w:rPr>
        <w:rFonts w:ascii="Wingdings" w:hAnsi="Wingdings" w:hint="default"/>
      </w:rPr>
    </w:lvl>
    <w:lvl w:ilvl="6" w:tplc="10000001">
      <w:start w:val="1"/>
      <w:numFmt w:val="bullet"/>
      <w:lvlText w:val=""/>
      <w:lvlJc w:val="left"/>
      <w:pPr>
        <w:ind w:left="4680" w:hanging="360"/>
      </w:pPr>
      <w:rPr>
        <w:rFonts w:ascii="Symbol" w:hAnsi="Symbol" w:hint="default"/>
      </w:rPr>
    </w:lvl>
    <w:lvl w:ilvl="7" w:tplc="10000003">
      <w:start w:val="1"/>
      <w:numFmt w:val="bullet"/>
      <w:lvlText w:val="o"/>
      <w:lvlJc w:val="left"/>
      <w:pPr>
        <w:ind w:left="5400" w:hanging="360"/>
      </w:pPr>
      <w:rPr>
        <w:rFonts w:ascii="Courier New" w:hAnsi="Courier New" w:cs="Courier New" w:hint="default"/>
      </w:rPr>
    </w:lvl>
    <w:lvl w:ilvl="8" w:tplc="10000005">
      <w:start w:val="1"/>
      <w:numFmt w:val="bullet"/>
      <w:lvlText w:val=""/>
      <w:lvlJc w:val="left"/>
      <w:pPr>
        <w:ind w:left="6120" w:hanging="360"/>
      </w:pPr>
      <w:rPr>
        <w:rFonts w:ascii="Wingdings" w:hAnsi="Wingdings" w:hint="default"/>
      </w:rPr>
    </w:lvl>
  </w:abstractNum>
  <w:abstractNum w:abstractNumId="2" w15:restartNumberingAfterBreak="0">
    <w:nsid w:val="09302E10"/>
    <w:multiLevelType w:val="hybridMultilevel"/>
    <w:tmpl w:val="D12E789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D0860"/>
    <w:multiLevelType w:val="hybridMultilevel"/>
    <w:tmpl w:val="FE1C3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D30430"/>
    <w:multiLevelType w:val="multilevel"/>
    <w:tmpl w:val="A2669954"/>
    <w:lvl w:ilvl="0">
      <w:start w:val="1"/>
      <w:numFmt w:val="decimal"/>
      <w:pStyle w:val="Titrepartie"/>
      <w:lvlText w:val="%1."/>
      <w:lvlJc w:val="left"/>
      <w:pPr>
        <w:ind w:left="720" w:hanging="360"/>
      </w:pPr>
      <w:rPr>
        <w:rFonts w:hint="default"/>
      </w:rPr>
    </w:lvl>
    <w:lvl w:ilvl="1">
      <w:start w:val="1"/>
      <w:numFmt w:val="decimal"/>
      <w:pStyle w:val="Sous-partie2"/>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7C47BF2"/>
    <w:multiLevelType w:val="hybridMultilevel"/>
    <w:tmpl w:val="753E27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F554EF"/>
    <w:multiLevelType w:val="hybridMultilevel"/>
    <w:tmpl w:val="D362025A"/>
    <w:lvl w:ilvl="0" w:tplc="8208CE96">
      <w:start w:val="1"/>
      <w:numFmt w:val="bullet"/>
      <w:lvlText w:val="-"/>
      <w:lvlJc w:val="left"/>
      <w:pPr>
        <w:ind w:left="720" w:hanging="360"/>
      </w:pPr>
      <w:rPr>
        <w:rFonts w:ascii="Verdana" w:eastAsiaTheme="minorHAnsi"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2B3E67"/>
    <w:multiLevelType w:val="hybridMultilevel"/>
    <w:tmpl w:val="1AB4D776"/>
    <w:lvl w:ilvl="0" w:tplc="1722C5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610BD4"/>
    <w:multiLevelType w:val="hybridMultilevel"/>
    <w:tmpl w:val="00F40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EB470B"/>
    <w:multiLevelType w:val="multilevel"/>
    <w:tmpl w:val="8752B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47C0A3"/>
    <w:multiLevelType w:val="hybridMultilevel"/>
    <w:tmpl w:val="0A3ABC42"/>
    <w:lvl w:ilvl="0" w:tplc="D9D08B1E">
      <w:start w:val="1"/>
      <w:numFmt w:val="bullet"/>
      <w:lvlText w:val="-"/>
      <w:lvlJc w:val="left"/>
      <w:pPr>
        <w:ind w:left="720" w:hanging="360"/>
      </w:pPr>
      <w:rPr>
        <w:rFonts w:ascii="Aptos" w:hAnsi="Aptos" w:hint="default"/>
      </w:rPr>
    </w:lvl>
    <w:lvl w:ilvl="1" w:tplc="992252FE">
      <w:start w:val="1"/>
      <w:numFmt w:val="bullet"/>
      <w:lvlText w:val="o"/>
      <w:lvlJc w:val="left"/>
      <w:pPr>
        <w:ind w:left="1440" w:hanging="360"/>
      </w:pPr>
      <w:rPr>
        <w:rFonts w:ascii="Courier New" w:hAnsi="Courier New" w:hint="default"/>
      </w:rPr>
    </w:lvl>
    <w:lvl w:ilvl="2" w:tplc="645238B8">
      <w:start w:val="1"/>
      <w:numFmt w:val="bullet"/>
      <w:lvlText w:val=""/>
      <w:lvlJc w:val="left"/>
      <w:pPr>
        <w:ind w:left="2160" w:hanging="360"/>
      </w:pPr>
      <w:rPr>
        <w:rFonts w:ascii="Wingdings" w:hAnsi="Wingdings" w:hint="default"/>
      </w:rPr>
    </w:lvl>
    <w:lvl w:ilvl="3" w:tplc="360A9276">
      <w:start w:val="1"/>
      <w:numFmt w:val="bullet"/>
      <w:lvlText w:val=""/>
      <w:lvlJc w:val="left"/>
      <w:pPr>
        <w:ind w:left="2880" w:hanging="360"/>
      </w:pPr>
      <w:rPr>
        <w:rFonts w:ascii="Symbol" w:hAnsi="Symbol" w:hint="default"/>
      </w:rPr>
    </w:lvl>
    <w:lvl w:ilvl="4" w:tplc="6324E72E">
      <w:start w:val="1"/>
      <w:numFmt w:val="bullet"/>
      <w:lvlText w:val="o"/>
      <w:lvlJc w:val="left"/>
      <w:pPr>
        <w:ind w:left="3600" w:hanging="360"/>
      </w:pPr>
      <w:rPr>
        <w:rFonts w:ascii="Courier New" w:hAnsi="Courier New" w:hint="default"/>
      </w:rPr>
    </w:lvl>
    <w:lvl w:ilvl="5" w:tplc="713CA032">
      <w:start w:val="1"/>
      <w:numFmt w:val="bullet"/>
      <w:lvlText w:val=""/>
      <w:lvlJc w:val="left"/>
      <w:pPr>
        <w:ind w:left="4320" w:hanging="360"/>
      </w:pPr>
      <w:rPr>
        <w:rFonts w:ascii="Wingdings" w:hAnsi="Wingdings" w:hint="default"/>
      </w:rPr>
    </w:lvl>
    <w:lvl w:ilvl="6" w:tplc="2392FF14">
      <w:start w:val="1"/>
      <w:numFmt w:val="bullet"/>
      <w:lvlText w:val=""/>
      <w:lvlJc w:val="left"/>
      <w:pPr>
        <w:ind w:left="5040" w:hanging="360"/>
      </w:pPr>
      <w:rPr>
        <w:rFonts w:ascii="Symbol" w:hAnsi="Symbol" w:hint="default"/>
      </w:rPr>
    </w:lvl>
    <w:lvl w:ilvl="7" w:tplc="29921AF0">
      <w:start w:val="1"/>
      <w:numFmt w:val="bullet"/>
      <w:lvlText w:val="o"/>
      <w:lvlJc w:val="left"/>
      <w:pPr>
        <w:ind w:left="5760" w:hanging="360"/>
      </w:pPr>
      <w:rPr>
        <w:rFonts w:ascii="Courier New" w:hAnsi="Courier New" w:hint="default"/>
      </w:rPr>
    </w:lvl>
    <w:lvl w:ilvl="8" w:tplc="DCA2D13A">
      <w:start w:val="1"/>
      <w:numFmt w:val="bullet"/>
      <w:lvlText w:val=""/>
      <w:lvlJc w:val="left"/>
      <w:pPr>
        <w:ind w:left="6480" w:hanging="360"/>
      </w:pPr>
      <w:rPr>
        <w:rFonts w:ascii="Wingdings" w:hAnsi="Wingdings" w:hint="default"/>
      </w:rPr>
    </w:lvl>
  </w:abstractNum>
  <w:abstractNum w:abstractNumId="11" w15:restartNumberingAfterBreak="0">
    <w:nsid w:val="57FF2699"/>
    <w:multiLevelType w:val="hybridMultilevel"/>
    <w:tmpl w:val="F0244FBA"/>
    <w:lvl w:ilvl="0" w:tplc="04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B02E3C"/>
    <w:multiLevelType w:val="hybridMultilevel"/>
    <w:tmpl w:val="529A6248"/>
    <w:lvl w:ilvl="0" w:tplc="A8F2D1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98D0FA9"/>
    <w:multiLevelType w:val="hybridMultilevel"/>
    <w:tmpl w:val="213EC2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1E659EF"/>
    <w:multiLevelType w:val="hybridMultilevel"/>
    <w:tmpl w:val="FDFA0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0BB60D"/>
    <w:multiLevelType w:val="multilevel"/>
    <w:tmpl w:val="33A8403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8443707">
    <w:abstractNumId w:val="15"/>
  </w:num>
  <w:num w:numId="2" w16cid:durableId="747308760">
    <w:abstractNumId w:val="7"/>
  </w:num>
  <w:num w:numId="3" w16cid:durableId="1268386909">
    <w:abstractNumId w:val="12"/>
  </w:num>
  <w:num w:numId="4" w16cid:durableId="217471169">
    <w:abstractNumId w:val="4"/>
  </w:num>
  <w:num w:numId="5" w16cid:durableId="1294939931">
    <w:abstractNumId w:val="2"/>
  </w:num>
  <w:num w:numId="6" w16cid:durableId="1229994288">
    <w:abstractNumId w:val="11"/>
  </w:num>
  <w:num w:numId="7" w16cid:durableId="1306469656">
    <w:abstractNumId w:val="5"/>
  </w:num>
  <w:num w:numId="8" w16cid:durableId="509443096">
    <w:abstractNumId w:val="8"/>
  </w:num>
  <w:num w:numId="9" w16cid:durableId="1579167283">
    <w:abstractNumId w:val="4"/>
    <w:lvlOverride w:ilvl="0">
      <w:startOverride w:val="1"/>
    </w:lvlOverride>
  </w:num>
  <w:num w:numId="10" w16cid:durableId="573584003">
    <w:abstractNumId w:val="3"/>
  </w:num>
  <w:num w:numId="11" w16cid:durableId="92033473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7714366">
    <w:abstractNumId w:val="4"/>
  </w:num>
  <w:num w:numId="13" w16cid:durableId="1298025872">
    <w:abstractNumId w:val="6"/>
  </w:num>
  <w:num w:numId="14" w16cid:durableId="364602987">
    <w:abstractNumId w:val="4"/>
  </w:num>
  <w:num w:numId="15" w16cid:durableId="19645373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0773908">
    <w:abstractNumId w:val="4"/>
  </w:num>
  <w:num w:numId="17" w16cid:durableId="709695611">
    <w:abstractNumId w:val="4"/>
  </w:num>
  <w:num w:numId="18" w16cid:durableId="799956313">
    <w:abstractNumId w:val="13"/>
  </w:num>
  <w:num w:numId="19" w16cid:durableId="84621518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6814987">
    <w:abstractNumId w:val="4"/>
  </w:num>
  <w:num w:numId="21" w16cid:durableId="29037278">
    <w:abstractNumId w:val="4"/>
  </w:num>
  <w:num w:numId="22" w16cid:durableId="1571966269">
    <w:abstractNumId w:val="4"/>
  </w:num>
  <w:num w:numId="23" w16cid:durableId="1636834655">
    <w:abstractNumId w:val="4"/>
  </w:num>
  <w:num w:numId="24" w16cid:durableId="1523401625">
    <w:abstractNumId w:val="1"/>
  </w:num>
  <w:num w:numId="25" w16cid:durableId="671689826">
    <w:abstractNumId w:val="14"/>
  </w:num>
  <w:num w:numId="26" w16cid:durableId="1514688830">
    <w:abstractNumId w:val="10"/>
  </w:num>
  <w:num w:numId="27" w16cid:durableId="624458922">
    <w:abstractNumId w:val="0"/>
  </w:num>
  <w:num w:numId="28" w16cid:durableId="1430000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83"/>
    <w:rsid w:val="000015CA"/>
    <w:rsid w:val="00001756"/>
    <w:rsid w:val="00006E4D"/>
    <w:rsid w:val="00021F3F"/>
    <w:rsid w:val="00033724"/>
    <w:rsid w:val="000373B2"/>
    <w:rsid w:val="00042CF5"/>
    <w:rsid w:val="00054ADC"/>
    <w:rsid w:val="00060CA0"/>
    <w:rsid w:val="00063A26"/>
    <w:rsid w:val="00080660"/>
    <w:rsid w:val="0008468B"/>
    <w:rsid w:val="00084DDB"/>
    <w:rsid w:val="000A3659"/>
    <w:rsid w:val="000A468A"/>
    <w:rsid w:val="000A66E1"/>
    <w:rsid w:val="000B0FBD"/>
    <w:rsid w:val="000B2A82"/>
    <w:rsid w:val="000B3970"/>
    <w:rsid w:val="000B56E4"/>
    <w:rsid w:val="000C6E30"/>
    <w:rsid w:val="000D3C13"/>
    <w:rsid w:val="000D6BA4"/>
    <w:rsid w:val="000F354B"/>
    <w:rsid w:val="000F443B"/>
    <w:rsid w:val="000F4728"/>
    <w:rsid w:val="000F5FB1"/>
    <w:rsid w:val="000F622C"/>
    <w:rsid w:val="000F6772"/>
    <w:rsid w:val="001043FD"/>
    <w:rsid w:val="00107D9D"/>
    <w:rsid w:val="00114FF7"/>
    <w:rsid w:val="00120F1D"/>
    <w:rsid w:val="001211D1"/>
    <w:rsid w:val="00124559"/>
    <w:rsid w:val="001404DA"/>
    <w:rsid w:val="0014389E"/>
    <w:rsid w:val="001452EE"/>
    <w:rsid w:val="00151DBE"/>
    <w:rsid w:val="00161BDB"/>
    <w:rsid w:val="00171CC9"/>
    <w:rsid w:val="001824AF"/>
    <w:rsid w:val="0018252D"/>
    <w:rsid w:val="001922B4"/>
    <w:rsid w:val="00197271"/>
    <w:rsid w:val="001A371A"/>
    <w:rsid w:val="001A56F1"/>
    <w:rsid w:val="001A78FF"/>
    <w:rsid w:val="001A7949"/>
    <w:rsid w:val="001A7997"/>
    <w:rsid w:val="001B3C9E"/>
    <w:rsid w:val="001B436C"/>
    <w:rsid w:val="001B4738"/>
    <w:rsid w:val="001E05EF"/>
    <w:rsid w:val="001F500B"/>
    <w:rsid w:val="001F514C"/>
    <w:rsid w:val="001F781E"/>
    <w:rsid w:val="00211AEA"/>
    <w:rsid w:val="00220690"/>
    <w:rsid w:val="00221DE9"/>
    <w:rsid w:val="002266FD"/>
    <w:rsid w:val="002536B7"/>
    <w:rsid w:val="00263396"/>
    <w:rsid w:val="002767CB"/>
    <w:rsid w:val="00297CD6"/>
    <w:rsid w:val="002A0933"/>
    <w:rsid w:val="002A096E"/>
    <w:rsid w:val="002C56ED"/>
    <w:rsid w:val="002C729B"/>
    <w:rsid w:val="002E4758"/>
    <w:rsid w:val="002E7472"/>
    <w:rsid w:val="002F6A76"/>
    <w:rsid w:val="003027C8"/>
    <w:rsid w:val="0030426F"/>
    <w:rsid w:val="0031053C"/>
    <w:rsid w:val="00311F58"/>
    <w:rsid w:val="003264C2"/>
    <w:rsid w:val="003356A8"/>
    <w:rsid w:val="003372A2"/>
    <w:rsid w:val="003372BE"/>
    <w:rsid w:val="00345BF0"/>
    <w:rsid w:val="003465A6"/>
    <w:rsid w:val="003604B9"/>
    <w:rsid w:val="003667A6"/>
    <w:rsid w:val="00367785"/>
    <w:rsid w:val="00372F54"/>
    <w:rsid w:val="003772FB"/>
    <w:rsid w:val="00377CF7"/>
    <w:rsid w:val="00385868"/>
    <w:rsid w:val="00391152"/>
    <w:rsid w:val="003C2538"/>
    <w:rsid w:val="003C38BA"/>
    <w:rsid w:val="003C65AB"/>
    <w:rsid w:val="003D485F"/>
    <w:rsid w:val="003D5328"/>
    <w:rsid w:val="003E0133"/>
    <w:rsid w:val="003E50F1"/>
    <w:rsid w:val="003F15D7"/>
    <w:rsid w:val="00403F96"/>
    <w:rsid w:val="0040580B"/>
    <w:rsid w:val="0041278C"/>
    <w:rsid w:val="004138E3"/>
    <w:rsid w:val="004158D1"/>
    <w:rsid w:val="00417683"/>
    <w:rsid w:val="004228D9"/>
    <w:rsid w:val="00426673"/>
    <w:rsid w:val="00432825"/>
    <w:rsid w:val="00436527"/>
    <w:rsid w:val="004366CA"/>
    <w:rsid w:val="00447470"/>
    <w:rsid w:val="004607F7"/>
    <w:rsid w:val="00471CDD"/>
    <w:rsid w:val="0047C8AE"/>
    <w:rsid w:val="004A699C"/>
    <w:rsid w:val="004C367E"/>
    <w:rsid w:val="004C3B5A"/>
    <w:rsid w:val="004C3DF6"/>
    <w:rsid w:val="004C6381"/>
    <w:rsid w:val="004C79F5"/>
    <w:rsid w:val="004D163D"/>
    <w:rsid w:val="004E3435"/>
    <w:rsid w:val="004E3A40"/>
    <w:rsid w:val="004F5C4B"/>
    <w:rsid w:val="004F6A8C"/>
    <w:rsid w:val="004F7F8F"/>
    <w:rsid w:val="00510B6B"/>
    <w:rsid w:val="005161DF"/>
    <w:rsid w:val="00517831"/>
    <w:rsid w:val="0052177E"/>
    <w:rsid w:val="0052372D"/>
    <w:rsid w:val="00533A2C"/>
    <w:rsid w:val="0053773D"/>
    <w:rsid w:val="00546228"/>
    <w:rsid w:val="00547AE2"/>
    <w:rsid w:val="00555141"/>
    <w:rsid w:val="00572662"/>
    <w:rsid w:val="00577C95"/>
    <w:rsid w:val="00582EA0"/>
    <w:rsid w:val="00597059"/>
    <w:rsid w:val="005A6922"/>
    <w:rsid w:val="005A738E"/>
    <w:rsid w:val="005B1EA2"/>
    <w:rsid w:val="005B353E"/>
    <w:rsid w:val="005B3C09"/>
    <w:rsid w:val="005E7D54"/>
    <w:rsid w:val="0060348C"/>
    <w:rsid w:val="00612141"/>
    <w:rsid w:val="00620B90"/>
    <w:rsid w:val="00624FF3"/>
    <w:rsid w:val="0062500A"/>
    <w:rsid w:val="006356AF"/>
    <w:rsid w:val="006356C4"/>
    <w:rsid w:val="006368FC"/>
    <w:rsid w:val="006548BF"/>
    <w:rsid w:val="0065547B"/>
    <w:rsid w:val="00656329"/>
    <w:rsid w:val="00660504"/>
    <w:rsid w:val="0066434C"/>
    <w:rsid w:val="00671B84"/>
    <w:rsid w:val="00682583"/>
    <w:rsid w:val="006A210D"/>
    <w:rsid w:val="006A4399"/>
    <w:rsid w:val="006B0ACE"/>
    <w:rsid w:val="006B61BE"/>
    <w:rsid w:val="006B663D"/>
    <w:rsid w:val="006C0F1F"/>
    <w:rsid w:val="006C12DA"/>
    <w:rsid w:val="006D51AB"/>
    <w:rsid w:val="006E2D9E"/>
    <w:rsid w:val="006E5737"/>
    <w:rsid w:val="006F0DB2"/>
    <w:rsid w:val="006F3548"/>
    <w:rsid w:val="00700B5C"/>
    <w:rsid w:val="007049CA"/>
    <w:rsid w:val="00707EF6"/>
    <w:rsid w:val="007167AE"/>
    <w:rsid w:val="00723065"/>
    <w:rsid w:val="00726194"/>
    <w:rsid w:val="0073113C"/>
    <w:rsid w:val="00731678"/>
    <w:rsid w:val="007336FD"/>
    <w:rsid w:val="007450EE"/>
    <w:rsid w:val="007542F3"/>
    <w:rsid w:val="00754E92"/>
    <w:rsid w:val="00755870"/>
    <w:rsid w:val="00761EF3"/>
    <w:rsid w:val="00776292"/>
    <w:rsid w:val="00783F58"/>
    <w:rsid w:val="0078549D"/>
    <w:rsid w:val="00786E01"/>
    <w:rsid w:val="00787B10"/>
    <w:rsid w:val="007906DA"/>
    <w:rsid w:val="00792C38"/>
    <w:rsid w:val="007953F3"/>
    <w:rsid w:val="007A1650"/>
    <w:rsid w:val="007B245C"/>
    <w:rsid w:val="007B49E5"/>
    <w:rsid w:val="007B4E49"/>
    <w:rsid w:val="007C213C"/>
    <w:rsid w:val="007C294C"/>
    <w:rsid w:val="007C41DE"/>
    <w:rsid w:val="007C78FC"/>
    <w:rsid w:val="007C7AF0"/>
    <w:rsid w:val="007D7A4F"/>
    <w:rsid w:val="007D7BEE"/>
    <w:rsid w:val="007F37AD"/>
    <w:rsid w:val="00802AAC"/>
    <w:rsid w:val="008109F4"/>
    <w:rsid w:val="0081151A"/>
    <w:rsid w:val="0081484D"/>
    <w:rsid w:val="00816DAC"/>
    <w:rsid w:val="0083290E"/>
    <w:rsid w:val="00832C17"/>
    <w:rsid w:val="008333C3"/>
    <w:rsid w:val="008410D2"/>
    <w:rsid w:val="00841538"/>
    <w:rsid w:val="00843FF2"/>
    <w:rsid w:val="008453AB"/>
    <w:rsid w:val="00854EEA"/>
    <w:rsid w:val="008551DA"/>
    <w:rsid w:val="00881C70"/>
    <w:rsid w:val="008974A6"/>
    <w:rsid w:val="008A2BD2"/>
    <w:rsid w:val="008C70CE"/>
    <w:rsid w:val="008D193F"/>
    <w:rsid w:val="008D5444"/>
    <w:rsid w:val="008D618B"/>
    <w:rsid w:val="008F173C"/>
    <w:rsid w:val="008F676E"/>
    <w:rsid w:val="009014FF"/>
    <w:rsid w:val="00901CDD"/>
    <w:rsid w:val="009026D3"/>
    <w:rsid w:val="00905760"/>
    <w:rsid w:val="00907B69"/>
    <w:rsid w:val="00914EC9"/>
    <w:rsid w:val="00920C79"/>
    <w:rsid w:val="009268E9"/>
    <w:rsid w:val="00937D0D"/>
    <w:rsid w:val="00943791"/>
    <w:rsid w:val="0095390D"/>
    <w:rsid w:val="00955BB3"/>
    <w:rsid w:val="00962BC9"/>
    <w:rsid w:val="0097248D"/>
    <w:rsid w:val="00975196"/>
    <w:rsid w:val="00990856"/>
    <w:rsid w:val="00995229"/>
    <w:rsid w:val="009A2FDA"/>
    <w:rsid w:val="009A38AD"/>
    <w:rsid w:val="009A55EC"/>
    <w:rsid w:val="009A5740"/>
    <w:rsid w:val="009B5E14"/>
    <w:rsid w:val="009C3076"/>
    <w:rsid w:val="009D297E"/>
    <w:rsid w:val="009D7F8C"/>
    <w:rsid w:val="009E2084"/>
    <w:rsid w:val="009E21BF"/>
    <w:rsid w:val="009E307F"/>
    <w:rsid w:val="009E34F0"/>
    <w:rsid w:val="009F3F50"/>
    <w:rsid w:val="00A03C81"/>
    <w:rsid w:val="00A04070"/>
    <w:rsid w:val="00A148A1"/>
    <w:rsid w:val="00A1758B"/>
    <w:rsid w:val="00A21703"/>
    <w:rsid w:val="00A27A88"/>
    <w:rsid w:val="00A36C09"/>
    <w:rsid w:val="00A37C9F"/>
    <w:rsid w:val="00A52D61"/>
    <w:rsid w:val="00A54206"/>
    <w:rsid w:val="00A70123"/>
    <w:rsid w:val="00A76B07"/>
    <w:rsid w:val="00A81B98"/>
    <w:rsid w:val="00A90305"/>
    <w:rsid w:val="00A92755"/>
    <w:rsid w:val="00A9283E"/>
    <w:rsid w:val="00A9703B"/>
    <w:rsid w:val="00AA3BBB"/>
    <w:rsid w:val="00AA63A3"/>
    <w:rsid w:val="00AB5EB7"/>
    <w:rsid w:val="00AC4984"/>
    <w:rsid w:val="00AD4D97"/>
    <w:rsid w:val="00AE1C8F"/>
    <w:rsid w:val="00AE2453"/>
    <w:rsid w:val="00AE31B2"/>
    <w:rsid w:val="00AE6404"/>
    <w:rsid w:val="00AF16A2"/>
    <w:rsid w:val="00B05DFC"/>
    <w:rsid w:val="00B166F7"/>
    <w:rsid w:val="00B264FD"/>
    <w:rsid w:val="00B335F3"/>
    <w:rsid w:val="00B34B24"/>
    <w:rsid w:val="00B36EEA"/>
    <w:rsid w:val="00B373D6"/>
    <w:rsid w:val="00B401B2"/>
    <w:rsid w:val="00B4762A"/>
    <w:rsid w:val="00B47B4E"/>
    <w:rsid w:val="00B63101"/>
    <w:rsid w:val="00B862C1"/>
    <w:rsid w:val="00B9102C"/>
    <w:rsid w:val="00B950E3"/>
    <w:rsid w:val="00B978BA"/>
    <w:rsid w:val="00BA4B55"/>
    <w:rsid w:val="00BA741C"/>
    <w:rsid w:val="00BA7570"/>
    <w:rsid w:val="00BB32C8"/>
    <w:rsid w:val="00BE114F"/>
    <w:rsid w:val="00BE2827"/>
    <w:rsid w:val="00BE5562"/>
    <w:rsid w:val="00BF2D50"/>
    <w:rsid w:val="00C030A5"/>
    <w:rsid w:val="00C1135B"/>
    <w:rsid w:val="00C12C93"/>
    <w:rsid w:val="00C20954"/>
    <w:rsid w:val="00C26ECC"/>
    <w:rsid w:val="00C325F5"/>
    <w:rsid w:val="00C42685"/>
    <w:rsid w:val="00C43556"/>
    <w:rsid w:val="00C457E8"/>
    <w:rsid w:val="00C562D7"/>
    <w:rsid w:val="00C609B9"/>
    <w:rsid w:val="00C64BC1"/>
    <w:rsid w:val="00C7231D"/>
    <w:rsid w:val="00C7584F"/>
    <w:rsid w:val="00C75C35"/>
    <w:rsid w:val="00C7626A"/>
    <w:rsid w:val="00C93A7E"/>
    <w:rsid w:val="00C953AD"/>
    <w:rsid w:val="00CB2038"/>
    <w:rsid w:val="00CB4C89"/>
    <w:rsid w:val="00CC7CB7"/>
    <w:rsid w:val="00CD6686"/>
    <w:rsid w:val="00CE1A4B"/>
    <w:rsid w:val="00CE1B00"/>
    <w:rsid w:val="00CE2386"/>
    <w:rsid w:val="00CE665C"/>
    <w:rsid w:val="00D23F76"/>
    <w:rsid w:val="00D30580"/>
    <w:rsid w:val="00D31359"/>
    <w:rsid w:val="00D44289"/>
    <w:rsid w:val="00D4564F"/>
    <w:rsid w:val="00D505C7"/>
    <w:rsid w:val="00D673D2"/>
    <w:rsid w:val="00D834D0"/>
    <w:rsid w:val="00D93785"/>
    <w:rsid w:val="00DA017A"/>
    <w:rsid w:val="00DA15D3"/>
    <w:rsid w:val="00DB4CEC"/>
    <w:rsid w:val="00DB56A2"/>
    <w:rsid w:val="00DC1F1C"/>
    <w:rsid w:val="00DC5BAC"/>
    <w:rsid w:val="00DF7B09"/>
    <w:rsid w:val="00E011BB"/>
    <w:rsid w:val="00E04C3D"/>
    <w:rsid w:val="00E32408"/>
    <w:rsid w:val="00E44878"/>
    <w:rsid w:val="00E44ED4"/>
    <w:rsid w:val="00E61893"/>
    <w:rsid w:val="00E63700"/>
    <w:rsid w:val="00E67FED"/>
    <w:rsid w:val="00E71C90"/>
    <w:rsid w:val="00E7710E"/>
    <w:rsid w:val="00E82DC9"/>
    <w:rsid w:val="00E845D4"/>
    <w:rsid w:val="00E87A28"/>
    <w:rsid w:val="00E95BE0"/>
    <w:rsid w:val="00E96C8E"/>
    <w:rsid w:val="00EB24EA"/>
    <w:rsid w:val="00EB26AC"/>
    <w:rsid w:val="00EC1F7C"/>
    <w:rsid w:val="00EC22CC"/>
    <w:rsid w:val="00EC22E4"/>
    <w:rsid w:val="00ED2331"/>
    <w:rsid w:val="00ED3DD8"/>
    <w:rsid w:val="00ED6B69"/>
    <w:rsid w:val="00ED7C32"/>
    <w:rsid w:val="00EE34F4"/>
    <w:rsid w:val="00EF22A4"/>
    <w:rsid w:val="00F04C27"/>
    <w:rsid w:val="00F051DE"/>
    <w:rsid w:val="00F12473"/>
    <w:rsid w:val="00F26F90"/>
    <w:rsid w:val="00F34986"/>
    <w:rsid w:val="00F34A7B"/>
    <w:rsid w:val="00F35CF5"/>
    <w:rsid w:val="00F35D5F"/>
    <w:rsid w:val="00F37379"/>
    <w:rsid w:val="00F43B16"/>
    <w:rsid w:val="00F54EA0"/>
    <w:rsid w:val="00F6044E"/>
    <w:rsid w:val="00F65249"/>
    <w:rsid w:val="00F65FD0"/>
    <w:rsid w:val="00F66FC4"/>
    <w:rsid w:val="00F8764C"/>
    <w:rsid w:val="00F90190"/>
    <w:rsid w:val="00F96EE9"/>
    <w:rsid w:val="00F97D84"/>
    <w:rsid w:val="00FB1595"/>
    <w:rsid w:val="00FB18F4"/>
    <w:rsid w:val="00FB410C"/>
    <w:rsid w:val="00FC6373"/>
    <w:rsid w:val="00FC7AD5"/>
    <w:rsid w:val="00FC7E41"/>
    <w:rsid w:val="00FD6B5D"/>
    <w:rsid w:val="00FE285D"/>
    <w:rsid w:val="00FE6B20"/>
    <w:rsid w:val="00FE6FC8"/>
    <w:rsid w:val="00FF15FB"/>
    <w:rsid w:val="00FF554E"/>
    <w:rsid w:val="01274367"/>
    <w:rsid w:val="01BBCEF6"/>
    <w:rsid w:val="02053382"/>
    <w:rsid w:val="0205E55D"/>
    <w:rsid w:val="0207986B"/>
    <w:rsid w:val="0249F821"/>
    <w:rsid w:val="025F9B8B"/>
    <w:rsid w:val="02F16827"/>
    <w:rsid w:val="0334C8D3"/>
    <w:rsid w:val="0387D940"/>
    <w:rsid w:val="0503DEBC"/>
    <w:rsid w:val="050B2564"/>
    <w:rsid w:val="056F64F7"/>
    <w:rsid w:val="058592E4"/>
    <w:rsid w:val="05992D09"/>
    <w:rsid w:val="05A276B9"/>
    <w:rsid w:val="06AABADD"/>
    <w:rsid w:val="06D13B83"/>
    <w:rsid w:val="06EFB5E9"/>
    <w:rsid w:val="0794E2EA"/>
    <w:rsid w:val="081F47B7"/>
    <w:rsid w:val="0839FDE8"/>
    <w:rsid w:val="08DC6EB2"/>
    <w:rsid w:val="0953BAC4"/>
    <w:rsid w:val="098A2AE3"/>
    <w:rsid w:val="0996418A"/>
    <w:rsid w:val="09D8C1A4"/>
    <w:rsid w:val="0A032C8A"/>
    <w:rsid w:val="0AD032C4"/>
    <w:rsid w:val="0B2E562B"/>
    <w:rsid w:val="0B897D0C"/>
    <w:rsid w:val="0B94CEC1"/>
    <w:rsid w:val="0BC90502"/>
    <w:rsid w:val="0BE86B1E"/>
    <w:rsid w:val="0C2CD7B2"/>
    <w:rsid w:val="0C2F812D"/>
    <w:rsid w:val="0C5963CC"/>
    <w:rsid w:val="0C9FF3FB"/>
    <w:rsid w:val="0CDCD635"/>
    <w:rsid w:val="0D20E333"/>
    <w:rsid w:val="0D36B18A"/>
    <w:rsid w:val="0D3DF48E"/>
    <w:rsid w:val="0D44F60A"/>
    <w:rsid w:val="0D46352B"/>
    <w:rsid w:val="0D4AA1D4"/>
    <w:rsid w:val="0D83B028"/>
    <w:rsid w:val="0D9319D3"/>
    <w:rsid w:val="0EB91F26"/>
    <w:rsid w:val="0F0927DA"/>
    <w:rsid w:val="0FCC15AA"/>
    <w:rsid w:val="1011B649"/>
    <w:rsid w:val="110B51AE"/>
    <w:rsid w:val="117215F8"/>
    <w:rsid w:val="117CB775"/>
    <w:rsid w:val="11E57DC5"/>
    <w:rsid w:val="11F9154D"/>
    <w:rsid w:val="120CDCC1"/>
    <w:rsid w:val="12869B86"/>
    <w:rsid w:val="12CEDD56"/>
    <w:rsid w:val="1304B1F3"/>
    <w:rsid w:val="13086D05"/>
    <w:rsid w:val="13BF3A6C"/>
    <w:rsid w:val="141A97CB"/>
    <w:rsid w:val="1435B26A"/>
    <w:rsid w:val="1440B695"/>
    <w:rsid w:val="1470FDFB"/>
    <w:rsid w:val="14B5E9BA"/>
    <w:rsid w:val="14C2EFD7"/>
    <w:rsid w:val="152404D3"/>
    <w:rsid w:val="1562E8F8"/>
    <w:rsid w:val="15649473"/>
    <w:rsid w:val="1583DF1B"/>
    <w:rsid w:val="15E56290"/>
    <w:rsid w:val="16368D1C"/>
    <w:rsid w:val="164A07CF"/>
    <w:rsid w:val="16873F23"/>
    <w:rsid w:val="16E2EE6E"/>
    <w:rsid w:val="16F4E9D1"/>
    <w:rsid w:val="1742EA5F"/>
    <w:rsid w:val="1793654A"/>
    <w:rsid w:val="179953CB"/>
    <w:rsid w:val="17C15820"/>
    <w:rsid w:val="17D641DC"/>
    <w:rsid w:val="17E4E7C7"/>
    <w:rsid w:val="182C88C0"/>
    <w:rsid w:val="18374AC8"/>
    <w:rsid w:val="1856BFA6"/>
    <w:rsid w:val="185A0170"/>
    <w:rsid w:val="18A410B8"/>
    <w:rsid w:val="18D6211D"/>
    <w:rsid w:val="18E41CD4"/>
    <w:rsid w:val="1919D850"/>
    <w:rsid w:val="193584DD"/>
    <w:rsid w:val="19558B98"/>
    <w:rsid w:val="19568D92"/>
    <w:rsid w:val="19820515"/>
    <w:rsid w:val="1A4FD036"/>
    <w:rsid w:val="1A852B17"/>
    <w:rsid w:val="1A8EADEC"/>
    <w:rsid w:val="1ABB8261"/>
    <w:rsid w:val="1ABC70E5"/>
    <w:rsid w:val="1AE821A4"/>
    <w:rsid w:val="1B05F34D"/>
    <w:rsid w:val="1B53E3F3"/>
    <w:rsid w:val="1B9135E3"/>
    <w:rsid w:val="1BA31A52"/>
    <w:rsid w:val="1BD34008"/>
    <w:rsid w:val="1BD8A4F0"/>
    <w:rsid w:val="1C0E91D1"/>
    <w:rsid w:val="1C25BEDF"/>
    <w:rsid w:val="1C7597F3"/>
    <w:rsid w:val="1CEA8FAF"/>
    <w:rsid w:val="1CEB490B"/>
    <w:rsid w:val="1D211005"/>
    <w:rsid w:val="1DE5D3B7"/>
    <w:rsid w:val="1DF35414"/>
    <w:rsid w:val="1E884A54"/>
    <w:rsid w:val="1F1F1DCB"/>
    <w:rsid w:val="1FC1A51C"/>
    <w:rsid w:val="1FF96E68"/>
    <w:rsid w:val="2061763D"/>
    <w:rsid w:val="20CB7062"/>
    <w:rsid w:val="20E780BE"/>
    <w:rsid w:val="20FDBC87"/>
    <w:rsid w:val="212295A8"/>
    <w:rsid w:val="213F4166"/>
    <w:rsid w:val="2159407B"/>
    <w:rsid w:val="21F5585B"/>
    <w:rsid w:val="22025FEE"/>
    <w:rsid w:val="2211B459"/>
    <w:rsid w:val="228116F2"/>
    <w:rsid w:val="22B4A28D"/>
    <w:rsid w:val="22D67A89"/>
    <w:rsid w:val="231C5959"/>
    <w:rsid w:val="233E14E0"/>
    <w:rsid w:val="24027ABA"/>
    <w:rsid w:val="248F7537"/>
    <w:rsid w:val="2593711C"/>
    <w:rsid w:val="25A8CC94"/>
    <w:rsid w:val="25B62318"/>
    <w:rsid w:val="25CE5B5C"/>
    <w:rsid w:val="25E1F0B2"/>
    <w:rsid w:val="263FB4DA"/>
    <w:rsid w:val="27CC9988"/>
    <w:rsid w:val="27D7F1C6"/>
    <w:rsid w:val="2811F94C"/>
    <w:rsid w:val="28A2D393"/>
    <w:rsid w:val="28F6274C"/>
    <w:rsid w:val="291F61DE"/>
    <w:rsid w:val="2941E0F7"/>
    <w:rsid w:val="29DFCB57"/>
    <w:rsid w:val="2AC5B618"/>
    <w:rsid w:val="2AFA4FAA"/>
    <w:rsid w:val="2C6D6CF2"/>
    <w:rsid w:val="2CD03481"/>
    <w:rsid w:val="2D3B8DE6"/>
    <w:rsid w:val="2EB05996"/>
    <w:rsid w:val="2EC4E977"/>
    <w:rsid w:val="2EE34E6A"/>
    <w:rsid w:val="2F30783A"/>
    <w:rsid w:val="2F6596B4"/>
    <w:rsid w:val="2FF4B576"/>
    <w:rsid w:val="30262222"/>
    <w:rsid w:val="304BD62B"/>
    <w:rsid w:val="30E18087"/>
    <w:rsid w:val="312AB08D"/>
    <w:rsid w:val="3190E45E"/>
    <w:rsid w:val="31B7442A"/>
    <w:rsid w:val="31F6311E"/>
    <w:rsid w:val="323AA39F"/>
    <w:rsid w:val="323B8D7B"/>
    <w:rsid w:val="3299DDA1"/>
    <w:rsid w:val="330407AB"/>
    <w:rsid w:val="333116C3"/>
    <w:rsid w:val="33919E40"/>
    <w:rsid w:val="33D0ED5A"/>
    <w:rsid w:val="33DA318B"/>
    <w:rsid w:val="33DEB040"/>
    <w:rsid w:val="345A56A2"/>
    <w:rsid w:val="34768C08"/>
    <w:rsid w:val="349032E0"/>
    <w:rsid w:val="34AF2FE6"/>
    <w:rsid w:val="35890199"/>
    <w:rsid w:val="358933F8"/>
    <w:rsid w:val="35D4879F"/>
    <w:rsid w:val="35D72D41"/>
    <w:rsid w:val="362E2750"/>
    <w:rsid w:val="36414855"/>
    <w:rsid w:val="36587F78"/>
    <w:rsid w:val="3666AC77"/>
    <w:rsid w:val="36A8A90B"/>
    <w:rsid w:val="36EA1CBB"/>
    <w:rsid w:val="37003CC7"/>
    <w:rsid w:val="370D29B2"/>
    <w:rsid w:val="3760742C"/>
    <w:rsid w:val="37635B9F"/>
    <w:rsid w:val="377E810B"/>
    <w:rsid w:val="37D3EE39"/>
    <w:rsid w:val="381D6195"/>
    <w:rsid w:val="382603AE"/>
    <w:rsid w:val="389CABD6"/>
    <w:rsid w:val="398B7A34"/>
    <w:rsid w:val="39FFDE67"/>
    <w:rsid w:val="3A3CA025"/>
    <w:rsid w:val="3A695192"/>
    <w:rsid w:val="3A6B768F"/>
    <w:rsid w:val="3A8B807F"/>
    <w:rsid w:val="3AB1C64D"/>
    <w:rsid w:val="3AD90DE6"/>
    <w:rsid w:val="3AE24F80"/>
    <w:rsid w:val="3AED2DBD"/>
    <w:rsid w:val="3B03E0FB"/>
    <w:rsid w:val="3BD98C0B"/>
    <w:rsid w:val="3C1281EC"/>
    <w:rsid w:val="3C21062A"/>
    <w:rsid w:val="3C47D19D"/>
    <w:rsid w:val="3C5F4EC1"/>
    <w:rsid w:val="3C73634C"/>
    <w:rsid w:val="3C83DCD8"/>
    <w:rsid w:val="3CAE2585"/>
    <w:rsid w:val="3CCA07F4"/>
    <w:rsid w:val="3D03C059"/>
    <w:rsid w:val="3D0D7304"/>
    <w:rsid w:val="3E29E05F"/>
    <w:rsid w:val="3F3FA39E"/>
    <w:rsid w:val="401627E6"/>
    <w:rsid w:val="4029B25B"/>
    <w:rsid w:val="40AABFC2"/>
    <w:rsid w:val="40B652D1"/>
    <w:rsid w:val="40CF4E1A"/>
    <w:rsid w:val="412E81F6"/>
    <w:rsid w:val="41DC63DE"/>
    <w:rsid w:val="4271639F"/>
    <w:rsid w:val="436EEA6F"/>
    <w:rsid w:val="44651BD9"/>
    <w:rsid w:val="446857C0"/>
    <w:rsid w:val="44C75F72"/>
    <w:rsid w:val="454B29D6"/>
    <w:rsid w:val="454F4446"/>
    <w:rsid w:val="45AFB7A8"/>
    <w:rsid w:val="46D97406"/>
    <w:rsid w:val="4736C522"/>
    <w:rsid w:val="479A5832"/>
    <w:rsid w:val="4841AD05"/>
    <w:rsid w:val="4931DCE6"/>
    <w:rsid w:val="49C20DCC"/>
    <w:rsid w:val="49C6FA4D"/>
    <w:rsid w:val="4A86BAD0"/>
    <w:rsid w:val="4A9A86D1"/>
    <w:rsid w:val="4AAA5BA3"/>
    <w:rsid w:val="4AE75B4C"/>
    <w:rsid w:val="4B86764C"/>
    <w:rsid w:val="4CD71873"/>
    <w:rsid w:val="4CFE423A"/>
    <w:rsid w:val="4D050F71"/>
    <w:rsid w:val="4D1FBBB1"/>
    <w:rsid w:val="4D3564B5"/>
    <w:rsid w:val="4E239C05"/>
    <w:rsid w:val="4F2A7422"/>
    <w:rsid w:val="4F6D102F"/>
    <w:rsid w:val="4F6E1FDE"/>
    <w:rsid w:val="4F783D79"/>
    <w:rsid w:val="4F8DEAFC"/>
    <w:rsid w:val="502CEB11"/>
    <w:rsid w:val="50574FD7"/>
    <w:rsid w:val="508F2885"/>
    <w:rsid w:val="50A1B2B8"/>
    <w:rsid w:val="514B4AFF"/>
    <w:rsid w:val="519465BC"/>
    <w:rsid w:val="51DE633D"/>
    <w:rsid w:val="51ED6153"/>
    <w:rsid w:val="525881EB"/>
    <w:rsid w:val="52ABB37C"/>
    <w:rsid w:val="52ECC3A2"/>
    <w:rsid w:val="5385B979"/>
    <w:rsid w:val="53A631C1"/>
    <w:rsid w:val="54C3A262"/>
    <w:rsid w:val="5576E744"/>
    <w:rsid w:val="55A56842"/>
    <w:rsid w:val="563AB73D"/>
    <w:rsid w:val="5679980F"/>
    <w:rsid w:val="56E54C34"/>
    <w:rsid w:val="5782BE47"/>
    <w:rsid w:val="578330F8"/>
    <w:rsid w:val="583A9125"/>
    <w:rsid w:val="58F9E15C"/>
    <w:rsid w:val="5964896A"/>
    <w:rsid w:val="598292B8"/>
    <w:rsid w:val="59EA7778"/>
    <w:rsid w:val="59EE3C6B"/>
    <w:rsid w:val="5AA17ADF"/>
    <w:rsid w:val="5B9F4AD1"/>
    <w:rsid w:val="5C0C7B3E"/>
    <w:rsid w:val="5C873252"/>
    <w:rsid w:val="5C8A74B2"/>
    <w:rsid w:val="5CD03405"/>
    <w:rsid w:val="5CDC454D"/>
    <w:rsid w:val="5D2F8BA1"/>
    <w:rsid w:val="5D460119"/>
    <w:rsid w:val="5DB66A99"/>
    <w:rsid w:val="5E1E509A"/>
    <w:rsid w:val="5E23C1A8"/>
    <w:rsid w:val="5E41BB72"/>
    <w:rsid w:val="5E79EC38"/>
    <w:rsid w:val="5E89092D"/>
    <w:rsid w:val="5E9017EC"/>
    <w:rsid w:val="5ECD09FD"/>
    <w:rsid w:val="5F6D9979"/>
    <w:rsid w:val="5FEBD1A3"/>
    <w:rsid w:val="6068A48C"/>
    <w:rsid w:val="60A7CB76"/>
    <w:rsid w:val="6100E931"/>
    <w:rsid w:val="615B2E34"/>
    <w:rsid w:val="61850356"/>
    <w:rsid w:val="619BFAA7"/>
    <w:rsid w:val="61F9A5BF"/>
    <w:rsid w:val="6240B04E"/>
    <w:rsid w:val="6289589C"/>
    <w:rsid w:val="630B5DE9"/>
    <w:rsid w:val="6320C3FD"/>
    <w:rsid w:val="634B8425"/>
    <w:rsid w:val="63D46FA1"/>
    <w:rsid w:val="64083D2B"/>
    <w:rsid w:val="6419C9B4"/>
    <w:rsid w:val="6456C29C"/>
    <w:rsid w:val="645BF3F8"/>
    <w:rsid w:val="64BA794F"/>
    <w:rsid w:val="64E8A594"/>
    <w:rsid w:val="64F783AB"/>
    <w:rsid w:val="65648A48"/>
    <w:rsid w:val="6611D947"/>
    <w:rsid w:val="66300488"/>
    <w:rsid w:val="66BA1028"/>
    <w:rsid w:val="66CFC04F"/>
    <w:rsid w:val="67496EAA"/>
    <w:rsid w:val="6781C882"/>
    <w:rsid w:val="67D5DF69"/>
    <w:rsid w:val="680BB825"/>
    <w:rsid w:val="689F8A8F"/>
    <w:rsid w:val="68BE1DDD"/>
    <w:rsid w:val="69097F15"/>
    <w:rsid w:val="69703D71"/>
    <w:rsid w:val="6971E75E"/>
    <w:rsid w:val="6A459BDB"/>
    <w:rsid w:val="6AF8C88C"/>
    <w:rsid w:val="6B3CFE2D"/>
    <w:rsid w:val="6B43A9AE"/>
    <w:rsid w:val="6B565A45"/>
    <w:rsid w:val="6C035659"/>
    <w:rsid w:val="6C046D69"/>
    <w:rsid w:val="6C1A48E9"/>
    <w:rsid w:val="6C31508D"/>
    <w:rsid w:val="6C45FC00"/>
    <w:rsid w:val="6C645F9F"/>
    <w:rsid w:val="6DA6AD9B"/>
    <w:rsid w:val="6DDF1368"/>
    <w:rsid w:val="6E2823A5"/>
    <w:rsid w:val="6EEC9199"/>
    <w:rsid w:val="6F802D76"/>
    <w:rsid w:val="6F8CEC59"/>
    <w:rsid w:val="7008D625"/>
    <w:rsid w:val="7094ABC0"/>
    <w:rsid w:val="7099363F"/>
    <w:rsid w:val="71812216"/>
    <w:rsid w:val="72946770"/>
    <w:rsid w:val="72E4A858"/>
    <w:rsid w:val="730365C3"/>
    <w:rsid w:val="733CB367"/>
    <w:rsid w:val="7347C125"/>
    <w:rsid w:val="73685A84"/>
    <w:rsid w:val="73E6180A"/>
    <w:rsid w:val="73F1EA76"/>
    <w:rsid w:val="73FB9C17"/>
    <w:rsid w:val="74AC0716"/>
    <w:rsid w:val="75035CE3"/>
    <w:rsid w:val="758C29B7"/>
    <w:rsid w:val="75D4C7A3"/>
    <w:rsid w:val="762F0B3B"/>
    <w:rsid w:val="7672F86A"/>
    <w:rsid w:val="76AB6DC5"/>
    <w:rsid w:val="76CBB4BA"/>
    <w:rsid w:val="7779E526"/>
    <w:rsid w:val="77D8F95C"/>
    <w:rsid w:val="77E12F63"/>
    <w:rsid w:val="78103130"/>
    <w:rsid w:val="78B5EEAC"/>
    <w:rsid w:val="78C5824C"/>
    <w:rsid w:val="78F0725C"/>
    <w:rsid w:val="79F5AB3B"/>
    <w:rsid w:val="7AA711E1"/>
    <w:rsid w:val="7AB118BE"/>
    <w:rsid w:val="7AB9211F"/>
    <w:rsid w:val="7AD1BDE1"/>
    <w:rsid w:val="7AFD12F3"/>
    <w:rsid w:val="7B10840E"/>
    <w:rsid w:val="7BB72A9F"/>
    <w:rsid w:val="7C6CEAC4"/>
    <w:rsid w:val="7C80F611"/>
    <w:rsid w:val="7CBFCD4F"/>
    <w:rsid w:val="7CCC2B46"/>
    <w:rsid w:val="7E12854C"/>
    <w:rsid w:val="7E6C380C"/>
    <w:rsid w:val="7E9B3E35"/>
    <w:rsid w:val="7F042193"/>
    <w:rsid w:val="7FD89E77"/>
    <w:rsid w:val="7FD9FD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190A"/>
  <w15:chartTrackingRefBased/>
  <w15:docId w15:val="{19AC75D2-F647-4940-B591-68ACA3ED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6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6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7683"/>
  </w:style>
  <w:style w:type="paragraph" w:styleId="Footer">
    <w:name w:val="footer"/>
    <w:basedOn w:val="Normal"/>
    <w:link w:val="FooterChar"/>
    <w:uiPriority w:val="99"/>
    <w:unhideWhenUsed/>
    <w:rsid w:val="004176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7683"/>
  </w:style>
  <w:style w:type="paragraph" w:styleId="ListParagraph">
    <w:name w:val="List Paragraph"/>
    <w:aliases w:val="Bullets,References,Title Style 1,Numbered List Paragraph,lp1,r2,Paragraphe 2,Bullet Points,Liste Paragraf,Llista Nivell1,Lista de nivel 1,Paragraphe de liste PBLH,Paragraph,Graph &amp; Table tite,List checkbox,Lettre d'introduction,Ha"/>
    <w:basedOn w:val="Normal"/>
    <w:link w:val="ListParagraphChar"/>
    <w:uiPriority w:val="34"/>
    <w:qFormat/>
    <w:rsid w:val="00417683"/>
    <w:pPr>
      <w:ind w:left="720"/>
      <w:contextualSpacing/>
    </w:pPr>
  </w:style>
  <w:style w:type="table" w:styleId="TableGrid">
    <w:name w:val="Table Grid"/>
    <w:basedOn w:val="TableNormal"/>
    <w:uiPriority w:val="39"/>
    <w:rsid w:val="00C12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4738"/>
    <w:rPr>
      <w:sz w:val="16"/>
      <w:szCs w:val="16"/>
    </w:rPr>
  </w:style>
  <w:style w:type="paragraph" w:styleId="CommentText">
    <w:name w:val="annotation text"/>
    <w:basedOn w:val="Normal"/>
    <w:link w:val="CommentTextChar"/>
    <w:uiPriority w:val="99"/>
    <w:unhideWhenUsed/>
    <w:rsid w:val="001B4738"/>
    <w:pPr>
      <w:spacing w:line="240" w:lineRule="auto"/>
    </w:pPr>
    <w:rPr>
      <w:sz w:val="20"/>
      <w:szCs w:val="20"/>
    </w:rPr>
  </w:style>
  <w:style w:type="character" w:customStyle="1" w:styleId="CommentTextChar">
    <w:name w:val="Comment Text Char"/>
    <w:basedOn w:val="DefaultParagraphFont"/>
    <w:link w:val="CommentText"/>
    <w:uiPriority w:val="99"/>
    <w:rsid w:val="001B4738"/>
    <w:rPr>
      <w:sz w:val="20"/>
      <w:szCs w:val="20"/>
    </w:rPr>
  </w:style>
  <w:style w:type="paragraph" w:styleId="CommentSubject">
    <w:name w:val="annotation subject"/>
    <w:basedOn w:val="CommentText"/>
    <w:next w:val="CommentText"/>
    <w:link w:val="CommentSubjectChar"/>
    <w:uiPriority w:val="99"/>
    <w:semiHidden/>
    <w:unhideWhenUsed/>
    <w:rsid w:val="001B4738"/>
    <w:rPr>
      <w:b/>
      <w:bCs/>
    </w:rPr>
  </w:style>
  <w:style w:type="character" w:customStyle="1" w:styleId="CommentSubjectChar">
    <w:name w:val="Comment Subject Char"/>
    <w:basedOn w:val="CommentTextChar"/>
    <w:link w:val="CommentSubject"/>
    <w:uiPriority w:val="99"/>
    <w:semiHidden/>
    <w:rsid w:val="001B4738"/>
    <w:rPr>
      <w:b/>
      <w:bCs/>
      <w:sz w:val="20"/>
      <w:szCs w:val="20"/>
    </w:rPr>
  </w:style>
  <w:style w:type="paragraph" w:customStyle="1" w:styleId="Paragraphe">
    <w:name w:val="Paragraphe"/>
    <w:basedOn w:val="Normal"/>
    <w:link w:val="ParagrapheCar"/>
    <w:qFormat/>
    <w:rsid w:val="00CE2386"/>
    <w:pPr>
      <w:jc w:val="both"/>
    </w:pPr>
    <w:rPr>
      <w:rFonts w:ascii="Verdana" w:hAnsi="Verdana" w:cs="Calibri"/>
      <w:sz w:val="20"/>
      <w:szCs w:val="20"/>
    </w:rPr>
  </w:style>
  <w:style w:type="paragraph" w:customStyle="1" w:styleId="Titrepartie">
    <w:name w:val="Titre partie"/>
    <w:basedOn w:val="ListParagraph"/>
    <w:link w:val="TitrepartieCar"/>
    <w:qFormat/>
    <w:rsid w:val="00A70123"/>
    <w:pPr>
      <w:numPr>
        <w:numId w:val="4"/>
      </w:numPr>
      <w:jc w:val="both"/>
    </w:pPr>
    <w:rPr>
      <w:rFonts w:ascii="Verdana" w:hAnsi="Verdana" w:cs="Calibri"/>
      <w:b/>
      <w:bCs/>
      <w:color w:val="0070C0"/>
      <w:szCs w:val="20"/>
    </w:rPr>
  </w:style>
  <w:style w:type="character" w:customStyle="1" w:styleId="ParagrapheCar">
    <w:name w:val="Paragraphe Car"/>
    <w:basedOn w:val="DefaultParagraphFont"/>
    <w:link w:val="Paragraphe"/>
    <w:rsid w:val="00CE2386"/>
    <w:rPr>
      <w:rFonts w:ascii="Verdana" w:hAnsi="Verdana" w:cs="Calibri"/>
      <w:sz w:val="20"/>
      <w:szCs w:val="20"/>
    </w:rPr>
  </w:style>
  <w:style w:type="paragraph" w:customStyle="1" w:styleId="Exergue">
    <w:name w:val="Exergue"/>
    <w:basedOn w:val="Normal"/>
    <w:link w:val="ExergueCar"/>
    <w:qFormat/>
    <w:rsid w:val="00060CA0"/>
    <w:pPr>
      <w:spacing w:after="0" w:line="240" w:lineRule="auto"/>
      <w:jc w:val="both"/>
    </w:pPr>
    <w:rPr>
      <w:rFonts w:ascii="Verdana" w:eastAsia="Times New Roman" w:hAnsi="Verdana" w:cs="Times New Roman"/>
      <w:b/>
      <w:bCs/>
      <w:i/>
      <w:sz w:val="20"/>
      <w:szCs w:val="20"/>
    </w:rPr>
  </w:style>
  <w:style w:type="character" w:customStyle="1" w:styleId="ListParagraphChar">
    <w:name w:val="List Paragraph Char"/>
    <w:aliases w:val="Bullets Char,References Char,Title Style 1 Char,Numbered List Paragraph Char,lp1 Char,r2 Char,Paragraphe 2 Char,Bullet Points Char,Liste Paragraf Char,Llista Nivell1 Char,Lista de nivel 1 Char,Paragraphe de liste PBLH Char,Ha Char"/>
    <w:basedOn w:val="DefaultParagraphFont"/>
    <w:link w:val="ListParagraph"/>
    <w:uiPriority w:val="34"/>
    <w:qFormat/>
    <w:rsid w:val="00A70123"/>
  </w:style>
  <w:style w:type="character" w:customStyle="1" w:styleId="TitrepartieCar">
    <w:name w:val="Titre partie Car"/>
    <w:basedOn w:val="ListParagraphChar"/>
    <w:link w:val="Titrepartie"/>
    <w:rsid w:val="00A70123"/>
    <w:rPr>
      <w:rFonts w:ascii="Verdana" w:hAnsi="Verdana" w:cs="Calibri"/>
      <w:b/>
      <w:bCs/>
      <w:color w:val="0070C0"/>
      <w:szCs w:val="20"/>
    </w:rPr>
  </w:style>
  <w:style w:type="paragraph" w:customStyle="1" w:styleId="Sous-partie2">
    <w:name w:val="Sous-partie 2"/>
    <w:basedOn w:val="ListParagraph"/>
    <w:link w:val="Sous-partie2Car"/>
    <w:qFormat/>
    <w:rsid w:val="002C56ED"/>
    <w:pPr>
      <w:numPr>
        <w:ilvl w:val="1"/>
        <w:numId w:val="4"/>
      </w:numPr>
      <w:jc w:val="both"/>
    </w:pPr>
    <w:rPr>
      <w:rFonts w:ascii="Verdana" w:hAnsi="Verdana" w:cs="Calibri"/>
      <w:color w:val="0070C0"/>
      <w:sz w:val="20"/>
      <w:szCs w:val="20"/>
    </w:rPr>
  </w:style>
  <w:style w:type="character" w:customStyle="1" w:styleId="ExergueCar">
    <w:name w:val="Exergue Car"/>
    <w:basedOn w:val="DefaultParagraphFont"/>
    <w:link w:val="Exergue"/>
    <w:rsid w:val="00060CA0"/>
    <w:rPr>
      <w:rFonts w:ascii="Verdana" w:eastAsia="Times New Roman" w:hAnsi="Verdana" w:cs="Times New Roman"/>
      <w:b/>
      <w:bCs/>
      <w:i/>
      <w:sz w:val="20"/>
      <w:szCs w:val="20"/>
    </w:rPr>
  </w:style>
  <w:style w:type="character" w:styleId="BookTitle">
    <w:name w:val="Book Title"/>
    <w:basedOn w:val="DefaultParagraphFont"/>
    <w:uiPriority w:val="33"/>
    <w:qFormat/>
    <w:rsid w:val="002C56ED"/>
    <w:rPr>
      <w:b/>
      <w:bCs/>
      <w:i/>
      <w:iCs/>
      <w:spacing w:val="5"/>
    </w:rPr>
  </w:style>
  <w:style w:type="character" w:customStyle="1" w:styleId="Sous-partie2Car">
    <w:name w:val="Sous-partie 2 Car"/>
    <w:basedOn w:val="ListParagraphChar"/>
    <w:link w:val="Sous-partie2"/>
    <w:rsid w:val="002C56ED"/>
    <w:rPr>
      <w:rFonts w:ascii="Verdana" w:hAnsi="Verdana" w:cs="Calibri"/>
      <w:color w:val="0070C0"/>
      <w:sz w:val="20"/>
      <w:szCs w:val="20"/>
    </w:rPr>
  </w:style>
  <w:style w:type="character" w:styleId="IntenseReference">
    <w:name w:val="Intense Reference"/>
    <w:basedOn w:val="DefaultParagraphFont"/>
    <w:uiPriority w:val="32"/>
    <w:qFormat/>
    <w:rsid w:val="002C56ED"/>
    <w:rPr>
      <w:b/>
      <w:bCs/>
      <w:smallCaps/>
      <w:color w:val="4472C4" w:themeColor="accent1"/>
      <w:spacing w:val="5"/>
    </w:rPr>
  </w:style>
  <w:style w:type="paragraph" w:styleId="Revision">
    <w:name w:val="Revision"/>
    <w:hidden/>
    <w:uiPriority w:val="99"/>
    <w:semiHidden/>
    <w:rsid w:val="00920C79"/>
    <w:pPr>
      <w:spacing w:after="0" w:line="240" w:lineRule="auto"/>
    </w:pPr>
  </w:style>
  <w:style w:type="paragraph" w:styleId="BodyText2">
    <w:name w:val="Body Text 2"/>
    <w:basedOn w:val="Normal"/>
    <w:link w:val="BodyText2Char"/>
    <w:rsid w:val="000F5FB1"/>
    <w:pPr>
      <w:spacing w:after="120" w:line="480" w:lineRule="auto"/>
    </w:pPr>
    <w:rPr>
      <w:rFonts w:ascii="Tahoma" w:eastAsia="Times New Roman" w:hAnsi="Tahoma" w:cs="Times New Roman"/>
      <w:szCs w:val="20"/>
      <w:lang w:eastAsia="fr-FR"/>
    </w:rPr>
  </w:style>
  <w:style w:type="character" w:customStyle="1" w:styleId="BodyText2Char">
    <w:name w:val="Body Text 2 Char"/>
    <w:basedOn w:val="DefaultParagraphFont"/>
    <w:link w:val="BodyText2"/>
    <w:rsid w:val="000F5FB1"/>
    <w:rPr>
      <w:rFonts w:ascii="Tahoma" w:eastAsia="Times New Roman" w:hAnsi="Tahoma" w:cs="Times New Roman"/>
      <w:szCs w:val="20"/>
      <w:lang w:eastAsia="fr-FR"/>
    </w:rPr>
  </w:style>
  <w:style w:type="character" w:styleId="Mention">
    <w:name w:val="Mention"/>
    <w:basedOn w:val="DefaultParagraphFont"/>
    <w:uiPriority w:val="99"/>
    <w:unhideWhenUsed/>
    <w:rsid w:val="00DC1F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9/05/relationships/documenttasks" Target="documenttasks/documenttasks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701A39D-5019-49FE-895A-B448C6DD187A}">
    <t:Anchor>
      <t:Comment id="2077672701"/>
    </t:Anchor>
    <t:History>
      <t:Event id="{C492F466-9E6B-4B11-8EE0-DCEE1FCA7B57}" time="2026-08-10T07:19:32.789Z">
        <t:Attribution userId="S::gilles.ribouet@coi-ioc.org::ff96230d-384f-476c-aba6-d324c8bd1243" userProvider="AD" userName="Gilles RIBOUET"/>
        <t:Anchor>
          <t:Comment id="2077672701"/>
        </t:Anchor>
        <t:Create/>
      </t:Event>
      <t:Event id="{9F0AB070-02B6-4243-93DD-4BC1F5C43CDB}" time="2026-08-10T07:19:32.789Z">
        <t:Attribution userId="S::gilles.ribouet@coi-ioc.org::ff96230d-384f-476c-aba6-d324c8bd1243" userProvider="AD" userName="Gilles RIBOUET"/>
        <t:Anchor>
          <t:Comment id="2077672701"/>
        </t:Anchor>
        <t:Assign userId="S::gina.bonne@coi-ioc.org::239d1e18-9e3b-4036-a9e2-0deca2eed5cd" userProvider="AD" userName="Gina BONNE"/>
      </t:Event>
      <t:Event id="{E426386B-446A-4D99-8256-A44BC8838CEC}" time="2026-08-10T07:19:32.789Z">
        <t:Attribution userId="S::gilles.ribouet@coi-ioc.org::ff96230d-384f-476c-aba6-d324c8bd1243" userProvider="AD" userName="Gilles RIBOUET"/>
        <t:Anchor>
          <t:Comment id="2077672701"/>
        </t:Anchor>
        <t:SetTitle title="@Gina BONNE merci de compléter pour AusAid"/>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3532</Words>
  <Characters>20136</Characters>
  <Application>Microsoft Office Word</Application>
  <DocSecurity>4</DocSecurity>
  <Lines>167</Lines>
  <Paragraphs>47</Paragraphs>
  <ScaleCrop>false</ScaleCrop>
  <Company/>
  <LinksUpToDate>false</LinksUpToDate>
  <CharactersWithSpaces>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MAMINIAINA</dc:creator>
  <cp:keywords/>
  <dc:description/>
  <cp:lastModifiedBy>Gilles RIBOUET</cp:lastModifiedBy>
  <cp:revision>186</cp:revision>
  <dcterms:created xsi:type="dcterms:W3CDTF">2026-07-30T19:11:00Z</dcterms:created>
  <dcterms:modified xsi:type="dcterms:W3CDTF">2026-08-14T07:11:00Z</dcterms:modified>
</cp:coreProperties>
</file>