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F88B2" w14:textId="1358CC59" w:rsidR="00C12C93" w:rsidRPr="00816DAC" w:rsidRDefault="00C12C93" w:rsidP="00854EEA">
      <w:pPr>
        <w:jc w:val="center"/>
        <w:rPr>
          <w:rFonts w:ascii="Verdana" w:hAnsi="Verdana"/>
          <w:b/>
          <w:bCs/>
          <w:sz w:val="2"/>
          <w:szCs w:val="2"/>
        </w:rPr>
      </w:pPr>
    </w:p>
    <w:tbl>
      <w:tblPr>
        <w:tblStyle w:val="Grilledutableau"/>
        <w:tblW w:w="0" w:type="auto"/>
        <w:tblLook w:val="04A0" w:firstRow="1" w:lastRow="0" w:firstColumn="1" w:lastColumn="0" w:noHBand="0" w:noVBand="1"/>
      </w:tblPr>
      <w:tblGrid>
        <w:gridCol w:w="7225"/>
        <w:gridCol w:w="1837"/>
      </w:tblGrid>
      <w:tr w:rsidR="00EC22CC" w14:paraId="51109D41" w14:textId="77777777" w:rsidTr="440F40E3">
        <w:tc>
          <w:tcPr>
            <w:tcW w:w="9062" w:type="dxa"/>
            <w:gridSpan w:val="2"/>
          </w:tcPr>
          <w:p w14:paraId="6FC76F95" w14:textId="52D0D5F6" w:rsidR="00EC22CC" w:rsidRDefault="00574804" w:rsidP="00854EEA">
            <w:pPr>
              <w:jc w:val="center"/>
              <w:rPr>
                <w:rFonts w:ascii="Verdana" w:hAnsi="Verdana"/>
                <w:b/>
                <w:bCs/>
                <w:sz w:val="20"/>
                <w:szCs w:val="20"/>
              </w:rPr>
            </w:pPr>
            <w:r>
              <w:rPr>
                <w:rFonts w:ascii="Verdana" w:hAnsi="Verdana"/>
                <w:b/>
                <w:bCs/>
              </w:rPr>
              <w:t>12</w:t>
            </w:r>
            <w:r w:rsidRPr="00574804">
              <w:rPr>
                <w:rFonts w:ascii="Verdana" w:hAnsi="Verdana"/>
                <w:b/>
                <w:bCs/>
                <w:vertAlign w:val="superscript"/>
              </w:rPr>
              <w:t>ème</w:t>
            </w:r>
            <w:r>
              <w:rPr>
                <w:rFonts w:ascii="Verdana" w:hAnsi="Verdana"/>
                <w:b/>
                <w:bCs/>
              </w:rPr>
              <w:t xml:space="preserve"> Conférence des Parties à la Convention de Nairobi</w:t>
            </w:r>
          </w:p>
        </w:tc>
      </w:tr>
      <w:tr w:rsidR="00EC22CC" w14:paraId="7F1B63D2" w14:textId="77777777" w:rsidTr="440F40E3">
        <w:tc>
          <w:tcPr>
            <w:tcW w:w="7225" w:type="dxa"/>
          </w:tcPr>
          <w:p w14:paraId="056D9B10" w14:textId="1D3A9703" w:rsidR="00EC22CC" w:rsidRPr="002A096E" w:rsidRDefault="5186A529" w:rsidP="002A096E">
            <w:pPr>
              <w:rPr>
                <w:rFonts w:ascii="Verdana" w:hAnsi="Verdana"/>
                <w:sz w:val="20"/>
                <w:szCs w:val="20"/>
              </w:rPr>
            </w:pPr>
            <w:r w:rsidRPr="440F40E3">
              <w:rPr>
                <w:rFonts w:ascii="Verdana" w:hAnsi="Verdana"/>
                <w:sz w:val="20"/>
                <w:szCs w:val="20"/>
              </w:rPr>
              <w:t>C</w:t>
            </w:r>
            <w:r w:rsidR="6C7B6F50" w:rsidRPr="440F40E3">
              <w:rPr>
                <w:rFonts w:ascii="Verdana" w:hAnsi="Verdana"/>
                <w:sz w:val="20"/>
                <w:szCs w:val="20"/>
              </w:rPr>
              <w:t>omité des OPL n°</w:t>
            </w:r>
            <w:r w:rsidR="78E4346E" w:rsidRPr="440F40E3">
              <w:rPr>
                <w:rFonts w:ascii="Verdana" w:hAnsi="Verdana"/>
                <w:sz w:val="20"/>
                <w:szCs w:val="20"/>
              </w:rPr>
              <w:t>0</w:t>
            </w:r>
            <w:r w:rsidR="7480C5F8" w:rsidRPr="440F40E3">
              <w:rPr>
                <w:rFonts w:ascii="Verdana" w:hAnsi="Verdana"/>
                <w:sz w:val="20"/>
                <w:szCs w:val="20"/>
              </w:rPr>
              <w:t>3</w:t>
            </w:r>
            <w:r w:rsidR="78E4346E" w:rsidRPr="440F40E3">
              <w:rPr>
                <w:rFonts w:ascii="Verdana" w:hAnsi="Verdana"/>
                <w:sz w:val="20"/>
                <w:szCs w:val="20"/>
              </w:rPr>
              <w:t>/2026</w:t>
            </w:r>
            <w:r w:rsidR="6C7B6F50" w:rsidRPr="440F40E3">
              <w:rPr>
                <w:rFonts w:ascii="Verdana" w:hAnsi="Verdana"/>
                <w:sz w:val="20"/>
                <w:szCs w:val="20"/>
              </w:rPr>
              <w:t xml:space="preserve">| </w:t>
            </w:r>
            <w:r w:rsidR="58AD63E9" w:rsidRPr="440F40E3">
              <w:rPr>
                <w:rFonts w:ascii="Verdana" w:hAnsi="Verdana"/>
                <w:sz w:val="20"/>
                <w:szCs w:val="20"/>
              </w:rPr>
              <w:t xml:space="preserve">3 </w:t>
            </w:r>
            <w:r w:rsidR="7480C5F8" w:rsidRPr="440F40E3">
              <w:rPr>
                <w:rFonts w:ascii="Verdana" w:hAnsi="Verdana"/>
                <w:sz w:val="20"/>
                <w:szCs w:val="20"/>
              </w:rPr>
              <w:t>septembre</w:t>
            </w:r>
            <w:r w:rsidR="78E4346E" w:rsidRPr="440F40E3">
              <w:rPr>
                <w:rFonts w:ascii="Verdana" w:hAnsi="Verdana"/>
                <w:sz w:val="20"/>
                <w:szCs w:val="20"/>
              </w:rPr>
              <w:t xml:space="preserve"> 2026</w:t>
            </w:r>
          </w:p>
        </w:tc>
        <w:tc>
          <w:tcPr>
            <w:tcW w:w="1837" w:type="dxa"/>
          </w:tcPr>
          <w:p w14:paraId="58E25D1F" w14:textId="0C255B92" w:rsidR="00EC22CC" w:rsidRPr="002A0933" w:rsidRDefault="6CCC6CA8" w:rsidP="00854EEA">
            <w:pPr>
              <w:jc w:val="center"/>
              <w:rPr>
                <w:rFonts w:ascii="Verdana" w:hAnsi="Verdana"/>
                <w:sz w:val="20"/>
                <w:szCs w:val="20"/>
              </w:rPr>
            </w:pPr>
            <w:r w:rsidRPr="440F40E3">
              <w:rPr>
                <w:rFonts w:ascii="Verdana" w:hAnsi="Verdana"/>
                <w:sz w:val="20"/>
                <w:szCs w:val="20"/>
              </w:rPr>
              <w:t>Point</w:t>
            </w:r>
            <w:r w:rsidR="7480C5F8" w:rsidRPr="440F40E3">
              <w:rPr>
                <w:rFonts w:ascii="Verdana" w:hAnsi="Verdana"/>
                <w:sz w:val="20"/>
                <w:szCs w:val="20"/>
              </w:rPr>
              <w:t> </w:t>
            </w:r>
            <w:r w:rsidR="48E92840" w:rsidRPr="440F40E3">
              <w:rPr>
                <w:rFonts w:ascii="Verdana" w:hAnsi="Verdana"/>
                <w:sz w:val="20"/>
                <w:szCs w:val="20"/>
              </w:rPr>
              <w:t>1.</w:t>
            </w:r>
            <w:r w:rsidR="00574804">
              <w:rPr>
                <w:rFonts w:ascii="Verdana" w:hAnsi="Verdana"/>
                <w:sz w:val="20"/>
                <w:szCs w:val="20"/>
              </w:rPr>
              <w:t>1</w:t>
            </w:r>
          </w:p>
        </w:tc>
      </w:tr>
      <w:tr w:rsidR="00EC22CC" w14:paraId="537D1DE5" w14:textId="77777777" w:rsidTr="440F40E3">
        <w:tc>
          <w:tcPr>
            <w:tcW w:w="7225" w:type="dxa"/>
          </w:tcPr>
          <w:p w14:paraId="43DEF09E" w14:textId="099FCDFC" w:rsidR="00EC22CC" w:rsidRPr="008F525A" w:rsidRDefault="00A148A1" w:rsidP="002A096E">
            <w:pPr>
              <w:rPr>
                <w:rFonts w:ascii="Verdana" w:hAnsi="Verdana"/>
                <w:sz w:val="20"/>
                <w:szCs w:val="20"/>
              </w:rPr>
            </w:pPr>
            <w:r w:rsidRPr="008F525A">
              <w:rPr>
                <w:rFonts w:ascii="Verdana" w:hAnsi="Verdana"/>
                <w:i/>
                <w:iCs/>
                <w:sz w:val="20"/>
                <w:szCs w:val="20"/>
              </w:rPr>
              <w:t>Dossier suivi par :</w:t>
            </w:r>
            <w:r w:rsidR="00EC22CC" w:rsidRPr="008F525A">
              <w:rPr>
                <w:rFonts w:ascii="Verdana" w:hAnsi="Verdana"/>
                <w:sz w:val="20"/>
                <w:szCs w:val="20"/>
              </w:rPr>
              <w:t xml:space="preserve"> </w:t>
            </w:r>
            <w:r w:rsidR="00574804">
              <w:rPr>
                <w:rFonts w:ascii="Verdana" w:hAnsi="Verdana"/>
                <w:sz w:val="20"/>
                <w:szCs w:val="20"/>
              </w:rPr>
              <w:t>Gina Bonne</w:t>
            </w:r>
            <w:r w:rsidR="00C737A0" w:rsidRPr="008F525A">
              <w:rPr>
                <w:rFonts w:ascii="Verdana" w:hAnsi="Verdana"/>
                <w:sz w:val="20"/>
                <w:szCs w:val="20"/>
              </w:rPr>
              <w:t>, Chargée de mission</w:t>
            </w:r>
          </w:p>
        </w:tc>
        <w:tc>
          <w:tcPr>
            <w:tcW w:w="1837" w:type="dxa"/>
          </w:tcPr>
          <w:p w14:paraId="5AC1AFAB" w14:textId="04084D54" w:rsidR="00EC22CC" w:rsidRPr="008F525A" w:rsidRDefault="008F525A" w:rsidP="008F525A">
            <w:pPr>
              <w:rPr>
                <w:rFonts w:ascii="Verdana" w:hAnsi="Verdana"/>
                <w:sz w:val="20"/>
                <w:szCs w:val="20"/>
              </w:rPr>
            </w:pPr>
            <w:r w:rsidRPr="008F525A">
              <w:rPr>
                <w:rFonts w:ascii="Verdana" w:hAnsi="Verdana"/>
                <w:sz w:val="20"/>
                <w:szCs w:val="20"/>
              </w:rPr>
              <w:t xml:space="preserve">   </w:t>
            </w:r>
            <w:r w:rsidR="004607F7" w:rsidRPr="008F525A">
              <w:rPr>
                <w:rFonts w:ascii="Verdana" w:hAnsi="Verdana"/>
                <w:sz w:val="20"/>
                <w:szCs w:val="20"/>
              </w:rPr>
              <w:t xml:space="preserve">Décision </w:t>
            </w:r>
          </w:p>
        </w:tc>
      </w:tr>
      <w:tr w:rsidR="00A90305" w14:paraId="6896DB30" w14:textId="77777777" w:rsidTr="440F40E3">
        <w:tc>
          <w:tcPr>
            <w:tcW w:w="9062" w:type="dxa"/>
            <w:gridSpan w:val="2"/>
          </w:tcPr>
          <w:p w14:paraId="0495241B" w14:textId="73CCFFA5" w:rsidR="00A90305" w:rsidRPr="008F525A" w:rsidRDefault="00A90305" w:rsidP="00A90305">
            <w:pPr>
              <w:rPr>
                <w:rFonts w:ascii="Verdana" w:hAnsi="Verdana"/>
                <w:sz w:val="20"/>
                <w:szCs w:val="20"/>
              </w:rPr>
            </w:pPr>
            <w:r w:rsidRPr="008F525A">
              <w:rPr>
                <w:rFonts w:ascii="Verdana" w:hAnsi="Verdana"/>
                <w:i/>
                <w:iCs/>
                <w:sz w:val="20"/>
                <w:szCs w:val="20"/>
              </w:rPr>
              <w:t xml:space="preserve">Version du </w:t>
            </w:r>
            <w:r w:rsidR="00574804">
              <w:rPr>
                <w:rFonts w:ascii="Verdana" w:hAnsi="Verdana"/>
                <w:i/>
                <w:iCs/>
                <w:sz w:val="20"/>
                <w:szCs w:val="20"/>
              </w:rPr>
              <w:t>1</w:t>
            </w:r>
            <w:r w:rsidR="00F272B6">
              <w:rPr>
                <w:rFonts w:ascii="Verdana" w:hAnsi="Verdana"/>
                <w:i/>
                <w:iCs/>
                <w:sz w:val="20"/>
                <w:szCs w:val="20"/>
              </w:rPr>
              <w:t>3 août</w:t>
            </w:r>
            <w:r w:rsidR="007509B5">
              <w:rPr>
                <w:rFonts w:ascii="Verdana" w:hAnsi="Verdana"/>
                <w:i/>
                <w:iCs/>
                <w:sz w:val="20"/>
                <w:szCs w:val="20"/>
              </w:rPr>
              <w:t xml:space="preserve"> 2026</w:t>
            </w:r>
            <w:r w:rsidRPr="008F525A">
              <w:rPr>
                <w:rFonts w:ascii="Verdana" w:hAnsi="Verdana"/>
                <w:i/>
                <w:iCs/>
                <w:sz w:val="20"/>
                <w:szCs w:val="20"/>
              </w:rPr>
              <w:t xml:space="preserve"> </w:t>
            </w:r>
          </w:p>
        </w:tc>
      </w:tr>
    </w:tbl>
    <w:p w14:paraId="1611BCC4" w14:textId="77777777" w:rsidR="00854EEA" w:rsidRPr="00A721A4" w:rsidRDefault="00854EEA" w:rsidP="00816DAC">
      <w:pPr>
        <w:pStyle w:val="Paragraphe"/>
        <w:rPr>
          <w:sz w:val="8"/>
          <w:szCs w:val="8"/>
        </w:rPr>
      </w:pPr>
      <w:bookmarkStart w:id="0" w:name="_Hlk24535240"/>
    </w:p>
    <w:p w14:paraId="678F0DFC" w14:textId="3923B394" w:rsidR="00854EEA" w:rsidRPr="00E91529" w:rsidRDefault="00955BB3" w:rsidP="00A721A4">
      <w:pPr>
        <w:pStyle w:val="Titrepartie"/>
        <w:spacing w:after="120" w:line="283" w:lineRule="auto"/>
        <w:contextualSpacing w:val="0"/>
        <w:rPr>
          <w:sz w:val="20"/>
        </w:rPr>
      </w:pPr>
      <w:r w:rsidRPr="440F40E3">
        <w:rPr>
          <w:sz w:val="20"/>
        </w:rPr>
        <w:t>Résumé</w:t>
      </w:r>
    </w:p>
    <w:p w14:paraId="19BE700A" w14:textId="63E72931" w:rsidR="000A4D12" w:rsidRDefault="00574804" w:rsidP="00A721A4">
      <w:pPr>
        <w:pStyle w:val="Paragraphe"/>
        <w:spacing w:after="120" w:line="283" w:lineRule="auto"/>
      </w:pPr>
      <w:r>
        <w:t>Le Secrétariat général de la COI et le Secrétariat de la Convention de Nairobi collaborent depuis 1999 sur un ensemble de thématiques d’intérêt commun liées à la préservation et à la gestion durable des milieux marins et côtiers du Sud-Ouest de l’océan Indien</w:t>
      </w:r>
      <w:r w:rsidR="6389D2CF" w:rsidRPr="00633882">
        <w:t>.</w:t>
      </w:r>
      <w:r>
        <w:t xml:space="preserve"> </w:t>
      </w:r>
      <w:r w:rsidR="005F388A">
        <w:t>Tous les États membres de la COI étant des Parties à la Convention de Nairobi, l’organisation a activement participé</w:t>
      </w:r>
      <w:r w:rsidR="00D21413">
        <w:t>, à travers plusieurs projets,</w:t>
      </w:r>
      <w:r w:rsidR="005F388A">
        <w:t xml:space="preserve"> à l’élaboration et à la mise en œuvre de plusieurs cadres et protocoles régionaux de la Convention</w:t>
      </w:r>
      <w:r w:rsidR="00D21413">
        <w:t xml:space="preserve">. </w:t>
      </w:r>
    </w:p>
    <w:p w14:paraId="38687383" w14:textId="24E0B41D" w:rsidR="6389D2CF" w:rsidRDefault="00D21413" w:rsidP="00A721A4">
      <w:pPr>
        <w:pStyle w:val="Paragraphe"/>
        <w:spacing w:after="120" w:line="283" w:lineRule="auto"/>
      </w:pPr>
      <w:r>
        <w:t>La 12</w:t>
      </w:r>
      <w:r w:rsidRPr="00D21413">
        <w:rPr>
          <w:vertAlign w:val="superscript"/>
        </w:rPr>
        <w:t>ème</w:t>
      </w:r>
      <w:r>
        <w:t xml:space="preserve"> Conférence des Parties à la Convention de Nairobi (COP12) se tiendra en octobre 2026 à Dar es Salam (Tanzanie) et sera l’occasion de marquer les 40 ans de</w:t>
      </w:r>
      <w:r w:rsidR="0058246B">
        <w:t xml:space="preserve"> la Convention et de valoriser ainsi les partenariats. A cet égard, la COI est considérée comme un partenaire de premier plan pour cette COP12 qui offrira des opportunités d’un dialogue politique entre les ministres en charge de l’Environnement des États membres sur les problématiques et les actions à entreprendre en faveur de</w:t>
      </w:r>
      <w:r w:rsidR="006E069C">
        <w:t xml:space="preserve"> l’océan et des zones côtières, de collaborations et activités conjointes avec les partenaires techniques et thématiques des projets de la COI (RECOS et </w:t>
      </w:r>
      <w:proofErr w:type="spellStart"/>
      <w:r w:rsidR="006E069C">
        <w:t>ExPLOI</w:t>
      </w:r>
      <w:proofErr w:type="spellEnd"/>
      <w:r w:rsidR="006E069C">
        <w:t xml:space="preserve">), </w:t>
      </w:r>
      <w:r w:rsidR="00AE697D">
        <w:t xml:space="preserve">de valorisation des contributions de la COI aux cadres, protocoles et stratégies de la Convention et d’actions résolues dans la mise en œuvre de ceux-ci. </w:t>
      </w:r>
      <w:r w:rsidR="00030055">
        <w:t xml:space="preserve">Une note conceptuelle annexée à la présente fiche détaille la proposition de participation de la COI à la COP12. </w:t>
      </w:r>
    </w:p>
    <w:p w14:paraId="6665CCFB" w14:textId="53E017FA" w:rsidR="440F40E3" w:rsidRPr="00633882" w:rsidRDefault="440F40E3" w:rsidP="00A721A4">
      <w:pPr>
        <w:pStyle w:val="Paragraphe"/>
        <w:spacing w:after="120" w:line="283" w:lineRule="auto"/>
      </w:pPr>
    </w:p>
    <w:p w14:paraId="68009DDB" w14:textId="06AAE9C2" w:rsidR="0008468B" w:rsidRPr="00E91529" w:rsidRDefault="00955BB3" w:rsidP="00A721A4">
      <w:pPr>
        <w:pStyle w:val="Titrepartie"/>
        <w:spacing w:after="120" w:line="283" w:lineRule="auto"/>
        <w:contextualSpacing w:val="0"/>
        <w:rPr>
          <w:sz w:val="20"/>
        </w:rPr>
      </w:pPr>
      <w:r w:rsidRPr="00E91529">
        <w:rPr>
          <w:sz w:val="20"/>
        </w:rPr>
        <w:t>Etat d’avancement</w:t>
      </w:r>
    </w:p>
    <w:p w14:paraId="6E49387E" w14:textId="1A512ACA" w:rsidR="00272A3A" w:rsidRDefault="00272A3A" w:rsidP="00A721A4">
      <w:pPr>
        <w:pStyle w:val="Sous-partie2"/>
        <w:spacing w:after="120" w:line="283" w:lineRule="auto"/>
        <w:contextualSpacing w:val="0"/>
      </w:pPr>
      <w:r>
        <w:t>Aperçu de la COP12</w:t>
      </w:r>
    </w:p>
    <w:p w14:paraId="2FC8F8CD" w14:textId="26E32AC9" w:rsidR="00272A3A" w:rsidRPr="00AA6579" w:rsidRDefault="00272A3A" w:rsidP="00272A3A">
      <w:pPr>
        <w:pStyle w:val="NormalWeb"/>
        <w:spacing w:before="0" w:beforeAutospacing="0" w:after="120" w:afterAutospacing="0" w:line="276" w:lineRule="auto"/>
        <w:jc w:val="both"/>
        <w:rPr>
          <w:rFonts w:ascii="Verdana" w:hAnsi="Verdana"/>
          <w:sz w:val="20"/>
          <w:szCs w:val="20"/>
        </w:rPr>
      </w:pPr>
      <w:r w:rsidRPr="00AA6579">
        <w:rPr>
          <w:rFonts w:ascii="Verdana" w:hAnsi="Verdana"/>
          <w:sz w:val="20"/>
          <w:szCs w:val="20"/>
        </w:rPr>
        <w:t xml:space="preserve">La COP12 réunira du </w:t>
      </w:r>
      <w:r w:rsidR="00164BA3" w:rsidRPr="00AA6579">
        <w:rPr>
          <w:rFonts w:ascii="Verdana" w:hAnsi="Verdana"/>
          <w:sz w:val="20"/>
          <w:szCs w:val="20"/>
        </w:rPr>
        <w:t>06 au 09 octobre à Dar es Salam (Tanzanie) les représentants des 10 États Parties à la Convention, des partenaires régionaux et internationaux, des</w:t>
      </w:r>
      <w:r w:rsidR="00066EA5" w:rsidRPr="00AA6579">
        <w:rPr>
          <w:rFonts w:ascii="Verdana" w:hAnsi="Verdana"/>
          <w:sz w:val="20"/>
          <w:szCs w:val="20"/>
        </w:rPr>
        <w:t xml:space="preserve"> représentants des</w:t>
      </w:r>
      <w:r w:rsidR="00164BA3" w:rsidRPr="00AA6579">
        <w:rPr>
          <w:rFonts w:ascii="Verdana" w:hAnsi="Verdana"/>
          <w:sz w:val="20"/>
          <w:szCs w:val="20"/>
        </w:rPr>
        <w:t xml:space="preserve"> réseaux thématiques et scientifiques</w:t>
      </w:r>
      <w:r w:rsidR="00066EA5" w:rsidRPr="00AA6579">
        <w:rPr>
          <w:rFonts w:ascii="Verdana" w:hAnsi="Verdana"/>
          <w:sz w:val="20"/>
          <w:szCs w:val="20"/>
        </w:rPr>
        <w:t xml:space="preserve"> ou du secteur privé, </w:t>
      </w:r>
      <w:r w:rsidR="00164BA3" w:rsidRPr="00AA6579">
        <w:rPr>
          <w:rFonts w:ascii="Verdana" w:hAnsi="Verdana"/>
          <w:sz w:val="20"/>
          <w:szCs w:val="20"/>
        </w:rPr>
        <w:t xml:space="preserve">entre autres. </w:t>
      </w:r>
      <w:r w:rsidR="00066EA5" w:rsidRPr="00AA6579">
        <w:rPr>
          <w:rFonts w:ascii="Verdana" w:hAnsi="Verdana"/>
          <w:sz w:val="20"/>
          <w:szCs w:val="20"/>
        </w:rPr>
        <w:t>Ci-après, un aperçu d</w:t>
      </w:r>
      <w:r w:rsidR="00AA6579" w:rsidRPr="00AA6579">
        <w:rPr>
          <w:rFonts w:ascii="Verdana" w:hAnsi="Verdana"/>
          <w:sz w:val="20"/>
          <w:szCs w:val="20"/>
        </w:rPr>
        <w:t xml:space="preserve">u format et de l’agenda de la COP12 : </w:t>
      </w:r>
    </w:p>
    <w:p w14:paraId="7A893480" w14:textId="10D3FE21" w:rsidR="00272A3A" w:rsidRPr="00272A3A" w:rsidRDefault="00272A3A" w:rsidP="00272A3A">
      <w:pPr>
        <w:pStyle w:val="NormalWeb"/>
        <w:spacing w:before="0" w:beforeAutospacing="0" w:after="120" w:afterAutospacing="0" w:line="276" w:lineRule="auto"/>
        <w:jc w:val="both"/>
        <w:rPr>
          <w:rFonts w:ascii="Verdana" w:hAnsi="Verdana"/>
          <w:sz w:val="20"/>
          <w:szCs w:val="20"/>
        </w:rPr>
      </w:pPr>
      <w:r w:rsidRPr="00272A3A">
        <w:rPr>
          <w:rFonts w:ascii="Verdana" w:hAnsi="Verdana"/>
          <w:b/>
          <w:bCs/>
          <w:sz w:val="20"/>
          <w:szCs w:val="20"/>
        </w:rPr>
        <w:t>Thème :</w:t>
      </w:r>
      <w:r w:rsidRPr="00272A3A">
        <w:rPr>
          <w:rFonts w:ascii="Verdana" w:hAnsi="Verdana"/>
          <w:sz w:val="20"/>
          <w:szCs w:val="20"/>
        </w:rPr>
        <w:t xml:space="preserve"> Vers une économie bleue durable dans la région de l'océan Indien occidental pour les populations et la nature : un parcours de quarante ans. </w:t>
      </w:r>
    </w:p>
    <w:p w14:paraId="7CB01625" w14:textId="77777777" w:rsidR="00272A3A" w:rsidRPr="00272A3A" w:rsidRDefault="00272A3A" w:rsidP="00272A3A">
      <w:pPr>
        <w:pStyle w:val="NormalWeb"/>
        <w:spacing w:before="0" w:beforeAutospacing="0" w:after="120" w:afterAutospacing="0" w:line="276" w:lineRule="auto"/>
        <w:jc w:val="both"/>
        <w:rPr>
          <w:rFonts w:ascii="Verdana" w:hAnsi="Verdana"/>
          <w:b/>
          <w:bCs/>
          <w:sz w:val="20"/>
          <w:szCs w:val="20"/>
        </w:rPr>
      </w:pPr>
      <w:r w:rsidRPr="00272A3A">
        <w:rPr>
          <w:rFonts w:ascii="Verdana" w:hAnsi="Verdana"/>
          <w:b/>
          <w:bCs/>
          <w:sz w:val="20"/>
          <w:szCs w:val="20"/>
        </w:rPr>
        <w:t>Format de la réunion</w:t>
      </w:r>
    </w:p>
    <w:p w14:paraId="0A4E8F31" w14:textId="77777777" w:rsidR="00272A3A" w:rsidRPr="00272A3A" w:rsidRDefault="00272A3A" w:rsidP="00272A3A">
      <w:pPr>
        <w:pStyle w:val="NormalWeb"/>
        <w:spacing w:before="0" w:beforeAutospacing="0" w:after="120" w:afterAutospacing="0" w:line="276" w:lineRule="auto"/>
        <w:jc w:val="both"/>
        <w:rPr>
          <w:rFonts w:ascii="Verdana" w:hAnsi="Verdana"/>
          <w:sz w:val="20"/>
          <w:szCs w:val="20"/>
        </w:rPr>
      </w:pPr>
      <w:r w:rsidRPr="00272A3A">
        <w:rPr>
          <w:rFonts w:ascii="Verdana" w:hAnsi="Verdana"/>
          <w:sz w:val="20"/>
          <w:szCs w:val="20"/>
        </w:rPr>
        <w:t>La COP12 comprendra quatre segments interdépendants :</w:t>
      </w:r>
    </w:p>
    <w:p w14:paraId="02D8071F" w14:textId="77777777" w:rsidR="00272A3A" w:rsidRPr="00272A3A" w:rsidRDefault="00272A3A" w:rsidP="00272A3A">
      <w:pPr>
        <w:pStyle w:val="NormalWeb"/>
        <w:numPr>
          <w:ilvl w:val="0"/>
          <w:numId w:val="42"/>
        </w:numPr>
        <w:spacing w:before="0" w:beforeAutospacing="0" w:after="120" w:afterAutospacing="0" w:line="276" w:lineRule="auto"/>
        <w:jc w:val="both"/>
        <w:rPr>
          <w:rFonts w:ascii="Verdana" w:hAnsi="Verdana"/>
          <w:sz w:val="20"/>
          <w:szCs w:val="20"/>
        </w:rPr>
      </w:pPr>
      <w:r w:rsidRPr="00272A3A">
        <w:rPr>
          <w:rFonts w:ascii="Verdana" w:hAnsi="Verdana"/>
          <w:sz w:val="20"/>
          <w:szCs w:val="20"/>
        </w:rPr>
        <w:t>6 octobre 2026 : Réunion des partenaires ;</w:t>
      </w:r>
    </w:p>
    <w:p w14:paraId="3495EC35" w14:textId="77777777" w:rsidR="00272A3A" w:rsidRPr="00272A3A" w:rsidRDefault="00272A3A" w:rsidP="00272A3A">
      <w:pPr>
        <w:pStyle w:val="NormalWeb"/>
        <w:numPr>
          <w:ilvl w:val="0"/>
          <w:numId w:val="42"/>
        </w:numPr>
        <w:spacing w:before="0" w:beforeAutospacing="0" w:after="120" w:afterAutospacing="0" w:line="276" w:lineRule="auto"/>
        <w:jc w:val="both"/>
        <w:rPr>
          <w:rFonts w:ascii="Verdana" w:hAnsi="Verdana"/>
          <w:sz w:val="20"/>
          <w:szCs w:val="20"/>
        </w:rPr>
      </w:pPr>
      <w:r w:rsidRPr="00272A3A">
        <w:rPr>
          <w:rFonts w:ascii="Verdana" w:hAnsi="Verdana"/>
          <w:sz w:val="20"/>
          <w:szCs w:val="20"/>
        </w:rPr>
        <w:t>7 octobre 2026 : Réunion des points focaux nationaux ;</w:t>
      </w:r>
    </w:p>
    <w:p w14:paraId="76936CB8" w14:textId="77777777" w:rsidR="00272A3A" w:rsidRPr="00272A3A" w:rsidRDefault="00272A3A" w:rsidP="00272A3A">
      <w:pPr>
        <w:pStyle w:val="NormalWeb"/>
        <w:numPr>
          <w:ilvl w:val="0"/>
          <w:numId w:val="42"/>
        </w:numPr>
        <w:spacing w:before="0" w:beforeAutospacing="0" w:after="120" w:afterAutospacing="0" w:line="276" w:lineRule="auto"/>
        <w:jc w:val="both"/>
        <w:rPr>
          <w:rFonts w:ascii="Verdana" w:hAnsi="Verdana"/>
          <w:sz w:val="20"/>
          <w:szCs w:val="20"/>
        </w:rPr>
      </w:pPr>
      <w:r w:rsidRPr="00272A3A">
        <w:rPr>
          <w:rFonts w:ascii="Verdana" w:hAnsi="Verdana"/>
          <w:sz w:val="20"/>
          <w:szCs w:val="20"/>
        </w:rPr>
        <w:t>8 octobre 2026 : Commémoration des 40 ans de la Convention de Nairobi ;</w:t>
      </w:r>
    </w:p>
    <w:p w14:paraId="10BEB9EB" w14:textId="77777777" w:rsidR="00272A3A" w:rsidRPr="00272A3A" w:rsidRDefault="00272A3A" w:rsidP="00272A3A">
      <w:pPr>
        <w:pStyle w:val="NormalWeb"/>
        <w:numPr>
          <w:ilvl w:val="0"/>
          <w:numId w:val="42"/>
        </w:numPr>
        <w:spacing w:before="0" w:beforeAutospacing="0" w:after="120" w:afterAutospacing="0" w:line="276" w:lineRule="auto"/>
        <w:jc w:val="both"/>
        <w:rPr>
          <w:rFonts w:ascii="Verdana" w:hAnsi="Verdana"/>
          <w:sz w:val="20"/>
          <w:szCs w:val="20"/>
        </w:rPr>
      </w:pPr>
      <w:r w:rsidRPr="00272A3A">
        <w:rPr>
          <w:rFonts w:ascii="Verdana" w:hAnsi="Verdana"/>
          <w:sz w:val="20"/>
          <w:szCs w:val="20"/>
        </w:rPr>
        <w:t>9 octobre 2026 : Réunion des chefs de délégation.</w:t>
      </w:r>
    </w:p>
    <w:p w14:paraId="7FEF3593" w14:textId="284CF257" w:rsidR="00272A3A" w:rsidRPr="00272A3A" w:rsidRDefault="00272A3A" w:rsidP="00272A3A">
      <w:pPr>
        <w:pStyle w:val="NormalWeb"/>
        <w:spacing w:before="0" w:beforeAutospacing="0" w:after="120" w:afterAutospacing="0" w:line="276" w:lineRule="auto"/>
        <w:jc w:val="both"/>
        <w:rPr>
          <w:rFonts w:ascii="Verdana" w:hAnsi="Verdana"/>
          <w:sz w:val="20"/>
          <w:szCs w:val="20"/>
        </w:rPr>
      </w:pPr>
      <w:r w:rsidRPr="00272A3A">
        <w:rPr>
          <w:rFonts w:ascii="Verdana" w:hAnsi="Verdana"/>
          <w:sz w:val="20"/>
          <w:szCs w:val="20"/>
        </w:rPr>
        <w:t xml:space="preserve">Pour célébrer les 40 années de collaboration régionale en matière de gouvernance des océans dans la zone de la Convention, la COP comportera </w:t>
      </w:r>
      <w:r w:rsidR="004B2607">
        <w:rPr>
          <w:rFonts w:ascii="Verdana" w:hAnsi="Verdana"/>
          <w:sz w:val="20"/>
          <w:szCs w:val="20"/>
        </w:rPr>
        <w:t xml:space="preserve">des évènements spéciaux </w:t>
      </w:r>
      <w:r w:rsidRPr="00272A3A">
        <w:rPr>
          <w:rFonts w:ascii="Verdana" w:hAnsi="Verdana"/>
          <w:sz w:val="20"/>
          <w:szCs w:val="20"/>
        </w:rPr>
        <w:t xml:space="preserve">supplémentaires et ambitieux, non abordés lors des COP précédentes, notamment : </w:t>
      </w:r>
    </w:p>
    <w:p w14:paraId="16E73401" w14:textId="77777777" w:rsidR="00272A3A" w:rsidRPr="00272A3A" w:rsidRDefault="00272A3A" w:rsidP="00272A3A">
      <w:pPr>
        <w:pStyle w:val="NormalWeb"/>
        <w:numPr>
          <w:ilvl w:val="0"/>
          <w:numId w:val="42"/>
        </w:numPr>
        <w:spacing w:before="0" w:beforeAutospacing="0" w:after="120" w:afterAutospacing="0" w:line="276" w:lineRule="auto"/>
        <w:jc w:val="both"/>
        <w:rPr>
          <w:rFonts w:ascii="Verdana" w:hAnsi="Verdana"/>
          <w:sz w:val="20"/>
          <w:szCs w:val="20"/>
        </w:rPr>
      </w:pPr>
      <w:r w:rsidRPr="00272A3A">
        <w:rPr>
          <w:rFonts w:ascii="Verdana" w:hAnsi="Verdana"/>
          <w:sz w:val="20"/>
          <w:szCs w:val="20"/>
        </w:rPr>
        <w:t>Dialogues de haut niveau : Discussions politiques et ministérielles de haut niveau sur les questions stratégiques de gouvernance des océans.</w:t>
      </w:r>
    </w:p>
    <w:p w14:paraId="3EC2B78C" w14:textId="77777777" w:rsidR="00272A3A" w:rsidRPr="00272A3A" w:rsidRDefault="00272A3A" w:rsidP="00272A3A">
      <w:pPr>
        <w:pStyle w:val="NormalWeb"/>
        <w:numPr>
          <w:ilvl w:val="0"/>
          <w:numId w:val="42"/>
        </w:numPr>
        <w:spacing w:before="0" w:beforeAutospacing="0" w:after="120" w:afterAutospacing="0" w:line="276" w:lineRule="auto"/>
        <w:jc w:val="both"/>
        <w:rPr>
          <w:rFonts w:ascii="Verdana" w:hAnsi="Verdana"/>
          <w:sz w:val="20"/>
          <w:szCs w:val="20"/>
        </w:rPr>
      </w:pPr>
      <w:r w:rsidRPr="00272A3A">
        <w:rPr>
          <w:rFonts w:ascii="Verdana" w:hAnsi="Verdana"/>
          <w:sz w:val="20"/>
          <w:szCs w:val="20"/>
        </w:rPr>
        <w:lastRenderedPageBreak/>
        <w:t>Segment Femmes et Jeunes : Mise en valeur d'un leadership inclusif et intergénérationnel.</w:t>
      </w:r>
    </w:p>
    <w:p w14:paraId="4F083DA4" w14:textId="77777777" w:rsidR="00272A3A" w:rsidRPr="00272A3A" w:rsidRDefault="00272A3A" w:rsidP="00272A3A">
      <w:pPr>
        <w:pStyle w:val="NormalWeb"/>
        <w:numPr>
          <w:ilvl w:val="0"/>
          <w:numId w:val="42"/>
        </w:numPr>
        <w:spacing w:before="0" w:beforeAutospacing="0" w:after="120" w:afterAutospacing="0" w:line="276" w:lineRule="auto"/>
        <w:jc w:val="both"/>
        <w:rPr>
          <w:rFonts w:ascii="Verdana" w:hAnsi="Verdana"/>
          <w:sz w:val="20"/>
          <w:szCs w:val="20"/>
        </w:rPr>
      </w:pPr>
      <w:r w:rsidRPr="00272A3A">
        <w:rPr>
          <w:rFonts w:ascii="Verdana" w:hAnsi="Verdana"/>
          <w:sz w:val="20"/>
          <w:szCs w:val="20"/>
        </w:rPr>
        <w:t>Événements parallèles et expositions : Présentation d'innovations, de partenariats et de meilleures pratiques.</w:t>
      </w:r>
    </w:p>
    <w:p w14:paraId="0A3196DF" w14:textId="77777777" w:rsidR="00272A3A" w:rsidRPr="00272A3A" w:rsidRDefault="00272A3A" w:rsidP="00272A3A">
      <w:pPr>
        <w:pStyle w:val="NormalWeb"/>
        <w:numPr>
          <w:ilvl w:val="0"/>
          <w:numId w:val="42"/>
        </w:numPr>
        <w:spacing w:before="0" w:beforeAutospacing="0" w:after="120" w:afterAutospacing="0" w:line="276" w:lineRule="auto"/>
        <w:jc w:val="both"/>
        <w:rPr>
          <w:rFonts w:ascii="Verdana" w:hAnsi="Verdana"/>
          <w:sz w:val="20"/>
          <w:szCs w:val="20"/>
        </w:rPr>
      </w:pPr>
      <w:r w:rsidRPr="00272A3A">
        <w:rPr>
          <w:rFonts w:ascii="Verdana" w:hAnsi="Verdana"/>
          <w:sz w:val="20"/>
          <w:szCs w:val="20"/>
        </w:rPr>
        <w:t>Forum des entreprises : Discussions sur l'engagement du secteur privé dans la promotion d'une économie bleue durable</w:t>
      </w:r>
    </w:p>
    <w:p w14:paraId="1511D56B" w14:textId="77777777" w:rsidR="00272A3A" w:rsidRDefault="00272A3A" w:rsidP="00272A3A">
      <w:pPr>
        <w:pStyle w:val="Titrepartie"/>
        <w:numPr>
          <w:ilvl w:val="0"/>
          <w:numId w:val="0"/>
        </w:numPr>
      </w:pPr>
    </w:p>
    <w:p w14:paraId="13D69804" w14:textId="29E917F7" w:rsidR="005B069C" w:rsidRPr="00E91529" w:rsidRDefault="000F5764" w:rsidP="00A721A4">
      <w:pPr>
        <w:pStyle w:val="Sous-partie2"/>
        <w:spacing w:after="120" w:line="283" w:lineRule="auto"/>
        <w:contextualSpacing w:val="0"/>
      </w:pPr>
      <w:r>
        <w:t>Participation de la COI à la COP12</w:t>
      </w:r>
    </w:p>
    <w:p w14:paraId="02D43CBE" w14:textId="5F89E4AB" w:rsidR="00EC6B57" w:rsidRDefault="00AA6579" w:rsidP="00A721A4">
      <w:pPr>
        <w:pStyle w:val="Paragraphe"/>
        <w:spacing w:after="120" w:line="283" w:lineRule="auto"/>
      </w:pPr>
      <w:r>
        <w:t xml:space="preserve">Le </w:t>
      </w:r>
      <w:r w:rsidR="00ED4155">
        <w:t>Secrétariat</w:t>
      </w:r>
      <w:r>
        <w:t xml:space="preserve"> général de la COI a été sollicité par le Secrétariat de la Convention de Nairobi pour </w:t>
      </w:r>
      <w:r w:rsidR="00BC2518">
        <w:t>être l’un des principaux partenaires de la COP12 au regard de l’étroitesse des collaborations et des contributions concrètes de la COI à différents cadres (protocole de gestion intégrée des zones côtières, plan de contingence régional</w:t>
      </w:r>
      <w:r w:rsidR="00ED4155">
        <w:t xml:space="preserve"> sur la pollution marine</w:t>
      </w:r>
      <w:r w:rsidR="00BC2518">
        <w:t xml:space="preserve">, </w:t>
      </w:r>
      <w:r w:rsidR="000A25F7">
        <w:t>stratégie régionale sur la pollution plastique et les produits chimiques associés</w:t>
      </w:r>
      <w:r w:rsidR="00ED4155">
        <w:t>)</w:t>
      </w:r>
      <w:r w:rsidR="005B069C">
        <w:t>.</w:t>
      </w:r>
    </w:p>
    <w:p w14:paraId="1A0DC04B" w14:textId="33FE0331" w:rsidR="00ED4155" w:rsidRDefault="00ED4155" w:rsidP="00A721A4">
      <w:pPr>
        <w:pStyle w:val="Paragraphe"/>
        <w:spacing w:after="120" w:line="283" w:lineRule="auto"/>
        <w:rPr>
          <w:shd w:val="clear" w:color="auto" w:fill="FFFFFF"/>
        </w:rPr>
      </w:pPr>
      <w:r>
        <w:rPr>
          <w:shd w:val="clear" w:color="auto" w:fill="FFFFFF"/>
        </w:rPr>
        <w:t>Au regard de l’ampleur attendu de l’évènement, il est proposé que la COI</w:t>
      </w:r>
      <w:r w:rsidR="001B001D">
        <w:rPr>
          <w:shd w:val="clear" w:color="auto" w:fill="FFFFFF"/>
        </w:rPr>
        <w:t xml:space="preserve"> participe activement à la COP12 à travers : </w:t>
      </w:r>
    </w:p>
    <w:p w14:paraId="089C4AED" w14:textId="0A842C34" w:rsidR="001B001D" w:rsidRDefault="001B001D" w:rsidP="001B001D">
      <w:pPr>
        <w:pStyle w:val="Paragraphe"/>
        <w:numPr>
          <w:ilvl w:val="0"/>
          <w:numId w:val="43"/>
        </w:numPr>
        <w:spacing w:after="120" w:line="283" w:lineRule="auto"/>
        <w:rPr>
          <w:shd w:val="clear" w:color="auto" w:fill="FFFFFF"/>
        </w:rPr>
      </w:pPr>
      <w:r>
        <w:rPr>
          <w:shd w:val="clear" w:color="auto" w:fill="FFFFFF"/>
        </w:rPr>
        <w:t xml:space="preserve">Un message commun porté par le Secrétaire général de la COI ; </w:t>
      </w:r>
    </w:p>
    <w:p w14:paraId="2421D53D" w14:textId="6D35965B" w:rsidR="001B001D" w:rsidRDefault="001B001D" w:rsidP="001B001D">
      <w:pPr>
        <w:pStyle w:val="Paragraphe"/>
        <w:numPr>
          <w:ilvl w:val="0"/>
          <w:numId w:val="43"/>
        </w:numPr>
        <w:spacing w:after="120" w:line="283" w:lineRule="auto"/>
        <w:rPr>
          <w:shd w:val="clear" w:color="auto" w:fill="FFFFFF"/>
        </w:rPr>
      </w:pPr>
      <w:r>
        <w:rPr>
          <w:shd w:val="clear" w:color="auto" w:fill="FFFFFF"/>
        </w:rPr>
        <w:t xml:space="preserve">Des messages spécifiques « COI » relayés par </w:t>
      </w:r>
      <w:r w:rsidR="00FD68F1">
        <w:rPr>
          <w:shd w:val="clear" w:color="auto" w:fill="FFFFFF"/>
        </w:rPr>
        <w:t xml:space="preserve">les chefs de délégation des États membres de la COI dans les allocutions officielles, plus particulièrement par la présidence en exercice ; </w:t>
      </w:r>
    </w:p>
    <w:p w14:paraId="1C96A967" w14:textId="297C0240" w:rsidR="00FD68F1" w:rsidRDefault="00FD68F1" w:rsidP="001B001D">
      <w:pPr>
        <w:pStyle w:val="Paragraphe"/>
        <w:numPr>
          <w:ilvl w:val="0"/>
          <w:numId w:val="43"/>
        </w:numPr>
        <w:spacing w:after="120" w:line="283" w:lineRule="auto"/>
        <w:rPr>
          <w:shd w:val="clear" w:color="auto" w:fill="FFFFFF"/>
        </w:rPr>
      </w:pPr>
      <w:r>
        <w:rPr>
          <w:shd w:val="clear" w:color="auto" w:fill="FFFFFF"/>
        </w:rPr>
        <w:t xml:space="preserve">Un dialogue politique des ministres en charge de l’Environnement ou leur représentant </w:t>
      </w:r>
      <w:r w:rsidR="00B82A77">
        <w:rPr>
          <w:shd w:val="clear" w:color="auto" w:fill="FFFFFF"/>
        </w:rPr>
        <w:t xml:space="preserve">autour du lien « climat-océan » dans l’optique de dégager des orientations politiques et stratégiques pour la formulation d’un programme régional ; </w:t>
      </w:r>
    </w:p>
    <w:p w14:paraId="2F089F95" w14:textId="2AD02602" w:rsidR="004B2607" w:rsidRDefault="004B2607" w:rsidP="001B001D">
      <w:pPr>
        <w:pStyle w:val="Paragraphe"/>
        <w:numPr>
          <w:ilvl w:val="0"/>
          <w:numId w:val="43"/>
        </w:numPr>
        <w:spacing w:after="120" w:line="283" w:lineRule="auto"/>
        <w:rPr>
          <w:shd w:val="clear" w:color="auto" w:fill="FFFFFF"/>
        </w:rPr>
      </w:pPr>
      <w:r>
        <w:rPr>
          <w:shd w:val="clear" w:color="auto" w:fill="FFFFFF"/>
        </w:rPr>
        <w:t xml:space="preserve">Co-organisateur d’un évènement spécial notamment sur la coopération dans le domaine de l’économie bleue en impliquant les Chefs de délégations des Etats membre de la COI et participation dans les autres événements spéciaux </w:t>
      </w:r>
    </w:p>
    <w:p w14:paraId="3C1F72F3" w14:textId="3738CCC5" w:rsidR="00B82A77" w:rsidRPr="00855D05" w:rsidRDefault="00B82A77" w:rsidP="001B001D">
      <w:pPr>
        <w:pStyle w:val="Paragraphe"/>
        <w:numPr>
          <w:ilvl w:val="0"/>
          <w:numId w:val="43"/>
        </w:numPr>
        <w:spacing w:after="120" w:line="283" w:lineRule="auto"/>
        <w:rPr>
          <w:shd w:val="clear" w:color="auto" w:fill="FFFFFF"/>
        </w:rPr>
      </w:pPr>
      <w:r w:rsidRPr="0056130F">
        <w:rPr>
          <w:shd w:val="clear" w:color="auto" w:fill="FFFFFF"/>
        </w:rPr>
        <w:t xml:space="preserve">Un évènement parallèle porté par la COI </w:t>
      </w:r>
      <w:r w:rsidR="00D15717" w:rsidRPr="0056130F">
        <w:rPr>
          <w:shd w:val="clear" w:color="auto" w:fill="FFFFFF"/>
        </w:rPr>
        <w:t xml:space="preserve">(projet </w:t>
      </w:r>
      <w:proofErr w:type="spellStart"/>
      <w:r w:rsidR="004B2607" w:rsidRPr="0056130F">
        <w:rPr>
          <w:shd w:val="clear" w:color="auto" w:fill="FFFFFF"/>
        </w:rPr>
        <w:t>ExPLOI</w:t>
      </w:r>
      <w:proofErr w:type="spellEnd"/>
      <w:r w:rsidR="004B2607" w:rsidRPr="0056130F">
        <w:rPr>
          <w:shd w:val="clear" w:color="auto" w:fill="FFFFFF"/>
        </w:rPr>
        <w:t>) «</w:t>
      </w:r>
      <w:r w:rsidR="0056130F">
        <w:rPr>
          <w:shd w:val="clear" w:color="auto" w:fill="FFFFFF"/>
        </w:rPr>
        <w:t> </w:t>
      </w:r>
      <w:r w:rsidR="0056130F" w:rsidRPr="0056130F">
        <w:rPr>
          <w:i/>
          <w:iCs/>
          <w:shd w:val="clear" w:color="auto" w:fill="FFFFFF"/>
        </w:rPr>
        <w:t>De la politique à l'action</w:t>
      </w:r>
      <w:r w:rsidR="0056130F">
        <w:rPr>
          <w:i/>
          <w:iCs/>
          <w:shd w:val="clear" w:color="auto" w:fill="FFFFFF"/>
        </w:rPr>
        <w:t xml:space="preserve"> : </w:t>
      </w:r>
      <w:r w:rsidR="0056130F" w:rsidRPr="0056130F">
        <w:rPr>
          <w:i/>
          <w:iCs/>
          <w:shd w:val="clear" w:color="auto" w:fill="FFFFFF"/>
        </w:rPr>
        <w:t>boucler la boucle du plastique dans l'ouest de l'océan Indien grâce à l'alignement</w:t>
      </w:r>
      <w:r w:rsidR="00855D05">
        <w:rPr>
          <w:i/>
          <w:iCs/>
          <w:shd w:val="clear" w:color="auto" w:fill="FFFFFF"/>
        </w:rPr>
        <w:t>/l’harmonisation</w:t>
      </w:r>
      <w:r w:rsidR="0056130F" w:rsidRPr="0056130F">
        <w:rPr>
          <w:i/>
          <w:iCs/>
          <w:shd w:val="clear" w:color="auto" w:fill="FFFFFF"/>
        </w:rPr>
        <w:t xml:space="preserve"> des </w:t>
      </w:r>
      <w:r w:rsidR="00855D05">
        <w:rPr>
          <w:i/>
          <w:iCs/>
          <w:shd w:val="clear" w:color="auto" w:fill="FFFFFF"/>
        </w:rPr>
        <w:t>échelons</w:t>
      </w:r>
      <w:r w:rsidR="0056130F" w:rsidRPr="0056130F">
        <w:rPr>
          <w:i/>
          <w:iCs/>
          <w:shd w:val="clear" w:color="auto" w:fill="FFFFFF"/>
        </w:rPr>
        <w:t xml:space="preserve"> de gouvernance </w:t>
      </w:r>
      <w:r w:rsidR="0056130F">
        <w:rPr>
          <w:b/>
          <w:bCs/>
          <w:shd w:val="clear" w:color="auto" w:fill="FFFFFF"/>
        </w:rPr>
        <w:t>»</w:t>
      </w:r>
    </w:p>
    <w:p w14:paraId="519EC702" w14:textId="77777777" w:rsidR="00E03AAE" w:rsidRPr="00E03AAE" w:rsidRDefault="00855D05" w:rsidP="001B001D">
      <w:pPr>
        <w:pStyle w:val="Paragraphe"/>
        <w:numPr>
          <w:ilvl w:val="0"/>
          <w:numId w:val="43"/>
        </w:numPr>
        <w:spacing w:after="120" w:line="283" w:lineRule="auto"/>
        <w:rPr>
          <w:shd w:val="clear" w:color="auto" w:fill="FFFFFF"/>
        </w:rPr>
      </w:pPr>
      <w:r w:rsidRPr="00E03AAE">
        <w:rPr>
          <w:shd w:val="clear" w:color="auto" w:fill="FFFFFF"/>
        </w:rPr>
        <w:t xml:space="preserve">Un évènement parallèle </w:t>
      </w:r>
      <w:proofErr w:type="spellStart"/>
      <w:r w:rsidRPr="00E03AAE">
        <w:rPr>
          <w:shd w:val="clear" w:color="auto" w:fill="FFFFFF"/>
        </w:rPr>
        <w:t>co-organisé</w:t>
      </w:r>
      <w:proofErr w:type="spellEnd"/>
      <w:r w:rsidRPr="00E03AAE">
        <w:rPr>
          <w:shd w:val="clear" w:color="auto" w:fill="FFFFFF"/>
        </w:rPr>
        <w:t xml:space="preserve"> par la COI (projet RECOS) et porté par le réseau régional des gestionnaires d’aires marines protégées (WIOMPAN) </w:t>
      </w:r>
      <w:r w:rsidR="00A6045A" w:rsidRPr="00E03AAE">
        <w:rPr>
          <w:shd w:val="clear" w:color="auto" w:fill="FFFFFF"/>
        </w:rPr>
        <w:t xml:space="preserve">intitulé « Quarante ans, une question : qu'est-ce qui garantit le succès durable de la conservation marine ? » et visant à </w:t>
      </w:r>
      <w:r w:rsidR="00E03AAE" w:rsidRPr="00E03AAE">
        <w:rPr>
          <w:shd w:val="clear" w:color="auto" w:fill="FFFFFF"/>
        </w:rPr>
        <w:t>définir des actions concrètes en vue de l’application effective de l’engagement 30x30.</w:t>
      </w:r>
    </w:p>
    <w:p w14:paraId="77E1287C" w14:textId="7CA04137" w:rsidR="00855D05" w:rsidRPr="00653209" w:rsidRDefault="00E03AAE" w:rsidP="001B001D">
      <w:pPr>
        <w:pStyle w:val="Paragraphe"/>
        <w:numPr>
          <w:ilvl w:val="0"/>
          <w:numId w:val="43"/>
        </w:numPr>
        <w:spacing w:after="120" w:line="283" w:lineRule="auto"/>
        <w:rPr>
          <w:shd w:val="clear" w:color="auto" w:fill="FFFFFF"/>
        </w:rPr>
      </w:pPr>
      <w:r w:rsidRPr="00653209">
        <w:rPr>
          <w:shd w:val="clear" w:color="auto" w:fill="FFFFFF"/>
        </w:rPr>
        <w:t xml:space="preserve">Une prise en charge </w:t>
      </w:r>
      <w:r w:rsidR="00F825DF" w:rsidRPr="00653209">
        <w:rPr>
          <w:shd w:val="clear" w:color="auto" w:fill="FFFFFF"/>
        </w:rPr>
        <w:t>de la participation</w:t>
      </w:r>
      <w:r w:rsidRPr="00653209">
        <w:rPr>
          <w:shd w:val="clear" w:color="auto" w:fill="FFFFFF"/>
        </w:rPr>
        <w:t xml:space="preserve"> de représentants des États membres et des </w:t>
      </w:r>
      <w:r w:rsidR="00653209" w:rsidRPr="00653209">
        <w:rPr>
          <w:shd w:val="clear" w:color="auto" w:fill="FFFFFF"/>
        </w:rPr>
        <w:t xml:space="preserve">acteurs des projets </w:t>
      </w:r>
      <w:proofErr w:type="spellStart"/>
      <w:r w:rsidR="00653209" w:rsidRPr="00653209">
        <w:rPr>
          <w:shd w:val="clear" w:color="auto" w:fill="FFFFFF"/>
        </w:rPr>
        <w:t>ExPLOI</w:t>
      </w:r>
      <w:proofErr w:type="spellEnd"/>
      <w:r w:rsidR="00653209" w:rsidRPr="00653209">
        <w:rPr>
          <w:shd w:val="clear" w:color="auto" w:fill="FFFFFF"/>
        </w:rPr>
        <w:t xml:space="preserve"> et RECOS de la COI (selon disponibilité budgétaire et éligibilité). </w:t>
      </w:r>
    </w:p>
    <w:p w14:paraId="735C6C99" w14:textId="0EAC54E1" w:rsidR="00312D35" w:rsidRDefault="00312D35" w:rsidP="00A721A4">
      <w:pPr>
        <w:pStyle w:val="Sous-partie2"/>
        <w:spacing w:after="120" w:line="283" w:lineRule="auto"/>
        <w:contextualSpacing w:val="0"/>
      </w:pPr>
      <w:r w:rsidRPr="0056130F">
        <w:t xml:space="preserve"> </w:t>
      </w:r>
      <w:r w:rsidR="004479C2">
        <w:t>Opportunités pour les États membres</w:t>
      </w:r>
    </w:p>
    <w:p w14:paraId="43F08DBA" w14:textId="739A9AC0" w:rsidR="005B6F79" w:rsidRDefault="004479C2" w:rsidP="00A721A4">
      <w:pPr>
        <w:pStyle w:val="Sous-partie2"/>
        <w:numPr>
          <w:ilvl w:val="0"/>
          <w:numId w:val="0"/>
        </w:numPr>
        <w:spacing w:after="120" w:line="283" w:lineRule="auto"/>
        <w:contextualSpacing w:val="0"/>
        <w:rPr>
          <w:color w:val="auto"/>
          <w:shd w:val="clear" w:color="auto" w:fill="FFFFFF"/>
        </w:rPr>
      </w:pPr>
      <w:r>
        <w:rPr>
          <w:color w:val="auto"/>
          <w:shd w:val="clear" w:color="auto" w:fill="FFFFFF"/>
        </w:rPr>
        <w:t>La COP12 constituera une plateforme idéale d’engagement</w:t>
      </w:r>
      <w:r w:rsidR="005B6F79">
        <w:rPr>
          <w:color w:val="auto"/>
          <w:shd w:val="clear" w:color="auto" w:fill="FFFFFF"/>
        </w:rPr>
        <w:t xml:space="preserve"> politique</w:t>
      </w:r>
      <w:r>
        <w:rPr>
          <w:color w:val="auto"/>
          <w:shd w:val="clear" w:color="auto" w:fill="FFFFFF"/>
        </w:rPr>
        <w:t xml:space="preserve"> et d’action</w:t>
      </w:r>
      <w:r w:rsidR="005B6F79">
        <w:rPr>
          <w:color w:val="auto"/>
          <w:shd w:val="clear" w:color="auto" w:fill="FFFFFF"/>
        </w:rPr>
        <w:t>s concrètes</w:t>
      </w:r>
      <w:r>
        <w:rPr>
          <w:color w:val="auto"/>
          <w:shd w:val="clear" w:color="auto" w:fill="FFFFFF"/>
        </w:rPr>
        <w:t xml:space="preserve"> en faveur de la préservation et de la gestion </w:t>
      </w:r>
      <w:r w:rsidR="005B6F79">
        <w:rPr>
          <w:color w:val="auto"/>
          <w:shd w:val="clear" w:color="auto" w:fill="FFFFFF"/>
        </w:rPr>
        <w:t xml:space="preserve">marine et côtière dans l’océan Indien occidental. </w:t>
      </w:r>
    </w:p>
    <w:p w14:paraId="2B19BB36" w14:textId="1ECDCD05" w:rsidR="005B6F79" w:rsidRDefault="005B6F79" w:rsidP="00A721A4">
      <w:pPr>
        <w:pStyle w:val="Sous-partie2"/>
        <w:numPr>
          <w:ilvl w:val="0"/>
          <w:numId w:val="0"/>
        </w:numPr>
        <w:spacing w:after="120" w:line="283" w:lineRule="auto"/>
        <w:contextualSpacing w:val="0"/>
        <w:rPr>
          <w:color w:val="auto"/>
          <w:shd w:val="clear" w:color="auto" w:fill="FFFFFF"/>
        </w:rPr>
      </w:pPr>
      <w:r>
        <w:rPr>
          <w:color w:val="auto"/>
          <w:shd w:val="clear" w:color="auto" w:fill="FFFFFF"/>
        </w:rPr>
        <w:t>A cet égard, le Secrétariat général attire l’attention du Comité des OPL sur les opportunités suivantes </w:t>
      </w:r>
      <w:r w:rsidR="00585E10">
        <w:rPr>
          <w:color w:val="auto"/>
          <w:shd w:val="clear" w:color="auto" w:fill="FFFFFF"/>
        </w:rPr>
        <w:t xml:space="preserve">pour les délégations des États membres : </w:t>
      </w:r>
    </w:p>
    <w:p w14:paraId="2B1B283C" w14:textId="77777777" w:rsidR="00410445" w:rsidRPr="00410445" w:rsidRDefault="00585E10" w:rsidP="00245ED3">
      <w:pPr>
        <w:pStyle w:val="Paragraphe"/>
        <w:numPr>
          <w:ilvl w:val="0"/>
          <w:numId w:val="43"/>
        </w:numPr>
        <w:rPr>
          <w:rFonts w:asciiTheme="majorBidi" w:hAnsiTheme="majorBidi" w:cstheme="majorBidi"/>
        </w:rPr>
      </w:pPr>
      <w:r>
        <w:t>Concernant le Protocole GIZC, les Etats membres de la COI pourraient déposer, en amont de la conférence ou lors de ce</w:t>
      </w:r>
      <w:r w:rsidR="00196611">
        <w:t>lle-ci</w:t>
      </w:r>
      <w:r>
        <w:t xml:space="preserve">, leurs instruments de ratification, </w:t>
      </w:r>
      <w:r w:rsidR="00196611">
        <w:t xml:space="preserve">illustrant ainsi l’engagement formel des États membres de la COI à la mise en œuvre de ce protocole adopté en septembre 2024. L’espace COI ferait ainsi </w:t>
      </w:r>
      <w:r w:rsidR="00660D2C">
        <w:t>figure d’exemple et de leadership sur cette approche promue dans le cadre du projet RECOS qui donne lieu à des</w:t>
      </w:r>
      <w:r w:rsidR="00922091">
        <w:t xml:space="preserve"> aménagements de gouvernance et des actions de terrain dans les États membres. </w:t>
      </w:r>
      <w:r>
        <w:t>A minima,</w:t>
      </w:r>
      <w:r w:rsidR="00922091">
        <w:t xml:space="preserve"> les délégations de la COI et/ou le Secrétaire général </w:t>
      </w:r>
      <w:proofErr w:type="gramStart"/>
      <w:r w:rsidR="00922091">
        <w:t>pourront</w:t>
      </w:r>
      <w:proofErr w:type="gramEnd"/>
      <w:r w:rsidR="00410445">
        <w:t xml:space="preserve"> s’engager ou plaider pour une ratification rapide du protocole GIZC. </w:t>
      </w:r>
      <w:r>
        <w:t xml:space="preserve"> </w:t>
      </w:r>
    </w:p>
    <w:p w14:paraId="61D3673B" w14:textId="6D9ADB14" w:rsidR="00585E10" w:rsidRPr="00410445" w:rsidRDefault="00585E10" w:rsidP="00410445">
      <w:pPr>
        <w:pStyle w:val="Paragraphe"/>
        <w:numPr>
          <w:ilvl w:val="0"/>
          <w:numId w:val="43"/>
        </w:numPr>
      </w:pPr>
      <w:r w:rsidRPr="00410445">
        <w:t xml:space="preserve">Une sensibilisation pourrait être également envisagée sur l’Accord BBNJ en vue sa première COP en janvier 2027, ainsi qu’une mobilisation accrue des Etats insulaires pour faire avancer les négociations sur le Traité plastique, dont la prochaine session (INC 5.4) est prévue en mars 2027.  </w:t>
      </w:r>
    </w:p>
    <w:p w14:paraId="611BB0C6" w14:textId="1743C5DE" w:rsidR="00D83756" w:rsidRDefault="00D83756" w:rsidP="00A721A4">
      <w:pPr>
        <w:pStyle w:val="Paragraphe"/>
        <w:spacing w:after="120" w:line="283" w:lineRule="auto"/>
      </w:pPr>
    </w:p>
    <w:p w14:paraId="2F7F5914" w14:textId="087666D5" w:rsidR="00955BB3" w:rsidRPr="00E91529" w:rsidRDefault="00955BB3" w:rsidP="00A721A4">
      <w:pPr>
        <w:pStyle w:val="Titrepartie"/>
        <w:spacing w:after="120" w:line="283" w:lineRule="auto"/>
        <w:contextualSpacing w:val="0"/>
        <w:rPr>
          <w:sz w:val="20"/>
        </w:rPr>
      </w:pPr>
      <w:r w:rsidRPr="00E91529">
        <w:rPr>
          <w:sz w:val="20"/>
        </w:rPr>
        <w:t>Proposition</w:t>
      </w:r>
      <w:r w:rsidR="00311C03" w:rsidRPr="00E91529">
        <w:rPr>
          <w:sz w:val="20"/>
        </w:rPr>
        <w:t>s</w:t>
      </w:r>
      <w:r w:rsidRPr="00E91529">
        <w:rPr>
          <w:sz w:val="20"/>
        </w:rPr>
        <w:t xml:space="preserve"> de décision</w:t>
      </w:r>
    </w:p>
    <w:p w14:paraId="3ECF0759" w14:textId="1E16241A" w:rsidR="00912454" w:rsidRPr="00927CB6" w:rsidRDefault="0008468B" w:rsidP="00A721A4">
      <w:pPr>
        <w:pStyle w:val="Paragraphe"/>
        <w:spacing w:after="120" w:line="283" w:lineRule="auto"/>
      </w:pPr>
      <w:r w:rsidRPr="00927CB6">
        <w:t xml:space="preserve">Le Comité des </w:t>
      </w:r>
      <w:r w:rsidR="00030055">
        <w:t xml:space="preserve">OPL </w:t>
      </w:r>
      <w:r w:rsidR="00A5154C">
        <w:t>d</w:t>
      </w:r>
      <w:r w:rsidR="00030055">
        <w:t>emande au Secrétariat général</w:t>
      </w:r>
      <w:r w:rsidR="00A5154C">
        <w:t xml:space="preserve"> de : </w:t>
      </w:r>
      <w:r w:rsidR="005E3D2C">
        <w:t xml:space="preserve"> </w:t>
      </w:r>
    </w:p>
    <w:p w14:paraId="23076041" w14:textId="33140361" w:rsidR="000C55C8" w:rsidRDefault="00A5154C" w:rsidP="00A721A4">
      <w:pPr>
        <w:pStyle w:val="Paragraphe"/>
        <w:numPr>
          <w:ilvl w:val="0"/>
          <w:numId w:val="40"/>
        </w:numPr>
        <w:spacing w:after="120" w:line="283" w:lineRule="auto"/>
      </w:pPr>
      <w:r>
        <w:t>Soumettre aux États membres les éléments de langage à porter à la 12</w:t>
      </w:r>
      <w:r w:rsidRPr="00A5154C">
        <w:rPr>
          <w:vertAlign w:val="superscript"/>
        </w:rPr>
        <w:t>ème</w:t>
      </w:r>
      <w:r>
        <w:t xml:space="preserve"> Conférence des Parties à la Convention de Nairobi (COP12) pour</w:t>
      </w:r>
      <w:r w:rsidR="000C55C8">
        <w:t xml:space="preserve"> </w:t>
      </w:r>
      <w:r w:rsidR="00D5356A">
        <w:t xml:space="preserve">les </w:t>
      </w:r>
      <w:r w:rsidR="000C55C8">
        <w:t xml:space="preserve">partager avec les délégations qui y participeront pour inclusion dans les messages officiels ; </w:t>
      </w:r>
    </w:p>
    <w:p w14:paraId="507050BD" w14:textId="77777777" w:rsidR="005A6F7B" w:rsidRDefault="000C55C8" w:rsidP="00A721A4">
      <w:pPr>
        <w:pStyle w:val="Paragraphe"/>
        <w:numPr>
          <w:ilvl w:val="0"/>
          <w:numId w:val="40"/>
        </w:numPr>
        <w:spacing w:after="120" w:line="283" w:lineRule="auto"/>
      </w:pPr>
      <w:r>
        <w:t>Partager aux États membres le message</w:t>
      </w:r>
      <w:r w:rsidR="005A6F7B">
        <w:t xml:space="preserve"> que portera le Secrétaire général de la COI à la séquence officielle des allocutions des partenaires à la COP12 ; </w:t>
      </w:r>
    </w:p>
    <w:p w14:paraId="7D479167" w14:textId="6FCA908A" w:rsidR="000A6419" w:rsidRDefault="005A6F7B" w:rsidP="00A721A4">
      <w:pPr>
        <w:pStyle w:val="Paragraphe"/>
        <w:numPr>
          <w:ilvl w:val="0"/>
          <w:numId w:val="40"/>
        </w:numPr>
        <w:spacing w:after="120" w:line="283" w:lineRule="auto"/>
      </w:pPr>
      <w:r>
        <w:t>Organiser dans les meilleurs délais</w:t>
      </w:r>
      <w:r w:rsidR="00D6017B">
        <w:t xml:space="preserve"> le format du dialogue politique avec les chefs de délégation des États membres et transmettre aux États membres la documentation nécessaire</w:t>
      </w:r>
      <w:r w:rsidR="00872468">
        <w:t xml:space="preserve"> pour assurer une participation optimale et des résultats concrets</w:t>
      </w:r>
      <w:r w:rsidR="00D6017B">
        <w:t xml:space="preserve"> ; </w:t>
      </w:r>
      <w:r w:rsidR="000A6419">
        <w:t xml:space="preserve"> </w:t>
      </w:r>
    </w:p>
    <w:p w14:paraId="0AB6024B" w14:textId="0976524D" w:rsidR="00F867A3" w:rsidRDefault="00872468" w:rsidP="004C175F">
      <w:pPr>
        <w:pStyle w:val="Paragraphe"/>
        <w:numPr>
          <w:ilvl w:val="0"/>
          <w:numId w:val="40"/>
        </w:numPr>
        <w:spacing w:after="120" w:line="283" w:lineRule="auto"/>
      </w:pPr>
      <w:r>
        <w:t>Organiser</w:t>
      </w:r>
      <w:r w:rsidR="004C175F">
        <w:t xml:space="preserve"> ou coorganiser</w:t>
      </w:r>
      <w:r>
        <w:t xml:space="preserve"> </w:t>
      </w:r>
      <w:r w:rsidR="004B2607">
        <w:t>un évènement spécial</w:t>
      </w:r>
      <w:r w:rsidR="00D5356A">
        <w:t xml:space="preserve"> et</w:t>
      </w:r>
      <w:r w:rsidR="004B2607">
        <w:t xml:space="preserve"> </w:t>
      </w:r>
      <w:r w:rsidR="004C175F">
        <w:t>d</w:t>
      </w:r>
      <w:r>
        <w:t>es évènements parallèles</w:t>
      </w:r>
      <w:r w:rsidR="004C175F">
        <w:t xml:space="preserve"> sur les thématiques prioritaires de la COP12 en lien avec les actions de la COI et en veillant à une participation effective des représentants des États membres et partenaires.  </w:t>
      </w:r>
      <w:bookmarkEnd w:id="0"/>
    </w:p>
    <w:p w14:paraId="5A671979" w14:textId="77777777" w:rsidR="004C175F" w:rsidRPr="00E91529" w:rsidRDefault="004C175F" w:rsidP="004C175F">
      <w:pPr>
        <w:pStyle w:val="Paragraphe"/>
        <w:spacing w:after="120" w:line="283" w:lineRule="auto"/>
        <w:ind w:left="720"/>
      </w:pPr>
    </w:p>
    <w:p w14:paraId="1D6F1669" w14:textId="23EB9148" w:rsidR="00417683" w:rsidRDefault="00417683" w:rsidP="00A721A4">
      <w:pPr>
        <w:pStyle w:val="Titrepartie"/>
        <w:spacing w:after="120" w:line="283" w:lineRule="auto"/>
        <w:contextualSpacing w:val="0"/>
        <w:rPr>
          <w:sz w:val="20"/>
        </w:rPr>
      </w:pPr>
      <w:r w:rsidRPr="000A1C5B">
        <w:rPr>
          <w:sz w:val="20"/>
        </w:rPr>
        <w:t>Annexe</w:t>
      </w:r>
      <w:r w:rsidR="008F173C" w:rsidRPr="000A1C5B">
        <w:rPr>
          <w:sz w:val="20"/>
        </w:rPr>
        <w:t>s</w:t>
      </w:r>
      <w:r w:rsidR="000A1C5B" w:rsidRPr="000A1C5B">
        <w:rPr>
          <w:sz w:val="20"/>
        </w:rPr>
        <w:t xml:space="preserve"> </w:t>
      </w:r>
    </w:p>
    <w:p w14:paraId="081EE098" w14:textId="5C40A4E4" w:rsidR="00C90F13" w:rsidRPr="00633882" w:rsidRDefault="00C90F13" w:rsidP="00A721A4">
      <w:pPr>
        <w:pStyle w:val="Titrepartie"/>
        <w:numPr>
          <w:ilvl w:val="0"/>
          <w:numId w:val="0"/>
        </w:numPr>
        <w:spacing w:after="120" w:line="283" w:lineRule="auto"/>
        <w:ind w:left="720" w:hanging="360"/>
        <w:contextualSpacing w:val="0"/>
        <w:rPr>
          <w:b w:val="0"/>
          <w:bCs w:val="0"/>
          <w:color w:val="auto"/>
          <w:sz w:val="20"/>
        </w:rPr>
      </w:pPr>
      <w:r w:rsidRPr="00633882">
        <w:rPr>
          <w:b w:val="0"/>
          <w:bCs w:val="0"/>
          <w:color w:val="auto"/>
          <w:sz w:val="20"/>
        </w:rPr>
        <w:t xml:space="preserve">Annexe 1 : </w:t>
      </w:r>
      <w:r w:rsidR="004C175F">
        <w:rPr>
          <w:b w:val="0"/>
          <w:bCs w:val="0"/>
          <w:color w:val="auto"/>
          <w:sz w:val="20"/>
        </w:rPr>
        <w:t>Note conceptuelle sur la participation de la COI à la CO</w:t>
      </w:r>
      <w:r w:rsidR="0085326F">
        <w:rPr>
          <w:b w:val="0"/>
          <w:bCs w:val="0"/>
          <w:color w:val="auto"/>
          <w:sz w:val="20"/>
        </w:rPr>
        <w:t>P12</w:t>
      </w:r>
    </w:p>
    <w:p w14:paraId="3D5FE3BF" w14:textId="77777777" w:rsidR="00E91529" w:rsidRPr="00E91529" w:rsidRDefault="00E91529" w:rsidP="00E91529">
      <w:pPr>
        <w:pStyle w:val="Paragraphe"/>
        <w:ind w:left="720"/>
        <w:jc w:val="left"/>
      </w:pPr>
    </w:p>
    <w:sectPr w:rsidR="00E91529" w:rsidRPr="00E91529" w:rsidSect="0046236C">
      <w:headerReference w:type="default" r:id="rId7"/>
      <w:footerReference w:type="default" r:id="rId8"/>
      <w:pgSz w:w="11906" w:h="16838"/>
      <w:pgMar w:top="1276" w:right="1417" w:bottom="851" w:left="1417" w:header="708" w:footer="13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F73A59" w14:textId="77777777" w:rsidR="004F552A" w:rsidRDefault="004F552A">
      <w:pPr>
        <w:spacing w:after="0" w:line="240" w:lineRule="auto"/>
      </w:pPr>
      <w:r>
        <w:separator/>
      </w:r>
    </w:p>
  </w:endnote>
  <w:endnote w:type="continuationSeparator" w:id="0">
    <w:p w14:paraId="58F811DD" w14:textId="77777777" w:rsidR="004F552A" w:rsidRDefault="004F55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6392675"/>
      <w:docPartObj>
        <w:docPartGallery w:val="Page Numbers (Bottom of Page)"/>
        <w:docPartUnique/>
      </w:docPartObj>
    </w:sdtPr>
    <w:sdtEndPr/>
    <w:sdtContent>
      <w:p w14:paraId="4D3A5F2A" w14:textId="631EC867" w:rsidR="00AA63A3" w:rsidRDefault="00AA63A3" w:rsidP="000F4728">
        <w:pPr>
          <w:pStyle w:val="Pieddepage"/>
          <w:pBdr>
            <w:top w:val="single" w:sz="4" w:space="1" w:color="ED7D31" w:themeColor="accent2"/>
          </w:pBdr>
          <w:jc w:val="right"/>
        </w:pPr>
        <w:r>
          <w:fldChar w:fldCharType="begin"/>
        </w:r>
        <w:r>
          <w:instrText>PAGE   \* MERGEFORMAT</w:instrText>
        </w:r>
        <w:r>
          <w:fldChar w:fldCharType="separate"/>
        </w:r>
        <w:r>
          <w:t>2</w:t>
        </w:r>
        <w:r>
          <w:fldChar w:fldCharType="end"/>
        </w:r>
      </w:p>
    </w:sdtContent>
  </w:sdt>
  <w:p w14:paraId="5BF7192F" w14:textId="77777777" w:rsidR="00063A26" w:rsidRDefault="00063A2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D15229" w14:textId="77777777" w:rsidR="004F552A" w:rsidRDefault="004F552A">
      <w:pPr>
        <w:spacing w:after="0" w:line="240" w:lineRule="auto"/>
      </w:pPr>
      <w:r>
        <w:separator/>
      </w:r>
    </w:p>
  </w:footnote>
  <w:footnote w:type="continuationSeparator" w:id="0">
    <w:p w14:paraId="6A97EF98" w14:textId="77777777" w:rsidR="004F552A" w:rsidRDefault="004F55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17793" w14:textId="798C562C" w:rsidR="00AA63A3" w:rsidRDefault="440F40E3" w:rsidP="00633882">
    <w:pPr>
      <w:pStyle w:val="En-tte"/>
      <w:pBdr>
        <w:bottom w:val="single" w:sz="4" w:space="1" w:color="0070C0"/>
      </w:pBdr>
      <w:tabs>
        <w:tab w:val="clear" w:pos="4536"/>
        <w:tab w:val="clear" w:pos="9072"/>
        <w:tab w:val="center" w:pos="0"/>
      </w:tabs>
    </w:pPr>
    <w:r>
      <w:rPr>
        <w:noProof/>
      </w:rPr>
      <w:drawing>
        <wp:inline distT="0" distB="0" distL="0" distR="0" wp14:anchorId="09635A91" wp14:editId="104A1BCF">
          <wp:extent cx="1090909" cy="360000"/>
          <wp:effectExtent l="0" t="0" r="0" b="2540"/>
          <wp:docPr id="622733955" name="Image 622733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screen">
                    <a:extLst>
                      <a:ext uri="{28A0092B-C50C-407E-A947-70E740481C1C}">
                        <a14:useLocalDpi xmlns:a14="http://schemas.microsoft.com/office/drawing/2010/main"/>
                      </a:ext>
                    </a:extLst>
                  </a:blip>
                  <a:stretch>
                    <a:fillRect/>
                  </a:stretch>
                </pic:blipFill>
                <pic:spPr>
                  <a:xfrm>
                    <a:off x="0" y="0"/>
                    <a:ext cx="1090909" cy="360000"/>
                  </a:xfrm>
                  <a:prstGeom prst="rect">
                    <a:avLst/>
                  </a:prstGeom>
                </pic:spPr>
              </pic:pic>
            </a:graphicData>
          </a:graphic>
        </wp:inline>
      </w:drawing>
    </w:r>
    <w:r w:rsidR="00854EEA">
      <w:tab/>
    </w:r>
    <w:r w:rsidR="00854EEA">
      <w:tab/>
    </w:r>
    <w:r w:rsidR="00854EEA">
      <w:tab/>
    </w:r>
    <w:r w:rsidR="00854EEA">
      <w:tab/>
    </w:r>
    <w:r w:rsidR="00854EEA">
      <w:tab/>
    </w:r>
    <w:r w:rsidR="00854EEA">
      <w:tab/>
    </w:r>
    <w:r w:rsidR="00854EEA">
      <w:tab/>
    </w:r>
    <w:r w:rsidR="00854EEA">
      <w:tab/>
    </w:r>
    <w:r w:rsidRPr="440F40E3">
      <w:rPr>
        <w:rFonts w:ascii="Verdana" w:hAnsi="Verdana"/>
        <w:b/>
        <w:bCs/>
        <w:sz w:val="20"/>
        <w:szCs w:val="20"/>
      </w:rPr>
      <w:t>Point 1.</w:t>
    </w:r>
    <w:r w:rsidR="00574804">
      <w:rPr>
        <w:rFonts w:ascii="Verdana" w:hAnsi="Verdana"/>
        <w:b/>
        <w:bCs/>
        <w:sz w:val="20"/>
        <w:szCs w:val="20"/>
      </w:rPr>
      <w:t>1</w:t>
    </w:r>
    <w:r w:rsidR="00AA2D7D">
      <w:rPr>
        <w:rFonts w:ascii="Verdana" w:hAnsi="Verdana"/>
        <w:b/>
        <w:bCs/>
        <w:sz w:val="20"/>
        <w:szCs w:val="20"/>
      </w:rPr>
      <w:t>.</w:t>
    </w:r>
    <w:r w:rsidRPr="440F40E3">
      <w:rPr>
        <w:rFonts w:ascii="Verdana" w:hAnsi="Verdana"/>
        <w:b/>
        <w:bCs/>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B50B7"/>
    <w:multiLevelType w:val="multilevel"/>
    <w:tmpl w:val="86166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C84E75"/>
    <w:multiLevelType w:val="multilevel"/>
    <w:tmpl w:val="37A04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302E10"/>
    <w:multiLevelType w:val="hybridMultilevel"/>
    <w:tmpl w:val="D12E7892"/>
    <w:lvl w:ilvl="0" w:tplc="040C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0ED0860"/>
    <w:multiLevelType w:val="hybridMultilevel"/>
    <w:tmpl w:val="FE1C3E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1D30430"/>
    <w:multiLevelType w:val="multilevel"/>
    <w:tmpl w:val="A2669954"/>
    <w:lvl w:ilvl="0">
      <w:start w:val="1"/>
      <w:numFmt w:val="decimal"/>
      <w:pStyle w:val="Titrepartie"/>
      <w:lvlText w:val="%1."/>
      <w:lvlJc w:val="left"/>
      <w:pPr>
        <w:ind w:left="720" w:hanging="360"/>
      </w:pPr>
      <w:rPr>
        <w:rFonts w:hint="default"/>
      </w:rPr>
    </w:lvl>
    <w:lvl w:ilvl="1">
      <w:start w:val="1"/>
      <w:numFmt w:val="decimal"/>
      <w:pStyle w:val="Sous-partie2"/>
      <w:lvlText w:val="%1.%2."/>
      <w:lvlJc w:val="left"/>
      <w:pPr>
        <w:ind w:left="1080" w:hanging="720"/>
      </w:p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15644D59"/>
    <w:multiLevelType w:val="multilevel"/>
    <w:tmpl w:val="4CF27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A934BE"/>
    <w:multiLevelType w:val="multilevel"/>
    <w:tmpl w:val="3E20C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C47BF2"/>
    <w:multiLevelType w:val="hybridMultilevel"/>
    <w:tmpl w:val="753E279C"/>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90E5F8D"/>
    <w:multiLevelType w:val="hybridMultilevel"/>
    <w:tmpl w:val="D6528AC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194A7057"/>
    <w:multiLevelType w:val="multilevel"/>
    <w:tmpl w:val="21AE57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E82935"/>
    <w:multiLevelType w:val="hybridMultilevel"/>
    <w:tmpl w:val="B62A0316"/>
    <w:lvl w:ilvl="0" w:tplc="5964BE58">
      <w:numFmt w:val="bullet"/>
      <w:lvlText w:val="•"/>
      <w:lvlJc w:val="left"/>
      <w:pPr>
        <w:ind w:left="1158" w:hanging="450"/>
      </w:pPr>
      <w:rPr>
        <w:rFonts w:ascii="Times New Roman" w:eastAsia="Times New Roman"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1" w15:restartNumberingAfterBreak="0">
    <w:nsid w:val="1D2B3E67"/>
    <w:multiLevelType w:val="hybridMultilevel"/>
    <w:tmpl w:val="1AB4D776"/>
    <w:lvl w:ilvl="0" w:tplc="1722C522">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FBE7AF0"/>
    <w:multiLevelType w:val="hybridMultilevel"/>
    <w:tmpl w:val="2FBA530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22431987"/>
    <w:multiLevelType w:val="multilevel"/>
    <w:tmpl w:val="0340FE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35F1D80"/>
    <w:multiLevelType w:val="hybridMultilevel"/>
    <w:tmpl w:val="65E8D4CA"/>
    <w:lvl w:ilvl="0" w:tplc="804A21F6">
      <w:start w:val="13"/>
      <w:numFmt w:val="bullet"/>
      <w:lvlText w:val="-"/>
      <w:lvlJc w:val="left"/>
      <w:pPr>
        <w:ind w:left="720" w:hanging="360"/>
      </w:pPr>
      <w:rPr>
        <w:rFonts w:ascii="Verdana" w:eastAsiaTheme="minorHAnsi" w:hAnsi="Verdana" w:cs="Calibri"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23610BD4"/>
    <w:multiLevelType w:val="hybridMultilevel"/>
    <w:tmpl w:val="00F401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4FF7F7B"/>
    <w:multiLevelType w:val="multilevel"/>
    <w:tmpl w:val="CC348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78A057E"/>
    <w:multiLevelType w:val="multilevel"/>
    <w:tmpl w:val="A532FC8C"/>
    <w:lvl w:ilvl="0">
      <w:start w:val="2"/>
      <w:numFmt w:val="decimal"/>
      <w:lvlText w:val="%1"/>
      <w:lvlJc w:val="left"/>
      <w:pPr>
        <w:ind w:left="720" w:hanging="360"/>
      </w:pPr>
      <w:rPr>
        <w:rFonts w:hint="default"/>
      </w:rPr>
    </w:lvl>
    <w:lvl w:ilvl="1">
      <w:start w:val="2"/>
      <w:numFmt w:val="decimal"/>
      <w:lvlText w:val="%1.%2"/>
      <w:lvlJc w:val="left"/>
      <w:pPr>
        <w:ind w:left="2160" w:hanging="72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680" w:hanging="1080"/>
      </w:pPr>
      <w:rPr>
        <w:rFonts w:hint="default"/>
      </w:rPr>
    </w:lvl>
    <w:lvl w:ilvl="4">
      <w:start w:val="1"/>
      <w:numFmt w:val="decimal"/>
      <w:lvlText w:val="%1.%2.%3.%4.%5"/>
      <w:lvlJc w:val="left"/>
      <w:pPr>
        <w:ind w:left="6120" w:hanging="1440"/>
      </w:pPr>
      <w:rPr>
        <w:rFonts w:hint="default"/>
      </w:rPr>
    </w:lvl>
    <w:lvl w:ilvl="5">
      <w:start w:val="1"/>
      <w:numFmt w:val="decimal"/>
      <w:lvlText w:val="%1.%2.%3.%4.%5.%6"/>
      <w:lvlJc w:val="left"/>
      <w:pPr>
        <w:ind w:left="7200" w:hanging="1440"/>
      </w:pPr>
      <w:rPr>
        <w:rFonts w:hint="default"/>
      </w:rPr>
    </w:lvl>
    <w:lvl w:ilvl="6">
      <w:start w:val="1"/>
      <w:numFmt w:val="decimal"/>
      <w:lvlText w:val="%1.%2.%3.%4.%5.%6.%7"/>
      <w:lvlJc w:val="left"/>
      <w:pPr>
        <w:ind w:left="8640" w:hanging="1800"/>
      </w:pPr>
      <w:rPr>
        <w:rFonts w:hint="default"/>
      </w:rPr>
    </w:lvl>
    <w:lvl w:ilvl="7">
      <w:start w:val="1"/>
      <w:numFmt w:val="decimal"/>
      <w:lvlText w:val="%1.%2.%3.%4.%5.%6.%7.%8"/>
      <w:lvlJc w:val="left"/>
      <w:pPr>
        <w:ind w:left="10080" w:hanging="2160"/>
      </w:pPr>
      <w:rPr>
        <w:rFonts w:hint="default"/>
      </w:rPr>
    </w:lvl>
    <w:lvl w:ilvl="8">
      <w:start w:val="1"/>
      <w:numFmt w:val="decimal"/>
      <w:lvlText w:val="%1.%2.%3.%4.%5.%6.%7.%8.%9"/>
      <w:lvlJc w:val="left"/>
      <w:pPr>
        <w:ind w:left="11160" w:hanging="2160"/>
      </w:pPr>
      <w:rPr>
        <w:rFonts w:hint="default"/>
      </w:rPr>
    </w:lvl>
  </w:abstractNum>
  <w:abstractNum w:abstractNumId="18" w15:restartNumberingAfterBreak="0">
    <w:nsid w:val="2C126C41"/>
    <w:multiLevelType w:val="multilevel"/>
    <w:tmpl w:val="A532FC8C"/>
    <w:lvl w:ilvl="0">
      <w:start w:val="2"/>
      <w:numFmt w:val="decimal"/>
      <w:lvlText w:val="%1"/>
      <w:lvlJc w:val="left"/>
      <w:pPr>
        <w:ind w:left="720" w:hanging="360"/>
      </w:pPr>
      <w:rPr>
        <w:rFonts w:hint="default"/>
      </w:rPr>
    </w:lvl>
    <w:lvl w:ilvl="1">
      <w:start w:val="2"/>
      <w:numFmt w:val="decimal"/>
      <w:lvlText w:val="%1.%2"/>
      <w:lvlJc w:val="left"/>
      <w:pPr>
        <w:ind w:left="2160" w:hanging="72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680" w:hanging="1080"/>
      </w:pPr>
      <w:rPr>
        <w:rFonts w:hint="default"/>
      </w:rPr>
    </w:lvl>
    <w:lvl w:ilvl="4">
      <w:start w:val="1"/>
      <w:numFmt w:val="decimal"/>
      <w:lvlText w:val="%1.%2.%3.%4.%5"/>
      <w:lvlJc w:val="left"/>
      <w:pPr>
        <w:ind w:left="6120" w:hanging="1440"/>
      </w:pPr>
      <w:rPr>
        <w:rFonts w:hint="default"/>
      </w:rPr>
    </w:lvl>
    <w:lvl w:ilvl="5">
      <w:start w:val="1"/>
      <w:numFmt w:val="decimal"/>
      <w:lvlText w:val="%1.%2.%3.%4.%5.%6"/>
      <w:lvlJc w:val="left"/>
      <w:pPr>
        <w:ind w:left="7200" w:hanging="1440"/>
      </w:pPr>
      <w:rPr>
        <w:rFonts w:hint="default"/>
      </w:rPr>
    </w:lvl>
    <w:lvl w:ilvl="6">
      <w:start w:val="1"/>
      <w:numFmt w:val="decimal"/>
      <w:lvlText w:val="%1.%2.%3.%4.%5.%6.%7"/>
      <w:lvlJc w:val="left"/>
      <w:pPr>
        <w:ind w:left="8640" w:hanging="1800"/>
      </w:pPr>
      <w:rPr>
        <w:rFonts w:hint="default"/>
      </w:rPr>
    </w:lvl>
    <w:lvl w:ilvl="7">
      <w:start w:val="1"/>
      <w:numFmt w:val="decimal"/>
      <w:lvlText w:val="%1.%2.%3.%4.%5.%6.%7.%8"/>
      <w:lvlJc w:val="left"/>
      <w:pPr>
        <w:ind w:left="10080" w:hanging="2160"/>
      </w:pPr>
      <w:rPr>
        <w:rFonts w:hint="default"/>
      </w:rPr>
    </w:lvl>
    <w:lvl w:ilvl="8">
      <w:start w:val="1"/>
      <w:numFmt w:val="decimal"/>
      <w:lvlText w:val="%1.%2.%3.%4.%5.%6.%7.%8.%9"/>
      <w:lvlJc w:val="left"/>
      <w:pPr>
        <w:ind w:left="11160" w:hanging="2160"/>
      </w:pPr>
      <w:rPr>
        <w:rFonts w:hint="default"/>
      </w:rPr>
    </w:lvl>
  </w:abstractNum>
  <w:abstractNum w:abstractNumId="19" w15:restartNumberingAfterBreak="0">
    <w:nsid w:val="2CE2036F"/>
    <w:multiLevelType w:val="hybridMultilevel"/>
    <w:tmpl w:val="08A286DC"/>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37BF6BDA"/>
    <w:multiLevelType w:val="hybridMultilevel"/>
    <w:tmpl w:val="F28C9474"/>
    <w:lvl w:ilvl="0" w:tplc="EB5A8836">
      <w:start w:val="2"/>
      <w:numFmt w:val="bullet"/>
      <w:lvlText w:val="-"/>
      <w:lvlJc w:val="left"/>
      <w:pPr>
        <w:ind w:left="720" w:hanging="360"/>
      </w:pPr>
      <w:rPr>
        <w:rFonts w:ascii="Calibri" w:eastAsiaTheme="minorHAns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15:restartNumberingAfterBreak="0">
    <w:nsid w:val="3F5F58F3"/>
    <w:multiLevelType w:val="multilevel"/>
    <w:tmpl w:val="53484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F817962"/>
    <w:multiLevelType w:val="hybridMultilevel"/>
    <w:tmpl w:val="E26E2E5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3" w15:restartNumberingAfterBreak="0">
    <w:nsid w:val="4AD92173"/>
    <w:multiLevelType w:val="multilevel"/>
    <w:tmpl w:val="FD8C9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0F8790C"/>
    <w:multiLevelType w:val="multilevel"/>
    <w:tmpl w:val="256ABD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53E67D8"/>
    <w:multiLevelType w:val="multilevel"/>
    <w:tmpl w:val="54024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56C6959"/>
    <w:multiLevelType w:val="multilevel"/>
    <w:tmpl w:val="ADF2892E"/>
    <w:lvl w:ilvl="0">
      <w:start w:val="1"/>
      <w:numFmt w:val="decimal"/>
      <w:lvlText w:val="%1.1"/>
      <w:lvlJc w:val="right"/>
      <w:pPr>
        <w:ind w:left="1068" w:hanging="360"/>
      </w:pPr>
      <w:rPr>
        <w:rFonts w:hint="default"/>
      </w:rPr>
    </w:lvl>
    <w:lvl w:ilvl="1">
      <w:start w:val="2"/>
      <w:numFmt w:val="decimal"/>
      <w:lvlText w:val="%1.%2"/>
      <w:lvlJc w:val="left"/>
      <w:pPr>
        <w:ind w:left="2508" w:hanging="720"/>
      </w:pPr>
      <w:rPr>
        <w:rFonts w:hint="default"/>
      </w:rPr>
    </w:lvl>
    <w:lvl w:ilvl="2">
      <w:start w:val="1"/>
      <w:numFmt w:val="decimal"/>
      <w:lvlText w:val="%1.%2.%3"/>
      <w:lvlJc w:val="left"/>
      <w:pPr>
        <w:ind w:left="3588" w:hanging="720"/>
      </w:pPr>
      <w:rPr>
        <w:rFonts w:hint="default"/>
      </w:rPr>
    </w:lvl>
    <w:lvl w:ilvl="3">
      <w:start w:val="1"/>
      <w:numFmt w:val="decimal"/>
      <w:lvlText w:val="%1.%2.%3.%4"/>
      <w:lvlJc w:val="left"/>
      <w:pPr>
        <w:ind w:left="5028" w:hanging="1080"/>
      </w:pPr>
      <w:rPr>
        <w:rFonts w:hint="default"/>
      </w:rPr>
    </w:lvl>
    <w:lvl w:ilvl="4">
      <w:start w:val="1"/>
      <w:numFmt w:val="decimal"/>
      <w:lvlText w:val="%1.%2.%3.%4.%5"/>
      <w:lvlJc w:val="left"/>
      <w:pPr>
        <w:ind w:left="6468" w:hanging="1440"/>
      </w:pPr>
      <w:rPr>
        <w:rFonts w:hint="default"/>
      </w:rPr>
    </w:lvl>
    <w:lvl w:ilvl="5">
      <w:start w:val="1"/>
      <w:numFmt w:val="decimal"/>
      <w:lvlText w:val="%1.%2.%3.%4.%5.%6"/>
      <w:lvlJc w:val="left"/>
      <w:pPr>
        <w:ind w:left="7548" w:hanging="1440"/>
      </w:pPr>
      <w:rPr>
        <w:rFonts w:hint="default"/>
      </w:rPr>
    </w:lvl>
    <w:lvl w:ilvl="6">
      <w:start w:val="1"/>
      <w:numFmt w:val="decimal"/>
      <w:lvlText w:val="%1.%2.%3.%4.%5.%6.%7"/>
      <w:lvlJc w:val="left"/>
      <w:pPr>
        <w:ind w:left="8988" w:hanging="1800"/>
      </w:pPr>
      <w:rPr>
        <w:rFonts w:hint="default"/>
      </w:rPr>
    </w:lvl>
    <w:lvl w:ilvl="7">
      <w:start w:val="1"/>
      <w:numFmt w:val="decimal"/>
      <w:lvlText w:val="%1.%2.%3.%4.%5.%6.%7.%8"/>
      <w:lvlJc w:val="left"/>
      <w:pPr>
        <w:ind w:left="10428" w:hanging="2160"/>
      </w:pPr>
      <w:rPr>
        <w:rFonts w:hint="default"/>
      </w:rPr>
    </w:lvl>
    <w:lvl w:ilvl="8">
      <w:start w:val="1"/>
      <w:numFmt w:val="decimal"/>
      <w:lvlText w:val="%1.%2.%3.%4.%5.%6.%7.%8.%9"/>
      <w:lvlJc w:val="left"/>
      <w:pPr>
        <w:ind w:left="11508" w:hanging="2160"/>
      </w:pPr>
      <w:rPr>
        <w:rFonts w:hint="default"/>
      </w:rPr>
    </w:lvl>
  </w:abstractNum>
  <w:abstractNum w:abstractNumId="27" w15:restartNumberingAfterBreak="0">
    <w:nsid w:val="57FF2699"/>
    <w:multiLevelType w:val="hybridMultilevel"/>
    <w:tmpl w:val="F0244FBA"/>
    <w:lvl w:ilvl="0" w:tplc="040C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95D16B5"/>
    <w:multiLevelType w:val="hybridMultilevel"/>
    <w:tmpl w:val="BCD26314"/>
    <w:lvl w:ilvl="0" w:tplc="2000001B">
      <w:start w:val="1"/>
      <w:numFmt w:val="lowerRoman"/>
      <w:lvlText w:val="%1."/>
      <w:lvlJc w:val="righ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9" w15:restartNumberingAfterBreak="0">
    <w:nsid w:val="5BB02E3C"/>
    <w:multiLevelType w:val="hybridMultilevel"/>
    <w:tmpl w:val="529A6248"/>
    <w:lvl w:ilvl="0" w:tplc="A8F2D19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0A13A31"/>
    <w:multiLevelType w:val="multilevel"/>
    <w:tmpl w:val="39EEC6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58E45C4"/>
    <w:multiLevelType w:val="multilevel"/>
    <w:tmpl w:val="6FDE0992"/>
    <w:lvl w:ilvl="0">
      <w:start w:val="2"/>
      <w:numFmt w:val="decimal"/>
      <w:lvlText w:val="%1"/>
      <w:lvlJc w:val="left"/>
      <w:pPr>
        <w:ind w:left="360" w:hanging="360"/>
      </w:pPr>
      <w:rPr>
        <w:rFonts w:hint="default"/>
      </w:rPr>
    </w:lvl>
    <w:lvl w:ilvl="1">
      <w:start w:val="2"/>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4272" w:hanging="144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7824" w:hanging="2160"/>
      </w:pPr>
      <w:rPr>
        <w:rFonts w:hint="default"/>
      </w:rPr>
    </w:lvl>
  </w:abstractNum>
  <w:abstractNum w:abstractNumId="32" w15:restartNumberingAfterBreak="0">
    <w:nsid w:val="659E1DD0"/>
    <w:multiLevelType w:val="multilevel"/>
    <w:tmpl w:val="BD88BE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CC04AFF"/>
    <w:multiLevelType w:val="hybridMultilevel"/>
    <w:tmpl w:val="73D67E46"/>
    <w:lvl w:ilvl="0" w:tplc="125EF512">
      <w:numFmt w:val="bullet"/>
      <w:lvlText w:val="-"/>
      <w:lvlJc w:val="left"/>
      <w:pPr>
        <w:ind w:left="720" w:hanging="360"/>
      </w:pPr>
      <w:rPr>
        <w:rFonts w:ascii="Verdana" w:eastAsiaTheme="minorHAnsi" w:hAnsi="Verdana"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6E480E7E"/>
    <w:multiLevelType w:val="multilevel"/>
    <w:tmpl w:val="B21C800A"/>
    <w:lvl w:ilvl="0">
      <w:start w:val="1"/>
      <w:numFmt w:val="bullet"/>
      <w:lvlText w:val=""/>
      <w:lvlJc w:val="left"/>
      <w:pPr>
        <w:tabs>
          <w:tab w:val="num" w:pos="720"/>
        </w:tabs>
        <w:ind w:left="720" w:hanging="360"/>
      </w:pPr>
      <w:rPr>
        <w:rFonts w:ascii="Symbol" w:hAnsi="Symbol" w:hint="default"/>
        <w:sz w:val="20"/>
      </w:rPr>
    </w:lvl>
    <w:lvl w:ilvl="1">
      <w:start w:val="40"/>
      <w:numFmt w:val="bullet"/>
      <w:lvlText w:val="-"/>
      <w:lvlJc w:val="left"/>
      <w:pPr>
        <w:ind w:left="1440" w:hanging="360"/>
      </w:pPr>
      <w:rPr>
        <w:rFonts w:ascii="Arial" w:eastAsia="Calibri" w:hAnsi="Arial" w:cs="Arial"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04901C6"/>
    <w:multiLevelType w:val="hybridMultilevel"/>
    <w:tmpl w:val="82D21E3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6" w15:restartNumberingAfterBreak="0">
    <w:nsid w:val="780F3C6E"/>
    <w:multiLevelType w:val="hybridMultilevel"/>
    <w:tmpl w:val="F1583D42"/>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7A8459C0"/>
    <w:multiLevelType w:val="multilevel"/>
    <w:tmpl w:val="BE1A9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B8F0165"/>
    <w:multiLevelType w:val="hybridMultilevel"/>
    <w:tmpl w:val="1750A400"/>
    <w:lvl w:ilvl="0" w:tplc="040C0017">
      <w:start w:val="1"/>
      <w:numFmt w:val="lowerLetter"/>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15:restartNumberingAfterBreak="0">
    <w:nsid w:val="7EE85836"/>
    <w:multiLevelType w:val="multilevel"/>
    <w:tmpl w:val="B1126C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65043321">
    <w:abstractNumId w:val="11"/>
  </w:num>
  <w:num w:numId="2" w16cid:durableId="1176194741">
    <w:abstractNumId w:val="29"/>
  </w:num>
  <w:num w:numId="3" w16cid:durableId="1100371679">
    <w:abstractNumId w:val="4"/>
  </w:num>
  <w:num w:numId="4" w16cid:durableId="631909020">
    <w:abstractNumId w:val="2"/>
  </w:num>
  <w:num w:numId="5" w16cid:durableId="86312178">
    <w:abstractNumId w:val="27"/>
  </w:num>
  <w:num w:numId="6" w16cid:durableId="1929193516">
    <w:abstractNumId w:val="7"/>
  </w:num>
  <w:num w:numId="7" w16cid:durableId="824392916">
    <w:abstractNumId w:val="15"/>
  </w:num>
  <w:num w:numId="8" w16cid:durableId="48650080">
    <w:abstractNumId w:val="4"/>
    <w:lvlOverride w:ilvl="0">
      <w:startOverride w:val="1"/>
    </w:lvlOverride>
  </w:num>
  <w:num w:numId="9" w16cid:durableId="456534952">
    <w:abstractNumId w:val="3"/>
  </w:num>
  <w:num w:numId="10" w16cid:durableId="63526095">
    <w:abstractNumId w:val="35"/>
  </w:num>
  <w:num w:numId="11" w16cid:durableId="1556158772">
    <w:abstractNumId w:val="8"/>
  </w:num>
  <w:num w:numId="12" w16cid:durableId="1213496681">
    <w:abstractNumId w:val="38"/>
  </w:num>
  <w:num w:numId="13" w16cid:durableId="1392121756">
    <w:abstractNumId w:val="28"/>
  </w:num>
  <w:num w:numId="14" w16cid:durableId="635918583">
    <w:abstractNumId w:val="12"/>
  </w:num>
  <w:num w:numId="15" w16cid:durableId="1702852697">
    <w:abstractNumId w:val="37"/>
  </w:num>
  <w:num w:numId="16" w16cid:durableId="240410811">
    <w:abstractNumId w:val="24"/>
  </w:num>
  <w:num w:numId="17" w16cid:durableId="1846166452">
    <w:abstractNumId w:val="30"/>
  </w:num>
  <w:num w:numId="18" w16cid:durableId="566495533">
    <w:abstractNumId w:val="32"/>
  </w:num>
  <w:num w:numId="19" w16cid:durableId="1976904914">
    <w:abstractNumId w:val="34"/>
  </w:num>
  <w:num w:numId="20" w16cid:durableId="864714738">
    <w:abstractNumId w:val="9"/>
  </w:num>
  <w:num w:numId="21" w16cid:durableId="440683876">
    <w:abstractNumId w:val="5"/>
  </w:num>
  <w:num w:numId="22" w16cid:durableId="285041067">
    <w:abstractNumId w:val="23"/>
  </w:num>
  <w:num w:numId="23" w16cid:durableId="1644773363">
    <w:abstractNumId w:val="13"/>
  </w:num>
  <w:num w:numId="24" w16cid:durableId="622734283">
    <w:abstractNumId w:val="39"/>
  </w:num>
  <w:num w:numId="25" w16cid:durableId="184907241">
    <w:abstractNumId w:val="14"/>
  </w:num>
  <w:num w:numId="26" w16cid:durableId="776867984">
    <w:abstractNumId w:val="34"/>
  </w:num>
  <w:num w:numId="27" w16cid:durableId="507403211">
    <w:abstractNumId w:val="21"/>
  </w:num>
  <w:num w:numId="28" w16cid:durableId="1104837289">
    <w:abstractNumId w:val="16"/>
  </w:num>
  <w:num w:numId="29" w16cid:durableId="196813944">
    <w:abstractNumId w:val="1"/>
  </w:num>
  <w:num w:numId="30" w16cid:durableId="1864707816">
    <w:abstractNumId w:val="25"/>
  </w:num>
  <w:num w:numId="31" w16cid:durableId="450905648">
    <w:abstractNumId w:val="20"/>
  </w:num>
  <w:num w:numId="32" w16cid:durableId="1238899678">
    <w:abstractNumId w:val="0"/>
  </w:num>
  <w:num w:numId="33" w16cid:durableId="1482236249">
    <w:abstractNumId w:val="6"/>
  </w:num>
  <w:num w:numId="34" w16cid:durableId="1605839330">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31165502">
    <w:abstractNumId w:val="17"/>
  </w:num>
  <w:num w:numId="36" w16cid:durableId="1466924184">
    <w:abstractNumId w:val="18"/>
  </w:num>
  <w:num w:numId="37" w16cid:durableId="1361510655">
    <w:abstractNumId w:val="26"/>
  </w:num>
  <w:num w:numId="38" w16cid:durableId="987050995">
    <w:abstractNumId w:val="31"/>
  </w:num>
  <w:num w:numId="39" w16cid:durableId="715079652">
    <w:abstractNumId w:val="22"/>
  </w:num>
  <w:num w:numId="40" w16cid:durableId="37751217">
    <w:abstractNumId w:val="36"/>
  </w:num>
  <w:num w:numId="41" w16cid:durableId="1371147974">
    <w:abstractNumId w:val="19"/>
  </w:num>
  <w:num w:numId="42" w16cid:durableId="1107896430">
    <w:abstractNumId w:val="10"/>
  </w:num>
  <w:num w:numId="43" w16cid:durableId="582642451">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683"/>
    <w:rsid w:val="00007C0D"/>
    <w:rsid w:val="00010733"/>
    <w:rsid w:val="00030055"/>
    <w:rsid w:val="00034039"/>
    <w:rsid w:val="000373B2"/>
    <w:rsid w:val="00041EF1"/>
    <w:rsid w:val="00042CF5"/>
    <w:rsid w:val="00044881"/>
    <w:rsid w:val="00044EA0"/>
    <w:rsid w:val="0004623D"/>
    <w:rsid w:val="00053332"/>
    <w:rsid w:val="00060CA0"/>
    <w:rsid w:val="00063A26"/>
    <w:rsid w:val="00064112"/>
    <w:rsid w:val="00066EA5"/>
    <w:rsid w:val="00067DB8"/>
    <w:rsid w:val="00067EF8"/>
    <w:rsid w:val="000764B8"/>
    <w:rsid w:val="0008468B"/>
    <w:rsid w:val="0009169C"/>
    <w:rsid w:val="00091854"/>
    <w:rsid w:val="00094A39"/>
    <w:rsid w:val="000A1C5B"/>
    <w:rsid w:val="000A25F7"/>
    <w:rsid w:val="000A468A"/>
    <w:rsid w:val="000A4D12"/>
    <w:rsid w:val="000A6419"/>
    <w:rsid w:val="000A7D34"/>
    <w:rsid w:val="000B003A"/>
    <w:rsid w:val="000B0FBD"/>
    <w:rsid w:val="000B2248"/>
    <w:rsid w:val="000C5565"/>
    <w:rsid w:val="000C55C8"/>
    <w:rsid w:val="000C5B5D"/>
    <w:rsid w:val="000E55D5"/>
    <w:rsid w:val="000F4728"/>
    <w:rsid w:val="000F5764"/>
    <w:rsid w:val="001008CE"/>
    <w:rsid w:val="00107D9D"/>
    <w:rsid w:val="001230C6"/>
    <w:rsid w:val="001348F9"/>
    <w:rsid w:val="00142168"/>
    <w:rsid w:val="001426C5"/>
    <w:rsid w:val="001545C3"/>
    <w:rsid w:val="00160093"/>
    <w:rsid w:val="00164BA3"/>
    <w:rsid w:val="00170975"/>
    <w:rsid w:val="0018252D"/>
    <w:rsid w:val="00192D7D"/>
    <w:rsid w:val="00192E92"/>
    <w:rsid w:val="00196611"/>
    <w:rsid w:val="0019700C"/>
    <w:rsid w:val="001A3F64"/>
    <w:rsid w:val="001A56F1"/>
    <w:rsid w:val="001B001D"/>
    <w:rsid w:val="001B0E0E"/>
    <w:rsid w:val="001B3465"/>
    <w:rsid w:val="001B4372"/>
    <w:rsid w:val="001B4738"/>
    <w:rsid w:val="001C6E05"/>
    <w:rsid w:val="001C76E9"/>
    <w:rsid w:val="001D68C3"/>
    <w:rsid w:val="001E2C90"/>
    <w:rsid w:val="001F1D18"/>
    <w:rsid w:val="001F4792"/>
    <w:rsid w:val="001F526D"/>
    <w:rsid w:val="001F6415"/>
    <w:rsid w:val="00212CDB"/>
    <w:rsid w:val="00223B4A"/>
    <w:rsid w:val="00231929"/>
    <w:rsid w:val="00233FE5"/>
    <w:rsid w:val="002428FC"/>
    <w:rsid w:val="00242DA5"/>
    <w:rsid w:val="00263B60"/>
    <w:rsid w:val="00272A3A"/>
    <w:rsid w:val="00283F72"/>
    <w:rsid w:val="002844BC"/>
    <w:rsid w:val="00285732"/>
    <w:rsid w:val="002A0933"/>
    <w:rsid w:val="002A096E"/>
    <w:rsid w:val="002A0B29"/>
    <w:rsid w:val="002B0B17"/>
    <w:rsid w:val="002C0A65"/>
    <w:rsid w:val="002C1DFC"/>
    <w:rsid w:val="002C56ED"/>
    <w:rsid w:val="002C678D"/>
    <w:rsid w:val="002D4404"/>
    <w:rsid w:val="002E69EF"/>
    <w:rsid w:val="002F1700"/>
    <w:rsid w:val="002F200D"/>
    <w:rsid w:val="002F2713"/>
    <w:rsid w:val="002F418A"/>
    <w:rsid w:val="002F6864"/>
    <w:rsid w:val="003117B0"/>
    <w:rsid w:val="00311C03"/>
    <w:rsid w:val="00312D35"/>
    <w:rsid w:val="00317476"/>
    <w:rsid w:val="00333C4E"/>
    <w:rsid w:val="00356E5D"/>
    <w:rsid w:val="0035755A"/>
    <w:rsid w:val="0035757E"/>
    <w:rsid w:val="003604B9"/>
    <w:rsid w:val="0036454C"/>
    <w:rsid w:val="0036468B"/>
    <w:rsid w:val="00372F54"/>
    <w:rsid w:val="00374A05"/>
    <w:rsid w:val="003772FB"/>
    <w:rsid w:val="00391152"/>
    <w:rsid w:val="00393189"/>
    <w:rsid w:val="003A2FD2"/>
    <w:rsid w:val="003A45D5"/>
    <w:rsid w:val="003B3728"/>
    <w:rsid w:val="003C0E7D"/>
    <w:rsid w:val="003C2538"/>
    <w:rsid w:val="003C6269"/>
    <w:rsid w:val="003D00D4"/>
    <w:rsid w:val="003D485F"/>
    <w:rsid w:val="003D5328"/>
    <w:rsid w:val="003E3B90"/>
    <w:rsid w:val="003F2E00"/>
    <w:rsid w:val="00402759"/>
    <w:rsid w:val="00410445"/>
    <w:rsid w:val="0041278C"/>
    <w:rsid w:val="00417683"/>
    <w:rsid w:val="00426673"/>
    <w:rsid w:val="00441908"/>
    <w:rsid w:val="004479C2"/>
    <w:rsid w:val="00447BA4"/>
    <w:rsid w:val="00450710"/>
    <w:rsid w:val="004607F7"/>
    <w:rsid w:val="0046236C"/>
    <w:rsid w:val="0046340E"/>
    <w:rsid w:val="0046436C"/>
    <w:rsid w:val="0046677B"/>
    <w:rsid w:val="0046733F"/>
    <w:rsid w:val="00471283"/>
    <w:rsid w:val="004802EC"/>
    <w:rsid w:val="00481714"/>
    <w:rsid w:val="004844F5"/>
    <w:rsid w:val="00485E74"/>
    <w:rsid w:val="0049188F"/>
    <w:rsid w:val="004A1630"/>
    <w:rsid w:val="004A2C7D"/>
    <w:rsid w:val="004A6245"/>
    <w:rsid w:val="004A6589"/>
    <w:rsid w:val="004B0CE3"/>
    <w:rsid w:val="004B2244"/>
    <w:rsid w:val="004B2607"/>
    <w:rsid w:val="004B2DB4"/>
    <w:rsid w:val="004B5413"/>
    <w:rsid w:val="004B70AF"/>
    <w:rsid w:val="004C0DE0"/>
    <w:rsid w:val="004C0F7C"/>
    <w:rsid w:val="004C142A"/>
    <w:rsid w:val="004C175F"/>
    <w:rsid w:val="004C4BCA"/>
    <w:rsid w:val="004C523C"/>
    <w:rsid w:val="004C5F24"/>
    <w:rsid w:val="004C6F44"/>
    <w:rsid w:val="004C76BC"/>
    <w:rsid w:val="004D36B8"/>
    <w:rsid w:val="004D38E3"/>
    <w:rsid w:val="004E03AF"/>
    <w:rsid w:val="004E4ED4"/>
    <w:rsid w:val="004F5163"/>
    <w:rsid w:val="004F552A"/>
    <w:rsid w:val="004F5C4B"/>
    <w:rsid w:val="00503F75"/>
    <w:rsid w:val="00512963"/>
    <w:rsid w:val="005177D7"/>
    <w:rsid w:val="00517FAD"/>
    <w:rsid w:val="0053773D"/>
    <w:rsid w:val="00541692"/>
    <w:rsid w:val="00544643"/>
    <w:rsid w:val="00545C19"/>
    <w:rsid w:val="0056130F"/>
    <w:rsid w:val="00562061"/>
    <w:rsid w:val="00563070"/>
    <w:rsid w:val="0057223F"/>
    <w:rsid w:val="00574804"/>
    <w:rsid w:val="00574850"/>
    <w:rsid w:val="005765B3"/>
    <w:rsid w:val="0058246B"/>
    <w:rsid w:val="0058278C"/>
    <w:rsid w:val="00585E10"/>
    <w:rsid w:val="00595D7D"/>
    <w:rsid w:val="005A0A2D"/>
    <w:rsid w:val="005A6F7B"/>
    <w:rsid w:val="005B069C"/>
    <w:rsid w:val="005B6F79"/>
    <w:rsid w:val="005C7149"/>
    <w:rsid w:val="005D0C73"/>
    <w:rsid w:val="005D1AA4"/>
    <w:rsid w:val="005D6471"/>
    <w:rsid w:val="005E3D2C"/>
    <w:rsid w:val="005E6AC5"/>
    <w:rsid w:val="005F0104"/>
    <w:rsid w:val="005F12D6"/>
    <w:rsid w:val="005F388A"/>
    <w:rsid w:val="005F5357"/>
    <w:rsid w:val="006020C8"/>
    <w:rsid w:val="00607B79"/>
    <w:rsid w:val="00620B90"/>
    <w:rsid w:val="00631F3A"/>
    <w:rsid w:val="00633882"/>
    <w:rsid w:val="006356AF"/>
    <w:rsid w:val="00635C3E"/>
    <w:rsid w:val="0064204B"/>
    <w:rsid w:val="00652314"/>
    <w:rsid w:val="00653209"/>
    <w:rsid w:val="006548BF"/>
    <w:rsid w:val="006576F0"/>
    <w:rsid w:val="006603E8"/>
    <w:rsid w:val="00660504"/>
    <w:rsid w:val="00660D2C"/>
    <w:rsid w:val="0066140F"/>
    <w:rsid w:val="00662D68"/>
    <w:rsid w:val="006631BA"/>
    <w:rsid w:val="00676757"/>
    <w:rsid w:val="00684AC6"/>
    <w:rsid w:val="00694E1B"/>
    <w:rsid w:val="0069541B"/>
    <w:rsid w:val="006A04FB"/>
    <w:rsid w:val="006A6640"/>
    <w:rsid w:val="006B7BD8"/>
    <w:rsid w:val="006C1D65"/>
    <w:rsid w:val="006C59F0"/>
    <w:rsid w:val="006C6360"/>
    <w:rsid w:val="006E069C"/>
    <w:rsid w:val="006E2CEC"/>
    <w:rsid w:val="006E2D84"/>
    <w:rsid w:val="006E2D9E"/>
    <w:rsid w:val="006E4C36"/>
    <w:rsid w:val="006F301F"/>
    <w:rsid w:val="006F6561"/>
    <w:rsid w:val="00706219"/>
    <w:rsid w:val="0071688D"/>
    <w:rsid w:val="007250D1"/>
    <w:rsid w:val="00747523"/>
    <w:rsid w:val="007509B5"/>
    <w:rsid w:val="007510AF"/>
    <w:rsid w:val="00766014"/>
    <w:rsid w:val="00767632"/>
    <w:rsid w:val="00777E9D"/>
    <w:rsid w:val="00782050"/>
    <w:rsid w:val="00792184"/>
    <w:rsid w:val="00794C40"/>
    <w:rsid w:val="00795657"/>
    <w:rsid w:val="007A4525"/>
    <w:rsid w:val="007A5192"/>
    <w:rsid w:val="007A5324"/>
    <w:rsid w:val="007A5989"/>
    <w:rsid w:val="007B245C"/>
    <w:rsid w:val="007C41E3"/>
    <w:rsid w:val="007C78FC"/>
    <w:rsid w:val="007D17E0"/>
    <w:rsid w:val="007D322E"/>
    <w:rsid w:val="007E1B40"/>
    <w:rsid w:val="007F1FE0"/>
    <w:rsid w:val="007F3DC6"/>
    <w:rsid w:val="00803090"/>
    <w:rsid w:val="00816DAC"/>
    <w:rsid w:val="0083290E"/>
    <w:rsid w:val="00832C1F"/>
    <w:rsid w:val="0083389F"/>
    <w:rsid w:val="008421DA"/>
    <w:rsid w:val="00843FF2"/>
    <w:rsid w:val="008453AB"/>
    <w:rsid w:val="0085326F"/>
    <w:rsid w:val="00854EEA"/>
    <w:rsid w:val="008551DA"/>
    <w:rsid w:val="00855D05"/>
    <w:rsid w:val="00872468"/>
    <w:rsid w:val="0088117C"/>
    <w:rsid w:val="008A07CA"/>
    <w:rsid w:val="008C117C"/>
    <w:rsid w:val="008C1764"/>
    <w:rsid w:val="008C4EF3"/>
    <w:rsid w:val="008D193F"/>
    <w:rsid w:val="008D553D"/>
    <w:rsid w:val="008D6ECC"/>
    <w:rsid w:val="008E3F3D"/>
    <w:rsid w:val="008E7DC9"/>
    <w:rsid w:val="008F173C"/>
    <w:rsid w:val="008F4ED5"/>
    <w:rsid w:val="008F525A"/>
    <w:rsid w:val="008F7BB3"/>
    <w:rsid w:val="00903F3D"/>
    <w:rsid w:val="00904CCC"/>
    <w:rsid w:val="0090564D"/>
    <w:rsid w:val="00912454"/>
    <w:rsid w:val="00922091"/>
    <w:rsid w:val="0092665B"/>
    <w:rsid w:val="00927CB6"/>
    <w:rsid w:val="00944510"/>
    <w:rsid w:val="00947299"/>
    <w:rsid w:val="0095433F"/>
    <w:rsid w:val="00954A13"/>
    <w:rsid w:val="00955BB3"/>
    <w:rsid w:val="00967284"/>
    <w:rsid w:val="0098125E"/>
    <w:rsid w:val="00986EB4"/>
    <w:rsid w:val="009876A2"/>
    <w:rsid w:val="00995F00"/>
    <w:rsid w:val="009A0E48"/>
    <w:rsid w:val="009A38AD"/>
    <w:rsid w:val="009A5BAA"/>
    <w:rsid w:val="009A683E"/>
    <w:rsid w:val="009A774B"/>
    <w:rsid w:val="009C4BB8"/>
    <w:rsid w:val="009C632C"/>
    <w:rsid w:val="009D0591"/>
    <w:rsid w:val="009D6F31"/>
    <w:rsid w:val="009E2ACE"/>
    <w:rsid w:val="009E7353"/>
    <w:rsid w:val="009F702D"/>
    <w:rsid w:val="00A148A1"/>
    <w:rsid w:val="00A21494"/>
    <w:rsid w:val="00A24371"/>
    <w:rsid w:val="00A33D1F"/>
    <w:rsid w:val="00A36C09"/>
    <w:rsid w:val="00A37C9F"/>
    <w:rsid w:val="00A5154C"/>
    <w:rsid w:val="00A56278"/>
    <w:rsid w:val="00A6045A"/>
    <w:rsid w:val="00A63761"/>
    <w:rsid w:val="00A65E68"/>
    <w:rsid w:val="00A70123"/>
    <w:rsid w:val="00A703B8"/>
    <w:rsid w:val="00A71CB7"/>
    <w:rsid w:val="00A721A4"/>
    <w:rsid w:val="00A76B07"/>
    <w:rsid w:val="00A81B98"/>
    <w:rsid w:val="00A83378"/>
    <w:rsid w:val="00A90305"/>
    <w:rsid w:val="00A96F08"/>
    <w:rsid w:val="00AA00A6"/>
    <w:rsid w:val="00AA2D7D"/>
    <w:rsid w:val="00AA5591"/>
    <w:rsid w:val="00AA63A3"/>
    <w:rsid w:val="00AA6579"/>
    <w:rsid w:val="00AB4937"/>
    <w:rsid w:val="00AB4BA8"/>
    <w:rsid w:val="00AB5EB7"/>
    <w:rsid w:val="00AC2560"/>
    <w:rsid w:val="00AC383F"/>
    <w:rsid w:val="00AC5AB1"/>
    <w:rsid w:val="00AD0B82"/>
    <w:rsid w:val="00AD4D97"/>
    <w:rsid w:val="00AD7ACB"/>
    <w:rsid w:val="00AE2453"/>
    <w:rsid w:val="00AE697D"/>
    <w:rsid w:val="00AF183F"/>
    <w:rsid w:val="00AF5151"/>
    <w:rsid w:val="00B059A7"/>
    <w:rsid w:val="00B05DFC"/>
    <w:rsid w:val="00B079E8"/>
    <w:rsid w:val="00B20098"/>
    <w:rsid w:val="00B21542"/>
    <w:rsid w:val="00B35B5B"/>
    <w:rsid w:val="00B36EEA"/>
    <w:rsid w:val="00B82A77"/>
    <w:rsid w:val="00BA1C2D"/>
    <w:rsid w:val="00BA4B55"/>
    <w:rsid w:val="00BA7016"/>
    <w:rsid w:val="00BB3CF8"/>
    <w:rsid w:val="00BC2518"/>
    <w:rsid w:val="00BD07F2"/>
    <w:rsid w:val="00BD0DB8"/>
    <w:rsid w:val="00BD5C0C"/>
    <w:rsid w:val="00BE2480"/>
    <w:rsid w:val="00BE2C8B"/>
    <w:rsid w:val="00BE6425"/>
    <w:rsid w:val="00BF008A"/>
    <w:rsid w:val="00BF0D69"/>
    <w:rsid w:val="00BF5DB2"/>
    <w:rsid w:val="00BF7606"/>
    <w:rsid w:val="00C1239E"/>
    <w:rsid w:val="00C12C93"/>
    <w:rsid w:val="00C2272F"/>
    <w:rsid w:val="00C24EFC"/>
    <w:rsid w:val="00C26FCF"/>
    <w:rsid w:val="00C325F5"/>
    <w:rsid w:val="00C4168B"/>
    <w:rsid w:val="00C42131"/>
    <w:rsid w:val="00C457E8"/>
    <w:rsid w:val="00C50211"/>
    <w:rsid w:val="00C609B9"/>
    <w:rsid w:val="00C737A0"/>
    <w:rsid w:val="00C75559"/>
    <w:rsid w:val="00C77081"/>
    <w:rsid w:val="00C86AD5"/>
    <w:rsid w:val="00C90F13"/>
    <w:rsid w:val="00CA4066"/>
    <w:rsid w:val="00CA7968"/>
    <w:rsid w:val="00CB799B"/>
    <w:rsid w:val="00CC33B6"/>
    <w:rsid w:val="00CE2386"/>
    <w:rsid w:val="00CE7F2B"/>
    <w:rsid w:val="00D04C90"/>
    <w:rsid w:val="00D0565B"/>
    <w:rsid w:val="00D0727A"/>
    <w:rsid w:val="00D12664"/>
    <w:rsid w:val="00D15717"/>
    <w:rsid w:val="00D21413"/>
    <w:rsid w:val="00D3088D"/>
    <w:rsid w:val="00D355F5"/>
    <w:rsid w:val="00D5356A"/>
    <w:rsid w:val="00D5627F"/>
    <w:rsid w:val="00D5628A"/>
    <w:rsid w:val="00D6017B"/>
    <w:rsid w:val="00D611CC"/>
    <w:rsid w:val="00D6356F"/>
    <w:rsid w:val="00D67EF2"/>
    <w:rsid w:val="00D83756"/>
    <w:rsid w:val="00D8654C"/>
    <w:rsid w:val="00DA1031"/>
    <w:rsid w:val="00DA1100"/>
    <w:rsid w:val="00DA4FD1"/>
    <w:rsid w:val="00DB04B3"/>
    <w:rsid w:val="00DB6870"/>
    <w:rsid w:val="00DB7758"/>
    <w:rsid w:val="00DC75E1"/>
    <w:rsid w:val="00DD1EBC"/>
    <w:rsid w:val="00DF44D3"/>
    <w:rsid w:val="00DF48CE"/>
    <w:rsid w:val="00DF6C74"/>
    <w:rsid w:val="00E03AAE"/>
    <w:rsid w:val="00E1355B"/>
    <w:rsid w:val="00E23ABF"/>
    <w:rsid w:val="00E2552A"/>
    <w:rsid w:val="00E323D0"/>
    <w:rsid w:val="00E32408"/>
    <w:rsid w:val="00E33CCE"/>
    <w:rsid w:val="00E61263"/>
    <w:rsid w:val="00E62BAA"/>
    <w:rsid w:val="00E64167"/>
    <w:rsid w:val="00E70539"/>
    <w:rsid w:val="00E842C8"/>
    <w:rsid w:val="00E845D4"/>
    <w:rsid w:val="00E90BAB"/>
    <w:rsid w:val="00E91529"/>
    <w:rsid w:val="00E94DA0"/>
    <w:rsid w:val="00EB399E"/>
    <w:rsid w:val="00EB49A1"/>
    <w:rsid w:val="00EC182B"/>
    <w:rsid w:val="00EC22CC"/>
    <w:rsid w:val="00EC6B57"/>
    <w:rsid w:val="00ED281A"/>
    <w:rsid w:val="00ED4155"/>
    <w:rsid w:val="00ED6B69"/>
    <w:rsid w:val="00EE0F54"/>
    <w:rsid w:val="00EE34F4"/>
    <w:rsid w:val="00EE649B"/>
    <w:rsid w:val="00EF21EE"/>
    <w:rsid w:val="00EF22A4"/>
    <w:rsid w:val="00EF3F01"/>
    <w:rsid w:val="00F0054F"/>
    <w:rsid w:val="00F03068"/>
    <w:rsid w:val="00F1259B"/>
    <w:rsid w:val="00F20173"/>
    <w:rsid w:val="00F20B92"/>
    <w:rsid w:val="00F272B6"/>
    <w:rsid w:val="00F368BA"/>
    <w:rsid w:val="00F3706C"/>
    <w:rsid w:val="00F4131A"/>
    <w:rsid w:val="00F42839"/>
    <w:rsid w:val="00F54EA0"/>
    <w:rsid w:val="00F67B89"/>
    <w:rsid w:val="00F70A04"/>
    <w:rsid w:val="00F733CB"/>
    <w:rsid w:val="00F735E0"/>
    <w:rsid w:val="00F75933"/>
    <w:rsid w:val="00F825DF"/>
    <w:rsid w:val="00F867A3"/>
    <w:rsid w:val="00F96EE9"/>
    <w:rsid w:val="00FA65B5"/>
    <w:rsid w:val="00FB39E4"/>
    <w:rsid w:val="00FB46B9"/>
    <w:rsid w:val="00FB6D8D"/>
    <w:rsid w:val="00FC097A"/>
    <w:rsid w:val="00FD2728"/>
    <w:rsid w:val="00FD5612"/>
    <w:rsid w:val="00FD68F1"/>
    <w:rsid w:val="00FE25AF"/>
    <w:rsid w:val="00FE285D"/>
    <w:rsid w:val="00FE7D7C"/>
    <w:rsid w:val="00FF0CA0"/>
    <w:rsid w:val="00FF554E"/>
    <w:rsid w:val="0C2C54BE"/>
    <w:rsid w:val="0C4444D8"/>
    <w:rsid w:val="11BCC04E"/>
    <w:rsid w:val="11F5B2B5"/>
    <w:rsid w:val="13B04899"/>
    <w:rsid w:val="1921A234"/>
    <w:rsid w:val="22B35229"/>
    <w:rsid w:val="2851F871"/>
    <w:rsid w:val="2DC828AB"/>
    <w:rsid w:val="308021FB"/>
    <w:rsid w:val="30A8384F"/>
    <w:rsid w:val="3AC1DF4F"/>
    <w:rsid w:val="3B9ADC94"/>
    <w:rsid w:val="3DEDEAB5"/>
    <w:rsid w:val="43715095"/>
    <w:rsid w:val="440F40E3"/>
    <w:rsid w:val="48E92840"/>
    <w:rsid w:val="4BB5416A"/>
    <w:rsid w:val="50ABA7A2"/>
    <w:rsid w:val="5186A529"/>
    <w:rsid w:val="53E8F8EF"/>
    <w:rsid w:val="57A4EC77"/>
    <w:rsid w:val="58AD63E9"/>
    <w:rsid w:val="594DF15C"/>
    <w:rsid w:val="5E730F7C"/>
    <w:rsid w:val="61397123"/>
    <w:rsid w:val="62B02EBF"/>
    <w:rsid w:val="6389D2CF"/>
    <w:rsid w:val="661A671C"/>
    <w:rsid w:val="671230B9"/>
    <w:rsid w:val="6BF89F4D"/>
    <w:rsid w:val="6C7B6F50"/>
    <w:rsid w:val="6CCC6CA8"/>
    <w:rsid w:val="6F573101"/>
    <w:rsid w:val="6FC7D02C"/>
    <w:rsid w:val="70833367"/>
    <w:rsid w:val="725D4E10"/>
    <w:rsid w:val="7480C5F8"/>
    <w:rsid w:val="775100AC"/>
    <w:rsid w:val="78E4346E"/>
    <w:rsid w:val="7BC3A74F"/>
    <w:rsid w:val="7C144327"/>
    <w:rsid w:val="7F2F4FF7"/>
    <w:rsid w:val="7FBE4E68"/>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E0190A"/>
  <w15:chartTrackingRefBased/>
  <w15:docId w15:val="{0080AA2E-8DAC-4B5C-8D40-0DEDB44BE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7683"/>
  </w:style>
  <w:style w:type="paragraph" w:styleId="Titre3">
    <w:name w:val="heading 3"/>
    <w:basedOn w:val="Normal"/>
    <w:next w:val="Normal"/>
    <w:uiPriority w:val="9"/>
    <w:unhideWhenUsed/>
    <w:qFormat/>
    <w:rsid w:val="440F40E3"/>
    <w:pPr>
      <w:keepNext/>
      <w:keepLines/>
      <w:spacing w:before="160" w:after="80"/>
      <w:outlineLvl w:val="2"/>
    </w:pPr>
    <w:rPr>
      <w:rFonts w:eastAsiaTheme="majorEastAsia" w:cstheme="majorBidi"/>
      <w:color w:val="2F5496"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17683"/>
    <w:pPr>
      <w:tabs>
        <w:tab w:val="center" w:pos="4536"/>
        <w:tab w:val="right" w:pos="9072"/>
      </w:tabs>
      <w:spacing w:after="0" w:line="240" w:lineRule="auto"/>
    </w:pPr>
  </w:style>
  <w:style w:type="character" w:customStyle="1" w:styleId="En-tteCar">
    <w:name w:val="En-tête Car"/>
    <w:basedOn w:val="Policepardfaut"/>
    <w:link w:val="En-tte"/>
    <w:uiPriority w:val="99"/>
    <w:rsid w:val="00417683"/>
  </w:style>
  <w:style w:type="paragraph" w:styleId="Pieddepage">
    <w:name w:val="footer"/>
    <w:basedOn w:val="Normal"/>
    <w:link w:val="PieddepageCar"/>
    <w:uiPriority w:val="99"/>
    <w:unhideWhenUsed/>
    <w:rsid w:val="0041768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17683"/>
  </w:style>
  <w:style w:type="paragraph" w:styleId="Paragraphedeliste">
    <w:name w:val="List Paragraph"/>
    <w:basedOn w:val="Normal"/>
    <w:link w:val="ParagraphedelisteCar"/>
    <w:uiPriority w:val="34"/>
    <w:qFormat/>
    <w:rsid w:val="00417683"/>
    <w:pPr>
      <w:ind w:left="720"/>
      <w:contextualSpacing/>
    </w:pPr>
  </w:style>
  <w:style w:type="table" w:styleId="Grilledutableau">
    <w:name w:val="Table Grid"/>
    <w:basedOn w:val="TableauNormal"/>
    <w:uiPriority w:val="39"/>
    <w:rsid w:val="00C12C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1B4738"/>
    <w:rPr>
      <w:sz w:val="16"/>
      <w:szCs w:val="16"/>
    </w:rPr>
  </w:style>
  <w:style w:type="paragraph" w:styleId="Commentaire">
    <w:name w:val="annotation text"/>
    <w:basedOn w:val="Normal"/>
    <w:link w:val="CommentaireCar"/>
    <w:uiPriority w:val="99"/>
    <w:unhideWhenUsed/>
    <w:rsid w:val="001B4738"/>
    <w:pPr>
      <w:spacing w:line="240" w:lineRule="auto"/>
    </w:pPr>
    <w:rPr>
      <w:sz w:val="20"/>
      <w:szCs w:val="20"/>
    </w:rPr>
  </w:style>
  <w:style w:type="character" w:customStyle="1" w:styleId="CommentaireCar">
    <w:name w:val="Commentaire Car"/>
    <w:basedOn w:val="Policepardfaut"/>
    <w:link w:val="Commentaire"/>
    <w:uiPriority w:val="99"/>
    <w:rsid w:val="001B4738"/>
    <w:rPr>
      <w:sz w:val="20"/>
      <w:szCs w:val="20"/>
    </w:rPr>
  </w:style>
  <w:style w:type="paragraph" w:styleId="Objetducommentaire">
    <w:name w:val="annotation subject"/>
    <w:basedOn w:val="Commentaire"/>
    <w:next w:val="Commentaire"/>
    <w:link w:val="ObjetducommentaireCar"/>
    <w:uiPriority w:val="99"/>
    <w:semiHidden/>
    <w:unhideWhenUsed/>
    <w:rsid w:val="001B4738"/>
    <w:rPr>
      <w:b/>
      <w:bCs/>
    </w:rPr>
  </w:style>
  <w:style w:type="character" w:customStyle="1" w:styleId="ObjetducommentaireCar">
    <w:name w:val="Objet du commentaire Car"/>
    <w:basedOn w:val="CommentaireCar"/>
    <w:link w:val="Objetducommentaire"/>
    <w:uiPriority w:val="99"/>
    <w:semiHidden/>
    <w:rsid w:val="001B4738"/>
    <w:rPr>
      <w:b/>
      <w:bCs/>
      <w:sz w:val="20"/>
      <w:szCs w:val="20"/>
    </w:rPr>
  </w:style>
  <w:style w:type="paragraph" w:customStyle="1" w:styleId="Paragraphe">
    <w:name w:val="Paragraphe"/>
    <w:basedOn w:val="Normal"/>
    <w:link w:val="ParagrapheCar"/>
    <w:qFormat/>
    <w:rsid w:val="00CE2386"/>
    <w:pPr>
      <w:jc w:val="both"/>
    </w:pPr>
    <w:rPr>
      <w:rFonts w:ascii="Verdana" w:hAnsi="Verdana" w:cs="Calibri"/>
      <w:sz w:val="20"/>
      <w:szCs w:val="20"/>
    </w:rPr>
  </w:style>
  <w:style w:type="paragraph" w:customStyle="1" w:styleId="Titrepartie">
    <w:name w:val="Titre partie"/>
    <w:basedOn w:val="Paragraphedeliste"/>
    <w:link w:val="TitrepartieCar"/>
    <w:qFormat/>
    <w:rsid w:val="00A70123"/>
    <w:pPr>
      <w:numPr>
        <w:numId w:val="3"/>
      </w:numPr>
      <w:jc w:val="both"/>
    </w:pPr>
    <w:rPr>
      <w:rFonts w:ascii="Verdana" w:hAnsi="Verdana" w:cs="Calibri"/>
      <w:b/>
      <w:bCs/>
      <w:color w:val="0070C0"/>
      <w:szCs w:val="20"/>
    </w:rPr>
  </w:style>
  <w:style w:type="character" w:customStyle="1" w:styleId="ParagrapheCar">
    <w:name w:val="Paragraphe Car"/>
    <w:basedOn w:val="Policepardfaut"/>
    <w:link w:val="Paragraphe"/>
    <w:rsid w:val="00CE2386"/>
    <w:rPr>
      <w:rFonts w:ascii="Verdana" w:hAnsi="Verdana" w:cs="Calibri"/>
      <w:sz w:val="20"/>
      <w:szCs w:val="20"/>
    </w:rPr>
  </w:style>
  <w:style w:type="paragraph" w:customStyle="1" w:styleId="Exergue">
    <w:name w:val="Exergue"/>
    <w:basedOn w:val="Normal"/>
    <w:link w:val="ExergueCar"/>
    <w:qFormat/>
    <w:rsid w:val="00060CA0"/>
    <w:pPr>
      <w:spacing w:after="0" w:line="240" w:lineRule="auto"/>
      <w:jc w:val="both"/>
    </w:pPr>
    <w:rPr>
      <w:rFonts w:ascii="Verdana" w:eastAsia="Times New Roman" w:hAnsi="Verdana" w:cs="Times New Roman"/>
      <w:b/>
      <w:bCs/>
      <w:i/>
      <w:sz w:val="20"/>
      <w:szCs w:val="20"/>
    </w:rPr>
  </w:style>
  <w:style w:type="character" w:customStyle="1" w:styleId="ParagraphedelisteCar">
    <w:name w:val="Paragraphe de liste Car"/>
    <w:basedOn w:val="Policepardfaut"/>
    <w:link w:val="Paragraphedeliste"/>
    <w:uiPriority w:val="34"/>
    <w:rsid w:val="00A70123"/>
  </w:style>
  <w:style w:type="character" w:customStyle="1" w:styleId="TitrepartieCar">
    <w:name w:val="Titre partie Car"/>
    <w:basedOn w:val="ParagraphedelisteCar"/>
    <w:link w:val="Titrepartie"/>
    <w:rsid w:val="00A70123"/>
    <w:rPr>
      <w:rFonts w:ascii="Verdana" w:hAnsi="Verdana" w:cs="Calibri"/>
      <w:b/>
      <w:bCs/>
      <w:color w:val="0070C0"/>
      <w:szCs w:val="20"/>
    </w:rPr>
  </w:style>
  <w:style w:type="paragraph" w:customStyle="1" w:styleId="Sous-partie2">
    <w:name w:val="Sous-partie 2"/>
    <w:basedOn w:val="Paragraphedeliste"/>
    <w:link w:val="Sous-partie2Car"/>
    <w:qFormat/>
    <w:rsid w:val="002C56ED"/>
    <w:pPr>
      <w:numPr>
        <w:ilvl w:val="1"/>
        <w:numId w:val="3"/>
      </w:numPr>
      <w:jc w:val="both"/>
    </w:pPr>
    <w:rPr>
      <w:rFonts w:ascii="Verdana" w:hAnsi="Verdana" w:cs="Calibri"/>
      <w:color w:val="0070C0"/>
      <w:sz w:val="20"/>
      <w:szCs w:val="20"/>
    </w:rPr>
  </w:style>
  <w:style w:type="character" w:customStyle="1" w:styleId="ExergueCar">
    <w:name w:val="Exergue Car"/>
    <w:basedOn w:val="Policepardfaut"/>
    <w:link w:val="Exergue"/>
    <w:rsid w:val="00060CA0"/>
    <w:rPr>
      <w:rFonts w:ascii="Verdana" w:eastAsia="Times New Roman" w:hAnsi="Verdana" w:cs="Times New Roman"/>
      <w:b/>
      <w:bCs/>
      <w:i/>
      <w:sz w:val="20"/>
      <w:szCs w:val="20"/>
    </w:rPr>
  </w:style>
  <w:style w:type="character" w:styleId="Titredulivre">
    <w:name w:val="Book Title"/>
    <w:basedOn w:val="Policepardfaut"/>
    <w:uiPriority w:val="33"/>
    <w:qFormat/>
    <w:rsid w:val="002C56ED"/>
    <w:rPr>
      <w:b/>
      <w:bCs/>
      <w:i/>
      <w:iCs/>
      <w:spacing w:val="5"/>
    </w:rPr>
  </w:style>
  <w:style w:type="character" w:customStyle="1" w:styleId="Sous-partie2Car">
    <w:name w:val="Sous-partie 2 Car"/>
    <w:basedOn w:val="ParagraphedelisteCar"/>
    <w:link w:val="Sous-partie2"/>
    <w:rsid w:val="002C56ED"/>
    <w:rPr>
      <w:rFonts w:ascii="Verdana" w:hAnsi="Verdana" w:cs="Calibri"/>
      <w:color w:val="0070C0"/>
      <w:sz w:val="20"/>
      <w:szCs w:val="20"/>
    </w:rPr>
  </w:style>
  <w:style w:type="character" w:styleId="Rfrenceintense">
    <w:name w:val="Intense Reference"/>
    <w:basedOn w:val="Policepardfaut"/>
    <w:uiPriority w:val="32"/>
    <w:qFormat/>
    <w:rsid w:val="002C56ED"/>
    <w:rPr>
      <w:b/>
      <w:bCs/>
      <w:smallCaps/>
      <w:color w:val="4472C4" w:themeColor="accent1"/>
      <w:spacing w:val="5"/>
    </w:rPr>
  </w:style>
  <w:style w:type="character" w:styleId="Lienhypertexte">
    <w:name w:val="Hyperlink"/>
    <w:basedOn w:val="Policepardfaut"/>
    <w:uiPriority w:val="99"/>
    <w:unhideWhenUsed/>
    <w:rsid w:val="00F0054F"/>
    <w:rPr>
      <w:color w:val="0563C1" w:themeColor="hyperlink"/>
      <w:u w:val="single"/>
    </w:rPr>
  </w:style>
  <w:style w:type="character" w:styleId="Mentionnonrsolue">
    <w:name w:val="Unresolved Mention"/>
    <w:basedOn w:val="Policepardfaut"/>
    <w:uiPriority w:val="99"/>
    <w:semiHidden/>
    <w:unhideWhenUsed/>
    <w:rsid w:val="00F0054F"/>
    <w:rPr>
      <w:color w:val="605E5C"/>
      <w:shd w:val="clear" w:color="auto" w:fill="E1DFDD"/>
    </w:rPr>
  </w:style>
  <w:style w:type="paragraph" w:customStyle="1" w:styleId="Default">
    <w:name w:val="Default"/>
    <w:rsid w:val="00C4168B"/>
    <w:pPr>
      <w:autoSpaceDE w:val="0"/>
      <w:autoSpaceDN w:val="0"/>
      <w:adjustRightInd w:val="0"/>
      <w:spacing w:after="0" w:line="240" w:lineRule="auto"/>
    </w:pPr>
    <w:rPr>
      <w:rFonts w:ascii="Verdana" w:hAnsi="Verdana" w:cs="Verdana"/>
      <w:color w:val="000000"/>
      <w:sz w:val="24"/>
      <w:szCs w:val="24"/>
    </w:rPr>
  </w:style>
  <w:style w:type="paragraph" w:styleId="Notedebasdepage">
    <w:name w:val="footnote text"/>
    <w:basedOn w:val="Normal"/>
    <w:link w:val="NotedebasdepageCar"/>
    <w:uiPriority w:val="99"/>
    <w:semiHidden/>
    <w:unhideWhenUsed/>
    <w:rsid w:val="008F525A"/>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8F525A"/>
    <w:rPr>
      <w:sz w:val="20"/>
      <w:szCs w:val="20"/>
    </w:rPr>
  </w:style>
  <w:style w:type="character" w:styleId="Appelnotedebasdep">
    <w:name w:val="footnote reference"/>
    <w:basedOn w:val="Policepardfaut"/>
    <w:uiPriority w:val="99"/>
    <w:semiHidden/>
    <w:unhideWhenUsed/>
    <w:rsid w:val="008F525A"/>
    <w:rPr>
      <w:vertAlign w:val="superscript"/>
    </w:rPr>
  </w:style>
  <w:style w:type="paragraph" w:styleId="Rvision">
    <w:name w:val="Revision"/>
    <w:hidden/>
    <w:uiPriority w:val="99"/>
    <w:semiHidden/>
    <w:rsid w:val="00AD0B82"/>
    <w:pPr>
      <w:spacing w:after="0" w:line="240" w:lineRule="auto"/>
    </w:pPr>
  </w:style>
  <w:style w:type="paragraph" w:styleId="NormalWeb">
    <w:name w:val="Normal (Web)"/>
    <w:basedOn w:val="Normal"/>
    <w:uiPriority w:val="99"/>
    <w:unhideWhenUsed/>
    <w:rsid w:val="00BD5C0C"/>
    <w:pPr>
      <w:spacing w:before="100" w:beforeAutospacing="1" w:after="100" w:afterAutospacing="1" w:line="240" w:lineRule="auto"/>
    </w:pPr>
    <w:rPr>
      <w:rFonts w:ascii="Times New Roman" w:eastAsia="Times New Roman" w:hAnsi="Times New Roman" w:cs="Times New Roman"/>
      <w:sz w:val="24"/>
      <w:szCs w:val="24"/>
    </w:rPr>
  </w:style>
  <w:style w:type="character" w:styleId="lev">
    <w:name w:val="Strong"/>
    <w:basedOn w:val="Policepardfaut"/>
    <w:uiPriority w:val="22"/>
    <w:qFormat/>
    <w:rsid w:val="00BD5C0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114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1163</Words>
  <Characters>6398</Characters>
  <Application>Microsoft Office Word</Application>
  <DocSecurity>0</DocSecurity>
  <Lines>53</Lines>
  <Paragraphs>15</Paragraphs>
  <ScaleCrop>false</ScaleCrop>
  <Company/>
  <LinksUpToDate>false</LinksUpToDate>
  <CharactersWithSpaces>7546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Gilles Ribouet</dc:creator>
  <cp:keywords/>
  <dc:description/>
  <cp:lastModifiedBy>Gilles RIBOUET</cp:lastModifiedBy>
  <cp:revision>2</cp:revision>
  <dcterms:created xsi:type="dcterms:W3CDTF">2026-08-14T06:29:00Z</dcterms:created>
  <dcterms:modified xsi:type="dcterms:W3CDTF">2026-08-14T06:29:00Z</dcterms:modified>
</cp:coreProperties>
</file>