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AD3B0" w14:textId="77777777" w:rsidR="000E7200" w:rsidRDefault="000E7200" w:rsidP="000E7200">
      <w:pPr>
        <w:jc w:val="center"/>
        <w:rPr>
          <w:rFonts w:ascii="Verdana" w:hAnsi="Verdana"/>
          <w:b/>
          <w:bCs/>
          <w:sz w:val="2"/>
          <w:szCs w:val="2"/>
        </w:rPr>
      </w:pPr>
    </w:p>
    <w:p w14:paraId="55D7F468" w14:textId="77777777" w:rsidR="000E7200" w:rsidRPr="00816DAC" w:rsidRDefault="000E7200" w:rsidP="000E7200">
      <w:pPr>
        <w:jc w:val="center"/>
        <w:rPr>
          <w:rFonts w:ascii="Verdana" w:hAnsi="Verdana"/>
          <w:b/>
          <w:bCs/>
          <w:sz w:val="2"/>
          <w:szCs w:val="2"/>
        </w:rPr>
      </w:pPr>
      <w:r>
        <w:rPr>
          <w:rFonts w:ascii="Verdana" w:hAnsi="Verdana"/>
          <w:b/>
          <w:bCs/>
          <w:sz w:val="2"/>
          <w:szCs w:val="2"/>
        </w:rPr>
        <w:t>2E</w:t>
      </w:r>
    </w:p>
    <w:tbl>
      <w:tblPr>
        <w:tblStyle w:val="Grilledutableau"/>
        <w:tblW w:w="0" w:type="auto"/>
        <w:tblLook w:val="04A0" w:firstRow="1" w:lastRow="0" w:firstColumn="1" w:lastColumn="0" w:noHBand="0" w:noVBand="1"/>
      </w:tblPr>
      <w:tblGrid>
        <w:gridCol w:w="7650"/>
        <w:gridCol w:w="1412"/>
      </w:tblGrid>
      <w:tr w:rsidR="000E7200" w14:paraId="10D33359" w14:textId="77777777" w:rsidTr="00C460F3">
        <w:tc>
          <w:tcPr>
            <w:tcW w:w="9062" w:type="dxa"/>
            <w:gridSpan w:val="2"/>
          </w:tcPr>
          <w:p w14:paraId="58C82228" w14:textId="77777777" w:rsidR="000E7200" w:rsidRDefault="000E7200" w:rsidP="00C460F3">
            <w:pPr>
              <w:jc w:val="center"/>
              <w:rPr>
                <w:rFonts w:ascii="Verdana" w:hAnsi="Verdana"/>
                <w:b/>
                <w:bCs/>
                <w:sz w:val="20"/>
                <w:szCs w:val="20"/>
              </w:rPr>
            </w:pPr>
            <w:r>
              <w:rPr>
                <w:rFonts w:ascii="Verdana" w:hAnsi="Verdana"/>
                <w:b/>
                <w:bCs/>
                <w:sz w:val="20"/>
                <w:szCs w:val="20"/>
              </w:rPr>
              <w:t>Réduction des risques de catastrophes</w:t>
            </w:r>
          </w:p>
        </w:tc>
      </w:tr>
      <w:tr w:rsidR="000E7200" w14:paraId="4CD48217" w14:textId="77777777" w:rsidTr="00C460F3">
        <w:tc>
          <w:tcPr>
            <w:tcW w:w="7650" w:type="dxa"/>
          </w:tcPr>
          <w:p w14:paraId="11659681" w14:textId="77777777" w:rsidR="000E7200" w:rsidRPr="002A096E" w:rsidRDefault="000E7200" w:rsidP="00C460F3">
            <w:pPr>
              <w:rPr>
                <w:rFonts w:ascii="Verdana" w:hAnsi="Verdana"/>
                <w:sz w:val="20"/>
                <w:szCs w:val="20"/>
              </w:rPr>
            </w:pPr>
            <w:r>
              <w:rPr>
                <w:rFonts w:ascii="Verdana" w:hAnsi="Verdana"/>
                <w:sz w:val="20"/>
                <w:szCs w:val="20"/>
              </w:rPr>
              <w:t>40</w:t>
            </w:r>
            <w:r w:rsidRPr="00327CD8">
              <w:rPr>
                <w:rFonts w:ascii="Verdana" w:hAnsi="Verdana"/>
                <w:sz w:val="20"/>
                <w:szCs w:val="20"/>
                <w:vertAlign w:val="superscript"/>
              </w:rPr>
              <w:t>e</w:t>
            </w:r>
            <w:r>
              <w:rPr>
                <w:rFonts w:ascii="Verdana" w:hAnsi="Verdana"/>
                <w:sz w:val="20"/>
                <w:szCs w:val="20"/>
              </w:rPr>
              <w:t xml:space="preserve"> Conseil des ministres de la COI | 08 juin 2026, Union des Comores</w:t>
            </w:r>
          </w:p>
        </w:tc>
        <w:tc>
          <w:tcPr>
            <w:tcW w:w="1412" w:type="dxa"/>
          </w:tcPr>
          <w:p w14:paraId="014B9D0C" w14:textId="77777777" w:rsidR="000E7200" w:rsidRPr="002A0933" w:rsidRDefault="000E7200" w:rsidP="00C460F3">
            <w:pPr>
              <w:jc w:val="center"/>
              <w:rPr>
                <w:rFonts w:ascii="Verdana" w:hAnsi="Verdana"/>
                <w:sz w:val="20"/>
                <w:szCs w:val="20"/>
              </w:rPr>
            </w:pPr>
            <w:r w:rsidRPr="002A0933">
              <w:rPr>
                <w:rFonts w:ascii="Verdana" w:hAnsi="Verdana"/>
                <w:sz w:val="20"/>
                <w:szCs w:val="20"/>
              </w:rPr>
              <w:t>Point</w:t>
            </w:r>
            <w:r>
              <w:rPr>
                <w:rFonts w:ascii="Verdana" w:hAnsi="Verdana"/>
                <w:sz w:val="20"/>
                <w:szCs w:val="20"/>
              </w:rPr>
              <w:t xml:space="preserve"> 9</w:t>
            </w:r>
          </w:p>
        </w:tc>
      </w:tr>
      <w:tr w:rsidR="000E7200" w14:paraId="0A80B1BF" w14:textId="77777777" w:rsidTr="00C460F3">
        <w:tc>
          <w:tcPr>
            <w:tcW w:w="7650" w:type="dxa"/>
          </w:tcPr>
          <w:p w14:paraId="0F8F970F" w14:textId="77777777" w:rsidR="000E7200" w:rsidRPr="000F5D8C" w:rsidRDefault="000E7200" w:rsidP="00C460F3">
            <w:pPr>
              <w:rPr>
                <w:rFonts w:ascii="Verdana" w:hAnsi="Verdana"/>
                <w:sz w:val="20"/>
                <w:szCs w:val="20"/>
              </w:rPr>
            </w:pPr>
            <w:r w:rsidRPr="00A148A1">
              <w:rPr>
                <w:rFonts w:ascii="Verdana" w:hAnsi="Verdana"/>
                <w:i/>
                <w:iCs/>
                <w:sz w:val="20"/>
                <w:szCs w:val="20"/>
              </w:rPr>
              <w:t>Dossier suivi par :</w:t>
            </w:r>
            <w:r w:rsidRPr="00A37C9F">
              <w:rPr>
                <w:rFonts w:ascii="Verdana" w:hAnsi="Verdana"/>
                <w:sz w:val="20"/>
                <w:szCs w:val="20"/>
              </w:rPr>
              <w:t xml:space="preserve"> </w:t>
            </w:r>
            <w:r w:rsidRPr="00AD2204">
              <w:rPr>
                <w:rFonts w:ascii="Verdana" w:hAnsi="Verdana"/>
                <w:sz w:val="20"/>
                <w:szCs w:val="20"/>
              </w:rPr>
              <w:t>Gina Bonne,</w:t>
            </w:r>
            <w:r>
              <w:rPr>
                <w:rFonts w:ascii="Verdana" w:hAnsi="Verdana"/>
                <w:sz w:val="20"/>
                <w:szCs w:val="20"/>
              </w:rPr>
              <w:t xml:space="preserve"> chargée de mission DI-4</w:t>
            </w:r>
          </w:p>
        </w:tc>
        <w:tc>
          <w:tcPr>
            <w:tcW w:w="1412" w:type="dxa"/>
          </w:tcPr>
          <w:p w14:paraId="12A2CC34" w14:textId="77777777" w:rsidR="000E7200" w:rsidRPr="000F5D8C" w:rsidRDefault="000E7200" w:rsidP="00C460F3">
            <w:pPr>
              <w:rPr>
                <w:rFonts w:ascii="Verdana" w:hAnsi="Verdana"/>
                <w:sz w:val="20"/>
                <w:szCs w:val="20"/>
              </w:rPr>
            </w:pPr>
            <w:r>
              <w:rPr>
                <w:rFonts w:ascii="Verdana" w:hAnsi="Verdana"/>
                <w:sz w:val="20"/>
                <w:szCs w:val="20"/>
              </w:rPr>
              <w:t>Décision</w:t>
            </w:r>
          </w:p>
        </w:tc>
      </w:tr>
      <w:tr w:rsidR="000E7200" w14:paraId="6EB83490" w14:textId="77777777" w:rsidTr="00C460F3">
        <w:tc>
          <w:tcPr>
            <w:tcW w:w="9062" w:type="dxa"/>
            <w:gridSpan w:val="2"/>
          </w:tcPr>
          <w:p w14:paraId="062FB179" w14:textId="35A4EDC3" w:rsidR="000E7200" w:rsidRDefault="000E7200" w:rsidP="00C460F3">
            <w:pPr>
              <w:rPr>
                <w:rFonts w:ascii="Verdana" w:hAnsi="Verdana"/>
                <w:sz w:val="20"/>
                <w:szCs w:val="20"/>
              </w:rPr>
            </w:pPr>
            <w:r>
              <w:rPr>
                <w:rFonts w:ascii="Verdana" w:hAnsi="Verdana"/>
                <w:i/>
                <w:iCs/>
                <w:sz w:val="20"/>
                <w:szCs w:val="20"/>
              </w:rPr>
              <w:t xml:space="preserve">Version du </w:t>
            </w:r>
            <w:r w:rsidR="002A3787">
              <w:rPr>
                <w:rFonts w:ascii="Verdana" w:hAnsi="Verdana"/>
                <w:i/>
                <w:iCs/>
                <w:sz w:val="20"/>
                <w:szCs w:val="20"/>
              </w:rPr>
              <w:t>16</w:t>
            </w:r>
            <w:r>
              <w:rPr>
                <w:rFonts w:ascii="Verdana" w:hAnsi="Verdana"/>
                <w:i/>
                <w:iCs/>
                <w:sz w:val="20"/>
                <w:szCs w:val="20"/>
              </w:rPr>
              <w:t xml:space="preserve">/05/2026 </w:t>
            </w:r>
          </w:p>
        </w:tc>
      </w:tr>
    </w:tbl>
    <w:p w14:paraId="4BEEAB9E" w14:textId="77777777" w:rsidR="000E7200" w:rsidRDefault="000E7200" w:rsidP="000E7200">
      <w:pPr>
        <w:pStyle w:val="paragraph"/>
        <w:spacing w:before="0" w:beforeAutospacing="0" w:after="0" w:afterAutospacing="0"/>
        <w:jc w:val="both"/>
        <w:textAlignment w:val="baseline"/>
        <w:rPr>
          <w:rFonts w:ascii="Segoe UI" w:hAnsi="Segoe UI" w:cs="Segoe UI"/>
          <w:sz w:val="18"/>
          <w:szCs w:val="18"/>
        </w:rPr>
      </w:pPr>
    </w:p>
    <w:p w14:paraId="1DF02D06" w14:textId="5D50EAF4" w:rsidR="000E7200" w:rsidRPr="001964BA" w:rsidRDefault="00AE61A5" w:rsidP="001964BA">
      <w:pPr>
        <w:pStyle w:val="Titrepartie"/>
      </w:pPr>
      <w:r w:rsidRPr="001964BA">
        <w:t>Résumé</w:t>
      </w:r>
    </w:p>
    <w:p w14:paraId="428EB5E2" w14:textId="77777777" w:rsidR="00764831" w:rsidRPr="001964BA" w:rsidRDefault="000E7200" w:rsidP="00764831">
      <w:pPr>
        <w:spacing w:line="278" w:lineRule="auto"/>
        <w:jc w:val="both"/>
        <w:rPr>
          <w:rFonts w:ascii="Verdana" w:hAnsi="Verdana"/>
          <w:sz w:val="20"/>
          <w:szCs w:val="20"/>
        </w:rPr>
      </w:pPr>
      <w:r w:rsidRPr="001964BA">
        <w:rPr>
          <w:rFonts w:ascii="Verdana" w:hAnsi="Verdana"/>
          <w:sz w:val="20"/>
          <w:szCs w:val="20"/>
        </w:rPr>
        <w:t>Le renforcement de la résilience face aux catastrophes est un axe prioritaire du Plan de développement stratégique 2023-2030 de la COI, compte tenu de l’exposition persistante de la région à des aléas majeurs : cyclones plus fréquents et intenses, pluies extrêmes, sécheresses, inondations côtières, ainsi que des risques sanitaires, d’incendies dévastateurs et de pollution.</w:t>
      </w:r>
    </w:p>
    <w:p w14:paraId="72063F79" w14:textId="2CAB3CE7" w:rsidR="006C52F2" w:rsidRPr="001964BA" w:rsidRDefault="000128C2" w:rsidP="00773033">
      <w:pPr>
        <w:pStyle w:val="Titre2"/>
        <w:jc w:val="both"/>
        <w:rPr>
          <w:rFonts w:ascii="Verdana" w:eastAsiaTheme="minorHAnsi" w:hAnsi="Verdana" w:cstheme="minorBidi"/>
          <w:color w:val="auto"/>
          <w:sz w:val="20"/>
          <w:szCs w:val="20"/>
        </w:rPr>
      </w:pPr>
      <w:r w:rsidRPr="001964BA">
        <w:rPr>
          <w:rFonts w:ascii="Verdana" w:eastAsiaTheme="minorHAnsi" w:hAnsi="Verdana" w:cstheme="minorBidi"/>
          <w:color w:val="auto"/>
          <w:sz w:val="20"/>
          <w:szCs w:val="20"/>
        </w:rPr>
        <w:t xml:space="preserve">La </w:t>
      </w:r>
      <w:r w:rsidR="006C52F2" w:rsidRPr="001964BA">
        <w:rPr>
          <w:rFonts w:ascii="Verdana" w:eastAsiaTheme="minorHAnsi" w:hAnsi="Verdana" w:cstheme="minorBidi"/>
          <w:color w:val="auto"/>
          <w:sz w:val="20"/>
          <w:szCs w:val="20"/>
        </w:rPr>
        <w:t>saison</w:t>
      </w:r>
      <w:r w:rsidR="004215FD" w:rsidRPr="001964BA">
        <w:rPr>
          <w:rFonts w:ascii="Verdana" w:eastAsiaTheme="minorHAnsi" w:hAnsi="Verdana" w:cstheme="minorBidi"/>
          <w:color w:val="auto"/>
          <w:sz w:val="20"/>
          <w:szCs w:val="20"/>
        </w:rPr>
        <w:t xml:space="preserve"> cyclonique 2025 </w:t>
      </w:r>
      <w:r w:rsidR="00EF4B65" w:rsidRPr="001964BA">
        <w:rPr>
          <w:rFonts w:ascii="Verdana" w:eastAsiaTheme="minorHAnsi" w:hAnsi="Verdana" w:cstheme="minorBidi"/>
          <w:color w:val="auto"/>
          <w:sz w:val="20"/>
          <w:szCs w:val="20"/>
        </w:rPr>
        <w:t xml:space="preserve">-2026 dans le bassin de l’océan Indien a enregistré </w:t>
      </w:r>
      <w:r w:rsidR="006C52F2" w:rsidRPr="001964BA">
        <w:rPr>
          <w:rFonts w:ascii="Verdana" w:eastAsiaTheme="minorHAnsi" w:hAnsi="Verdana" w:cstheme="minorBidi"/>
          <w:color w:val="auto"/>
          <w:sz w:val="20"/>
          <w:szCs w:val="20"/>
        </w:rPr>
        <w:t xml:space="preserve">onze (11) tempêtes. Six </w:t>
      </w:r>
      <w:r w:rsidR="00CD0FAA" w:rsidRPr="001964BA">
        <w:rPr>
          <w:rFonts w:ascii="Verdana" w:eastAsiaTheme="minorHAnsi" w:hAnsi="Verdana" w:cstheme="minorBidi"/>
          <w:color w:val="auto"/>
          <w:sz w:val="20"/>
          <w:szCs w:val="20"/>
        </w:rPr>
        <w:t>(6</w:t>
      </w:r>
      <w:r w:rsidR="006C52F2" w:rsidRPr="001964BA">
        <w:rPr>
          <w:rFonts w:ascii="Verdana" w:eastAsiaTheme="minorHAnsi" w:hAnsi="Verdana" w:cstheme="minorBidi"/>
          <w:color w:val="auto"/>
          <w:sz w:val="20"/>
          <w:szCs w:val="20"/>
        </w:rPr>
        <w:t>)</w:t>
      </w:r>
      <w:r w:rsidR="00EF4B65" w:rsidRPr="001964BA">
        <w:rPr>
          <w:rFonts w:ascii="Verdana" w:eastAsiaTheme="minorHAnsi" w:hAnsi="Verdana" w:cstheme="minorBidi"/>
          <w:color w:val="auto"/>
          <w:sz w:val="20"/>
          <w:szCs w:val="20"/>
        </w:rPr>
        <w:t xml:space="preserve"> </w:t>
      </w:r>
      <w:r w:rsidR="006C52F2" w:rsidRPr="001964BA">
        <w:rPr>
          <w:rFonts w:ascii="Verdana" w:eastAsiaTheme="minorHAnsi" w:hAnsi="Verdana" w:cstheme="minorBidi"/>
          <w:color w:val="auto"/>
          <w:sz w:val="20"/>
          <w:szCs w:val="20"/>
        </w:rPr>
        <w:t xml:space="preserve">de ses tempêtes </w:t>
      </w:r>
      <w:r w:rsidR="00EF4B65" w:rsidRPr="001964BA">
        <w:rPr>
          <w:rFonts w:ascii="Verdana" w:eastAsiaTheme="minorHAnsi" w:hAnsi="Verdana" w:cstheme="minorBidi"/>
          <w:color w:val="auto"/>
          <w:sz w:val="20"/>
          <w:szCs w:val="20"/>
        </w:rPr>
        <w:t>ont attente le niveau de cyclone</w:t>
      </w:r>
      <w:r w:rsidR="006C52F2" w:rsidRPr="001964BA">
        <w:rPr>
          <w:rFonts w:ascii="Verdana" w:eastAsiaTheme="minorHAnsi" w:hAnsi="Verdana" w:cstheme="minorBidi"/>
          <w:color w:val="auto"/>
          <w:sz w:val="20"/>
          <w:szCs w:val="20"/>
        </w:rPr>
        <w:t xml:space="preserve"> tropicaux et parmi trois (3) ont touché </w:t>
      </w:r>
      <w:r w:rsidR="00CD0FAA" w:rsidRPr="001964BA">
        <w:rPr>
          <w:rFonts w:ascii="Verdana" w:eastAsiaTheme="minorHAnsi" w:hAnsi="Verdana" w:cstheme="minorBidi"/>
          <w:color w:val="auto"/>
          <w:sz w:val="20"/>
          <w:szCs w:val="20"/>
        </w:rPr>
        <w:t>les terres habitées</w:t>
      </w:r>
      <w:r w:rsidR="006C52F2" w:rsidRPr="001964BA">
        <w:rPr>
          <w:rFonts w:ascii="Verdana" w:eastAsiaTheme="minorHAnsi" w:hAnsi="Verdana" w:cstheme="minorBidi"/>
          <w:color w:val="auto"/>
          <w:sz w:val="20"/>
          <w:szCs w:val="20"/>
        </w:rPr>
        <w:t xml:space="preserve"> </w:t>
      </w:r>
      <w:r w:rsidR="00CD0FAA" w:rsidRPr="001964BA">
        <w:rPr>
          <w:rFonts w:ascii="Verdana" w:eastAsiaTheme="minorHAnsi" w:hAnsi="Verdana" w:cstheme="minorBidi"/>
          <w:color w:val="auto"/>
          <w:sz w:val="20"/>
          <w:szCs w:val="20"/>
        </w:rPr>
        <w:t>et deux</w:t>
      </w:r>
      <w:r w:rsidR="006C52F2" w:rsidRPr="001964BA">
        <w:rPr>
          <w:rFonts w:ascii="Verdana" w:eastAsiaTheme="minorHAnsi" w:hAnsi="Verdana" w:cstheme="minorBidi"/>
          <w:color w:val="auto"/>
          <w:sz w:val="20"/>
          <w:szCs w:val="20"/>
        </w:rPr>
        <w:t xml:space="preserve"> (2) avec les impacts significatifs</w:t>
      </w:r>
      <w:r w:rsidR="00CD0FAA" w:rsidRPr="001964BA">
        <w:rPr>
          <w:rFonts w:ascii="Verdana" w:eastAsiaTheme="minorHAnsi" w:hAnsi="Verdana" w:cstheme="minorBidi"/>
          <w:color w:val="auto"/>
          <w:sz w:val="20"/>
          <w:szCs w:val="20"/>
        </w:rPr>
        <w:t xml:space="preserve"> notamment à Madagascar. </w:t>
      </w:r>
      <w:r w:rsidR="006C52F2" w:rsidRPr="001964BA">
        <w:rPr>
          <w:rFonts w:ascii="Verdana" w:eastAsiaTheme="minorHAnsi" w:hAnsi="Verdana" w:cstheme="minorBidi"/>
          <w:color w:val="auto"/>
          <w:sz w:val="20"/>
          <w:szCs w:val="20"/>
        </w:rPr>
        <w:t>(</w:t>
      </w:r>
      <w:r w:rsidR="00CD0FAA" w:rsidRPr="001964BA">
        <w:rPr>
          <w:rFonts w:ascii="Verdana" w:eastAsiaTheme="minorHAnsi" w:hAnsi="Verdana" w:cstheme="minorBidi"/>
          <w:i/>
          <w:iCs/>
          <w:color w:val="auto"/>
          <w:sz w:val="20"/>
          <w:szCs w:val="20"/>
        </w:rPr>
        <w:t>Source</w:t>
      </w:r>
      <w:r w:rsidR="006C52F2" w:rsidRPr="001964BA">
        <w:rPr>
          <w:rFonts w:ascii="Verdana" w:eastAsiaTheme="minorHAnsi" w:hAnsi="Verdana" w:cstheme="minorBidi"/>
          <w:i/>
          <w:iCs/>
          <w:color w:val="auto"/>
          <w:sz w:val="20"/>
          <w:szCs w:val="20"/>
        </w:rPr>
        <w:t xml:space="preserve"> </w:t>
      </w:r>
      <w:r w:rsidR="00CD0FAA" w:rsidRPr="001964BA">
        <w:rPr>
          <w:rFonts w:ascii="Verdana" w:eastAsiaTheme="minorHAnsi" w:hAnsi="Verdana" w:cstheme="minorBidi"/>
          <w:i/>
          <w:iCs/>
          <w:color w:val="auto"/>
          <w:sz w:val="20"/>
          <w:szCs w:val="20"/>
        </w:rPr>
        <w:t>M</w:t>
      </w:r>
      <w:r w:rsidR="006C52F2" w:rsidRPr="001964BA">
        <w:rPr>
          <w:rFonts w:ascii="Verdana" w:eastAsiaTheme="minorHAnsi" w:hAnsi="Verdana" w:cstheme="minorBidi"/>
          <w:i/>
          <w:iCs/>
          <w:color w:val="auto"/>
          <w:sz w:val="20"/>
          <w:szCs w:val="20"/>
        </w:rPr>
        <w:t>eteo</w:t>
      </w:r>
      <w:r w:rsidR="00CD0FAA" w:rsidRPr="001964BA">
        <w:rPr>
          <w:rFonts w:ascii="Verdana" w:eastAsiaTheme="minorHAnsi" w:hAnsi="Verdana" w:cstheme="minorBidi"/>
          <w:i/>
          <w:iCs/>
          <w:color w:val="auto"/>
          <w:sz w:val="20"/>
          <w:szCs w:val="20"/>
        </w:rPr>
        <w:t>-</w:t>
      </w:r>
      <w:r w:rsidR="006C52F2" w:rsidRPr="001964BA">
        <w:rPr>
          <w:rFonts w:ascii="Verdana" w:eastAsiaTheme="minorHAnsi" w:hAnsi="Verdana" w:cstheme="minorBidi"/>
          <w:i/>
          <w:iCs/>
          <w:color w:val="auto"/>
          <w:sz w:val="20"/>
          <w:szCs w:val="20"/>
        </w:rPr>
        <w:t xml:space="preserve"> France</w:t>
      </w:r>
      <w:r w:rsidR="00CD0FAA" w:rsidRPr="001964BA">
        <w:rPr>
          <w:rFonts w:ascii="Verdana" w:eastAsiaTheme="minorHAnsi" w:hAnsi="Verdana" w:cstheme="minorBidi"/>
          <w:i/>
          <w:iCs/>
          <w:color w:val="auto"/>
          <w:sz w:val="20"/>
          <w:szCs w:val="20"/>
        </w:rPr>
        <w:t>,05mai 2026</w:t>
      </w:r>
      <w:r w:rsidR="006C52F2" w:rsidRPr="001964BA">
        <w:rPr>
          <w:rFonts w:ascii="Verdana" w:eastAsiaTheme="minorHAnsi" w:hAnsi="Verdana" w:cstheme="minorBidi"/>
          <w:color w:val="auto"/>
          <w:sz w:val="20"/>
          <w:szCs w:val="20"/>
        </w:rPr>
        <w:t>)</w:t>
      </w:r>
      <w:r w:rsidR="00CD0FAA" w:rsidRPr="001964BA">
        <w:rPr>
          <w:rFonts w:ascii="Verdana" w:eastAsiaTheme="minorHAnsi" w:hAnsi="Verdana" w:cstheme="minorBidi"/>
          <w:color w:val="auto"/>
          <w:sz w:val="20"/>
          <w:szCs w:val="20"/>
        </w:rPr>
        <w:t xml:space="preserve">. Les autres </w:t>
      </w:r>
      <w:r w:rsidR="001964BA" w:rsidRPr="001964BA">
        <w:rPr>
          <w:rFonts w:ascii="Verdana" w:eastAsiaTheme="minorHAnsi" w:hAnsi="Verdana" w:cstheme="minorBidi"/>
          <w:color w:val="auto"/>
          <w:sz w:val="20"/>
          <w:szCs w:val="20"/>
        </w:rPr>
        <w:t>É</w:t>
      </w:r>
      <w:r w:rsidR="00CD0FAA" w:rsidRPr="001964BA">
        <w:rPr>
          <w:rFonts w:ascii="Verdana" w:eastAsiaTheme="minorHAnsi" w:hAnsi="Verdana" w:cstheme="minorBidi"/>
          <w:color w:val="auto"/>
          <w:sz w:val="20"/>
          <w:szCs w:val="20"/>
        </w:rPr>
        <w:t>tats membre</w:t>
      </w:r>
      <w:r w:rsidR="001964BA" w:rsidRPr="001964BA">
        <w:rPr>
          <w:rFonts w:ascii="Verdana" w:eastAsiaTheme="minorHAnsi" w:hAnsi="Verdana" w:cstheme="minorBidi"/>
          <w:color w:val="auto"/>
          <w:sz w:val="20"/>
          <w:szCs w:val="20"/>
        </w:rPr>
        <w:t>s</w:t>
      </w:r>
      <w:r w:rsidR="00CD0FAA" w:rsidRPr="001964BA">
        <w:rPr>
          <w:rFonts w:ascii="Verdana" w:eastAsiaTheme="minorHAnsi" w:hAnsi="Verdana" w:cstheme="minorBidi"/>
          <w:color w:val="auto"/>
          <w:sz w:val="20"/>
          <w:szCs w:val="20"/>
        </w:rPr>
        <w:t xml:space="preserve"> de la région ont été épargné</w:t>
      </w:r>
      <w:r w:rsidR="001964BA" w:rsidRPr="001964BA">
        <w:rPr>
          <w:rFonts w:ascii="Verdana" w:eastAsiaTheme="minorHAnsi" w:hAnsi="Verdana" w:cstheme="minorBidi"/>
          <w:color w:val="auto"/>
          <w:sz w:val="20"/>
          <w:szCs w:val="20"/>
        </w:rPr>
        <w:t>s</w:t>
      </w:r>
      <w:r w:rsidR="00CD0FAA" w:rsidRPr="001964BA">
        <w:rPr>
          <w:rFonts w:ascii="Verdana" w:eastAsiaTheme="minorHAnsi" w:hAnsi="Verdana" w:cstheme="minorBidi"/>
          <w:color w:val="auto"/>
          <w:sz w:val="20"/>
          <w:szCs w:val="20"/>
        </w:rPr>
        <w:t xml:space="preserve"> mais les systèmes ont donné de fortes averses et orages entrainant des inondations </w:t>
      </w:r>
      <w:r w:rsidR="000274CF" w:rsidRPr="001964BA">
        <w:rPr>
          <w:rFonts w:ascii="Verdana" w:eastAsiaTheme="minorHAnsi" w:hAnsi="Verdana" w:cstheme="minorBidi"/>
          <w:color w:val="auto"/>
          <w:sz w:val="20"/>
          <w:szCs w:val="20"/>
        </w:rPr>
        <w:t>et érosion</w:t>
      </w:r>
      <w:r w:rsidR="00CD0FAA" w:rsidRPr="001964BA">
        <w:rPr>
          <w:rFonts w:ascii="Verdana" w:eastAsiaTheme="minorHAnsi" w:hAnsi="Verdana" w:cstheme="minorBidi"/>
          <w:color w:val="auto"/>
          <w:sz w:val="20"/>
          <w:szCs w:val="20"/>
        </w:rPr>
        <w:t xml:space="preserve"> de</w:t>
      </w:r>
      <w:r w:rsidR="001964BA" w:rsidRPr="001964BA">
        <w:rPr>
          <w:rFonts w:ascii="Verdana" w:eastAsiaTheme="minorHAnsi" w:hAnsi="Verdana" w:cstheme="minorBidi"/>
          <w:color w:val="auto"/>
          <w:sz w:val="20"/>
          <w:szCs w:val="20"/>
        </w:rPr>
        <w:t>s</w:t>
      </w:r>
      <w:r w:rsidR="00CD0FAA" w:rsidRPr="001964BA">
        <w:rPr>
          <w:rFonts w:ascii="Verdana" w:eastAsiaTheme="minorHAnsi" w:hAnsi="Verdana" w:cstheme="minorBidi"/>
          <w:color w:val="auto"/>
          <w:sz w:val="20"/>
          <w:szCs w:val="20"/>
        </w:rPr>
        <w:t xml:space="preserve"> sols à Maurice et Seychelles.  </w:t>
      </w:r>
      <w:r w:rsidR="006C52F2" w:rsidRPr="001964BA">
        <w:rPr>
          <w:rFonts w:ascii="Verdana" w:eastAsiaTheme="minorHAnsi" w:hAnsi="Verdana" w:cstheme="minorBidi"/>
          <w:color w:val="auto"/>
          <w:sz w:val="20"/>
          <w:szCs w:val="20"/>
        </w:rPr>
        <w:t xml:space="preserve"> </w:t>
      </w:r>
    </w:p>
    <w:p w14:paraId="7C98F90B" w14:textId="3F743D81" w:rsidR="00773033" w:rsidRDefault="00773033" w:rsidP="00773033">
      <w:pPr>
        <w:pStyle w:val="Titre2"/>
        <w:jc w:val="both"/>
        <w:rPr>
          <w:rFonts w:ascii="Verdana" w:eastAsiaTheme="minorHAnsi" w:hAnsi="Verdana" w:cstheme="minorBidi"/>
          <w:color w:val="auto"/>
          <w:sz w:val="20"/>
          <w:szCs w:val="20"/>
        </w:rPr>
      </w:pPr>
      <w:r w:rsidRPr="001964BA">
        <w:rPr>
          <w:rFonts w:ascii="Verdana" w:eastAsiaTheme="minorHAnsi" w:hAnsi="Verdana" w:cstheme="minorBidi"/>
          <w:color w:val="auto"/>
          <w:sz w:val="20"/>
          <w:szCs w:val="20"/>
        </w:rPr>
        <w:t xml:space="preserve">L’ampleur considérable des impacts des cyclones </w:t>
      </w:r>
      <w:proofErr w:type="spellStart"/>
      <w:r w:rsidRPr="001964BA">
        <w:rPr>
          <w:rFonts w:ascii="Verdana" w:eastAsiaTheme="minorHAnsi" w:hAnsi="Verdana" w:cstheme="minorBidi"/>
          <w:color w:val="auto"/>
          <w:sz w:val="20"/>
          <w:szCs w:val="20"/>
        </w:rPr>
        <w:t>Fytia</w:t>
      </w:r>
      <w:proofErr w:type="spellEnd"/>
      <w:r w:rsidRPr="001964BA">
        <w:rPr>
          <w:rFonts w:ascii="Verdana" w:eastAsiaTheme="minorHAnsi" w:hAnsi="Verdana" w:cstheme="minorBidi"/>
          <w:color w:val="auto"/>
          <w:sz w:val="20"/>
          <w:szCs w:val="20"/>
        </w:rPr>
        <w:t xml:space="preserve"> et </w:t>
      </w:r>
      <w:proofErr w:type="spellStart"/>
      <w:r w:rsidRPr="001964BA">
        <w:rPr>
          <w:rFonts w:ascii="Verdana" w:eastAsiaTheme="minorHAnsi" w:hAnsi="Verdana" w:cstheme="minorBidi"/>
          <w:color w:val="auto"/>
          <w:sz w:val="20"/>
          <w:szCs w:val="20"/>
        </w:rPr>
        <w:t>Gezani</w:t>
      </w:r>
      <w:proofErr w:type="spellEnd"/>
      <w:r w:rsidRPr="001964BA">
        <w:rPr>
          <w:rFonts w:ascii="Verdana" w:eastAsiaTheme="minorHAnsi" w:hAnsi="Verdana" w:cstheme="minorBidi"/>
          <w:color w:val="auto"/>
          <w:sz w:val="20"/>
          <w:szCs w:val="20"/>
        </w:rPr>
        <w:t>, qui ont frappé Madagascar en janvier et février, souligne la nécessité de renforcer la solidarité régionale afin de soutenir une réponse rapide et coordonnée.</w:t>
      </w:r>
      <w:r w:rsidR="00A308DC" w:rsidRPr="001964BA">
        <w:rPr>
          <w:rFonts w:ascii="Verdana" w:eastAsiaTheme="minorHAnsi" w:hAnsi="Verdana" w:cstheme="minorBidi"/>
          <w:color w:val="auto"/>
          <w:sz w:val="20"/>
          <w:szCs w:val="20"/>
        </w:rPr>
        <w:t xml:space="preserve"> </w:t>
      </w:r>
      <w:r w:rsidRPr="001964BA">
        <w:rPr>
          <w:rFonts w:ascii="Verdana" w:eastAsiaTheme="minorHAnsi" w:hAnsi="Verdana" w:cstheme="minorBidi"/>
          <w:color w:val="auto"/>
          <w:sz w:val="20"/>
          <w:szCs w:val="20"/>
        </w:rPr>
        <w:t>Ces catastrophes mettent également en évidence la</w:t>
      </w:r>
      <w:r w:rsidR="00D1551D" w:rsidRPr="001964BA">
        <w:rPr>
          <w:rFonts w:ascii="Verdana" w:eastAsiaTheme="minorHAnsi" w:hAnsi="Verdana" w:cstheme="minorBidi"/>
          <w:color w:val="auto"/>
          <w:sz w:val="20"/>
          <w:szCs w:val="20"/>
        </w:rPr>
        <w:t xml:space="preserve"> pertinence</w:t>
      </w:r>
      <w:r w:rsidRPr="001964BA">
        <w:rPr>
          <w:rFonts w:ascii="Verdana" w:eastAsiaTheme="minorHAnsi" w:hAnsi="Verdana" w:cstheme="minorBidi"/>
          <w:color w:val="auto"/>
          <w:sz w:val="20"/>
          <w:szCs w:val="20"/>
        </w:rPr>
        <w:t xml:space="preserve"> de poursuivre, sous l’égide de la COI et avec l’appui des partenaires, le renforcement de la coopération en matière de préparation et de prévention</w:t>
      </w:r>
      <w:r w:rsidR="00D1551D" w:rsidRPr="001964BA">
        <w:rPr>
          <w:rFonts w:ascii="Verdana" w:eastAsiaTheme="minorHAnsi" w:hAnsi="Verdana" w:cstheme="minorBidi"/>
          <w:color w:val="auto"/>
          <w:sz w:val="20"/>
          <w:szCs w:val="20"/>
        </w:rPr>
        <w:t xml:space="preserve"> pour la réduction des risques</w:t>
      </w:r>
      <w:r w:rsidRPr="001964BA">
        <w:rPr>
          <w:rFonts w:ascii="Verdana" w:eastAsiaTheme="minorHAnsi" w:hAnsi="Verdana" w:cstheme="minorBidi"/>
          <w:color w:val="auto"/>
          <w:sz w:val="20"/>
          <w:szCs w:val="20"/>
        </w:rPr>
        <w:t>. Cela est d’autant plus essentiel dans un contexte d’intensification des effets du changement climatique et de convergence de risques multiples dépassant les capacités nationales.</w:t>
      </w:r>
    </w:p>
    <w:p w14:paraId="137E4BBC" w14:textId="77777777" w:rsidR="001964BA" w:rsidRPr="001964BA" w:rsidRDefault="001964BA" w:rsidP="001964BA"/>
    <w:p w14:paraId="7B611C1A" w14:textId="59F8E1DD" w:rsidR="00A308DC" w:rsidRPr="001964BA" w:rsidRDefault="00A308DC" w:rsidP="001964BA">
      <w:pPr>
        <w:pStyle w:val="Titrepartie"/>
      </w:pPr>
      <w:r w:rsidRPr="001964BA">
        <w:t xml:space="preserve">Point de situation </w:t>
      </w:r>
    </w:p>
    <w:p w14:paraId="4FA8BD9B" w14:textId="4028B4E8" w:rsidR="000E7200" w:rsidRPr="001964BA" w:rsidRDefault="00947EA1" w:rsidP="001964BA">
      <w:pPr>
        <w:pStyle w:val="Sous-partie2"/>
      </w:pPr>
      <w:r w:rsidRPr="001964BA">
        <w:t xml:space="preserve"> </w:t>
      </w:r>
      <w:r w:rsidR="000E7200" w:rsidRPr="001964BA">
        <w:t xml:space="preserve">Une solidarité régionale en réponse aux cyclones </w:t>
      </w:r>
      <w:proofErr w:type="spellStart"/>
      <w:r w:rsidR="000E7200" w:rsidRPr="001964BA">
        <w:t>Fytia</w:t>
      </w:r>
      <w:proofErr w:type="spellEnd"/>
      <w:r w:rsidR="000E7200" w:rsidRPr="001964BA">
        <w:t xml:space="preserve"> et </w:t>
      </w:r>
      <w:proofErr w:type="spellStart"/>
      <w:r w:rsidR="000E7200" w:rsidRPr="001964BA">
        <w:t>Gezani</w:t>
      </w:r>
      <w:proofErr w:type="spellEnd"/>
    </w:p>
    <w:p w14:paraId="7E2272AE" w14:textId="5C744978" w:rsidR="00744C3D" w:rsidRPr="001964BA" w:rsidRDefault="00764831" w:rsidP="000E7200">
      <w:pPr>
        <w:spacing w:line="278" w:lineRule="auto"/>
        <w:jc w:val="both"/>
        <w:rPr>
          <w:rFonts w:ascii="Verdana" w:hAnsi="Verdana"/>
          <w:sz w:val="20"/>
          <w:szCs w:val="20"/>
        </w:rPr>
      </w:pPr>
      <w:r w:rsidRPr="001964BA">
        <w:rPr>
          <w:rFonts w:ascii="Verdana" w:hAnsi="Verdana"/>
          <w:sz w:val="20"/>
          <w:szCs w:val="20"/>
        </w:rPr>
        <w:t xml:space="preserve">La dernière saison cyclonique a une nouvelle fois mis en évidence la forte vulnérabilité de la région, en particulier de Madagascar. En moins de deux semaines, le pays a été frappé par les cyclones </w:t>
      </w:r>
      <w:proofErr w:type="spellStart"/>
      <w:r w:rsidRPr="001964BA">
        <w:rPr>
          <w:rFonts w:ascii="Verdana" w:hAnsi="Verdana"/>
          <w:sz w:val="20"/>
          <w:szCs w:val="20"/>
        </w:rPr>
        <w:t>Fytia</w:t>
      </w:r>
      <w:proofErr w:type="spellEnd"/>
      <w:r w:rsidRPr="001964BA">
        <w:rPr>
          <w:rFonts w:ascii="Verdana" w:hAnsi="Verdana"/>
          <w:sz w:val="20"/>
          <w:szCs w:val="20"/>
        </w:rPr>
        <w:t xml:space="preserve"> le 31 janvier et </w:t>
      </w:r>
      <w:proofErr w:type="spellStart"/>
      <w:r w:rsidRPr="001964BA">
        <w:rPr>
          <w:rFonts w:ascii="Verdana" w:hAnsi="Verdana"/>
          <w:sz w:val="20"/>
          <w:szCs w:val="20"/>
        </w:rPr>
        <w:t>Gezani</w:t>
      </w:r>
      <w:proofErr w:type="spellEnd"/>
      <w:r w:rsidRPr="001964BA">
        <w:rPr>
          <w:rFonts w:ascii="Verdana" w:hAnsi="Verdana"/>
          <w:sz w:val="20"/>
          <w:szCs w:val="20"/>
        </w:rPr>
        <w:t xml:space="preserve"> le10 février. </w:t>
      </w:r>
      <w:proofErr w:type="spellStart"/>
      <w:r w:rsidRPr="001964BA">
        <w:rPr>
          <w:rFonts w:ascii="Verdana" w:hAnsi="Verdana"/>
          <w:sz w:val="20"/>
          <w:szCs w:val="20"/>
        </w:rPr>
        <w:t>Fytia</w:t>
      </w:r>
      <w:proofErr w:type="spellEnd"/>
      <w:r w:rsidRPr="001964BA">
        <w:rPr>
          <w:rFonts w:ascii="Verdana" w:hAnsi="Verdana"/>
          <w:sz w:val="20"/>
          <w:szCs w:val="20"/>
        </w:rPr>
        <w:t xml:space="preserve"> a provoqué de fortes inondations à l’ouest et au centre du pays, faisant 12 morts et plus de 70000 sinistrés</w:t>
      </w:r>
      <w:r w:rsidR="00744C3D" w:rsidRPr="001964BA">
        <w:rPr>
          <w:rFonts w:ascii="Verdana" w:hAnsi="Verdana"/>
          <w:sz w:val="20"/>
          <w:szCs w:val="20"/>
        </w:rPr>
        <w:t xml:space="preserve"> selon le BNGRC</w:t>
      </w:r>
      <w:r w:rsidRPr="001964BA">
        <w:rPr>
          <w:rFonts w:ascii="Verdana" w:hAnsi="Verdana"/>
          <w:sz w:val="20"/>
          <w:szCs w:val="20"/>
        </w:rPr>
        <w:t>.</w:t>
      </w:r>
      <w:r w:rsidRPr="001964BA">
        <w:rPr>
          <w:rFonts w:ascii="Verdana" w:hAnsi="Verdana"/>
          <w:sz w:val="20"/>
          <w:szCs w:val="20"/>
        </w:rPr>
        <w:br/>
      </w:r>
      <w:proofErr w:type="spellStart"/>
      <w:r w:rsidR="00744C3D" w:rsidRPr="001964BA">
        <w:rPr>
          <w:rFonts w:ascii="Verdana" w:hAnsi="Verdana"/>
          <w:sz w:val="20"/>
          <w:szCs w:val="20"/>
        </w:rPr>
        <w:t>Gezani</w:t>
      </w:r>
      <w:proofErr w:type="spellEnd"/>
      <w:r w:rsidR="00744C3D" w:rsidRPr="001964BA">
        <w:rPr>
          <w:rFonts w:ascii="Verdana" w:hAnsi="Verdana"/>
          <w:sz w:val="20"/>
          <w:szCs w:val="20"/>
        </w:rPr>
        <w:t>, cyclone le plus violent enregistré à Toamasina depuis le début de l’ère satellitaire, a provoqué des dégâts majeurs, faisant au moins 62 victimes d’après les chiffres officiels. Le Gouvernement a estimé les besoins à 142 millions de dollars pour couvrir l’aide humanitaire immédiate, le relèvement rapide et les priorités de reconstruction.</w:t>
      </w:r>
    </w:p>
    <w:p w14:paraId="177EBDD3" w14:textId="5A6F627E" w:rsidR="000E7200" w:rsidRPr="001964BA" w:rsidRDefault="00DC7F29" w:rsidP="000E7200">
      <w:pPr>
        <w:spacing w:line="278" w:lineRule="auto"/>
        <w:jc w:val="both"/>
        <w:rPr>
          <w:rFonts w:ascii="Verdana" w:hAnsi="Verdana"/>
          <w:sz w:val="20"/>
          <w:szCs w:val="20"/>
        </w:rPr>
      </w:pPr>
      <w:r w:rsidRPr="001964BA">
        <w:rPr>
          <w:rFonts w:ascii="Verdana" w:hAnsi="Verdana"/>
          <w:sz w:val="20"/>
          <w:szCs w:val="20"/>
        </w:rPr>
        <w:t>En</w:t>
      </w:r>
      <w:r w:rsidR="00764831" w:rsidRPr="001964BA">
        <w:rPr>
          <w:rFonts w:ascii="Verdana" w:hAnsi="Verdana"/>
          <w:sz w:val="20"/>
          <w:szCs w:val="20"/>
        </w:rPr>
        <w:t xml:space="preserve"> réponse</w:t>
      </w:r>
      <w:r w:rsidRPr="001964BA">
        <w:rPr>
          <w:rFonts w:ascii="Verdana" w:hAnsi="Verdana"/>
          <w:sz w:val="20"/>
          <w:szCs w:val="20"/>
        </w:rPr>
        <w:t xml:space="preserve"> à l'appel à la solidarité internationale lancé par Madagascar et au communiqué de la Présidence en exercice de la COI, le Secrétariat général a immédiatement activé ses leviers de coopération. Une consultation officielle a été engagée auprès des missions diplomatiques et représentations des partenaires de développement et des observateurs de la COI</w:t>
      </w:r>
      <w:r w:rsidR="000E7200" w:rsidRPr="001964BA">
        <w:rPr>
          <w:rFonts w:ascii="Verdana" w:hAnsi="Verdana"/>
          <w:sz w:val="20"/>
          <w:szCs w:val="20"/>
        </w:rPr>
        <w:t>.</w:t>
      </w:r>
      <w:r w:rsidRPr="001964BA">
        <w:rPr>
          <w:rFonts w:ascii="Verdana" w:hAnsi="Verdana"/>
          <w:sz w:val="20"/>
          <w:szCs w:val="20"/>
        </w:rPr>
        <w:t xml:space="preserve"> </w:t>
      </w:r>
      <w:r w:rsidR="000E7200" w:rsidRPr="001964BA">
        <w:rPr>
          <w:rFonts w:ascii="Verdana" w:hAnsi="Verdana"/>
          <w:sz w:val="20"/>
          <w:szCs w:val="20"/>
        </w:rPr>
        <w:t>Cette démarche visait principalement à catalyser les soutiens potentiels et à promouvoir une réponse coordonnée, à la hauteur des besoins.</w:t>
      </w:r>
    </w:p>
    <w:p w14:paraId="57E8A14F" w14:textId="404C31B3" w:rsidR="00947EA1" w:rsidRPr="001964BA" w:rsidRDefault="00947EA1" w:rsidP="00947EA1">
      <w:pPr>
        <w:spacing w:line="278" w:lineRule="auto"/>
        <w:jc w:val="both"/>
        <w:rPr>
          <w:rFonts w:ascii="Verdana" w:hAnsi="Verdana"/>
          <w:sz w:val="20"/>
          <w:szCs w:val="20"/>
        </w:rPr>
      </w:pPr>
      <w:r w:rsidRPr="001964BA">
        <w:rPr>
          <w:rFonts w:ascii="Verdana" w:hAnsi="Verdana"/>
          <w:sz w:val="20"/>
          <w:szCs w:val="20"/>
        </w:rPr>
        <w:t xml:space="preserve">La France a informé, par correspondance officielle du Bureau de l’OPL adressée au Secrétariat général, de sa mobilisation en soutien à la réponse aux cyclones </w:t>
      </w:r>
      <w:proofErr w:type="spellStart"/>
      <w:r w:rsidRPr="001964BA">
        <w:rPr>
          <w:rFonts w:ascii="Verdana" w:hAnsi="Verdana"/>
          <w:sz w:val="20"/>
          <w:szCs w:val="20"/>
        </w:rPr>
        <w:t>Fytia</w:t>
      </w:r>
      <w:proofErr w:type="spellEnd"/>
      <w:r w:rsidRPr="001964BA">
        <w:rPr>
          <w:rFonts w:ascii="Verdana" w:hAnsi="Verdana"/>
          <w:sz w:val="20"/>
          <w:szCs w:val="20"/>
        </w:rPr>
        <w:t xml:space="preserve"> et </w:t>
      </w:r>
      <w:proofErr w:type="spellStart"/>
      <w:r w:rsidRPr="001964BA">
        <w:rPr>
          <w:rFonts w:ascii="Verdana" w:hAnsi="Verdana"/>
          <w:sz w:val="20"/>
          <w:szCs w:val="20"/>
        </w:rPr>
        <w:t>Gezani</w:t>
      </w:r>
      <w:proofErr w:type="spellEnd"/>
      <w:r w:rsidRPr="001964BA">
        <w:rPr>
          <w:rFonts w:ascii="Verdana" w:hAnsi="Verdana"/>
          <w:sz w:val="20"/>
          <w:szCs w:val="20"/>
        </w:rPr>
        <w:t xml:space="preserve">. Cette mobilisation s’est traduite par l’acheminement, via la PIROI et les Forces </w:t>
      </w:r>
      <w:r w:rsidRPr="001964BA">
        <w:rPr>
          <w:rFonts w:ascii="Verdana" w:hAnsi="Verdana"/>
          <w:sz w:val="20"/>
          <w:szCs w:val="20"/>
        </w:rPr>
        <w:lastRenderedPageBreak/>
        <w:t>armées dans la zone sud de l’océan Indien, d’environ 8,5 tonnes d’aide humanitaire au profit de 500 familles, ainsi que de matériel</w:t>
      </w:r>
      <w:r w:rsidR="001964BA" w:rsidRPr="001964BA">
        <w:rPr>
          <w:rFonts w:ascii="Verdana" w:hAnsi="Verdana"/>
          <w:sz w:val="20"/>
          <w:szCs w:val="20"/>
        </w:rPr>
        <w:t>s</w:t>
      </w:r>
      <w:r w:rsidRPr="001964BA">
        <w:rPr>
          <w:rFonts w:ascii="Verdana" w:hAnsi="Verdana"/>
          <w:sz w:val="20"/>
          <w:szCs w:val="20"/>
        </w:rPr>
        <w:t xml:space="preserve"> d’urgence (tentes, couvertures et dispositifs de purification d’eau). Des experts ont également été déployés pour appuyer la logistique et la coordination, tandis que des moyens aériens et maritimes ont contribué à la réouverture des accès portuaires.</w:t>
      </w:r>
    </w:p>
    <w:p w14:paraId="5962C7FB" w14:textId="69F4302A" w:rsidR="00947EA1" w:rsidRPr="001964BA" w:rsidRDefault="00947EA1" w:rsidP="00947EA1">
      <w:pPr>
        <w:spacing w:line="278" w:lineRule="auto"/>
        <w:jc w:val="both"/>
        <w:rPr>
          <w:rFonts w:ascii="Verdana" w:hAnsi="Verdana"/>
          <w:sz w:val="20"/>
          <w:szCs w:val="20"/>
        </w:rPr>
      </w:pPr>
      <w:r w:rsidRPr="001964BA">
        <w:rPr>
          <w:rFonts w:ascii="Verdana" w:hAnsi="Verdana"/>
          <w:sz w:val="20"/>
          <w:szCs w:val="20"/>
        </w:rPr>
        <w:t xml:space="preserve">L’Union européenne, partenaire de la COI, a fait part, par note verbale adressée au Secrétariat général, de son engagement en soutien à Madagascar à la suite des cyclones </w:t>
      </w:r>
      <w:proofErr w:type="spellStart"/>
      <w:r w:rsidRPr="001964BA">
        <w:rPr>
          <w:rFonts w:ascii="Verdana" w:hAnsi="Verdana"/>
          <w:sz w:val="20"/>
          <w:szCs w:val="20"/>
        </w:rPr>
        <w:t>Fytia</w:t>
      </w:r>
      <w:proofErr w:type="spellEnd"/>
      <w:r w:rsidRPr="001964BA">
        <w:rPr>
          <w:rFonts w:ascii="Verdana" w:hAnsi="Verdana"/>
          <w:sz w:val="20"/>
          <w:szCs w:val="20"/>
        </w:rPr>
        <w:t xml:space="preserve"> et </w:t>
      </w:r>
      <w:proofErr w:type="spellStart"/>
      <w:r w:rsidRPr="001964BA">
        <w:rPr>
          <w:rFonts w:ascii="Verdana" w:hAnsi="Verdana"/>
          <w:sz w:val="20"/>
          <w:szCs w:val="20"/>
        </w:rPr>
        <w:t>Gezani</w:t>
      </w:r>
      <w:proofErr w:type="spellEnd"/>
      <w:r w:rsidRPr="001964BA">
        <w:rPr>
          <w:rFonts w:ascii="Verdana" w:hAnsi="Verdana"/>
          <w:sz w:val="20"/>
          <w:szCs w:val="20"/>
        </w:rPr>
        <w:t xml:space="preserve">. Elle a mobilisé plusieurs outils d’urgence, notamment le Mécanisme de protection civile, des équipes techniques d’États membres, la cartographie </w:t>
      </w:r>
      <w:proofErr w:type="spellStart"/>
      <w:r w:rsidRPr="001964BA">
        <w:rPr>
          <w:rFonts w:ascii="Verdana" w:hAnsi="Verdana"/>
          <w:sz w:val="20"/>
          <w:szCs w:val="20"/>
        </w:rPr>
        <w:t>Copernicus</w:t>
      </w:r>
      <w:proofErr w:type="spellEnd"/>
      <w:r w:rsidRPr="001964BA">
        <w:rPr>
          <w:rFonts w:ascii="Verdana" w:hAnsi="Verdana"/>
          <w:sz w:val="20"/>
          <w:szCs w:val="20"/>
        </w:rPr>
        <w:t xml:space="preserve"> et divers dispositifs humanitaires via le service de la Commission européenne à la protection civile et aux opérations d’aide humanitaire (ECHO), en appui aux ONG et aux opérations de réponse.</w:t>
      </w:r>
    </w:p>
    <w:p w14:paraId="1B6D6F52" w14:textId="02A89D87" w:rsidR="000E7200" w:rsidRPr="001964BA" w:rsidRDefault="000E7200" w:rsidP="000E7200">
      <w:pPr>
        <w:spacing w:line="278" w:lineRule="auto"/>
        <w:jc w:val="both"/>
        <w:rPr>
          <w:rFonts w:ascii="Verdana" w:hAnsi="Verdana"/>
          <w:sz w:val="20"/>
          <w:szCs w:val="20"/>
        </w:rPr>
      </w:pPr>
      <w:r w:rsidRPr="001964BA">
        <w:rPr>
          <w:rFonts w:ascii="Verdana" w:hAnsi="Verdana"/>
          <w:sz w:val="20"/>
          <w:szCs w:val="20"/>
        </w:rPr>
        <w:t xml:space="preserve">À Maurice, le Conseil des ministres du 13 février 2026 a approuvé un don de 100 000 dollars afin de soutenir les opérations d’urgence </w:t>
      </w:r>
      <w:r w:rsidR="001964BA" w:rsidRPr="001964BA">
        <w:rPr>
          <w:rFonts w:ascii="Verdana" w:hAnsi="Verdana"/>
          <w:sz w:val="20"/>
          <w:szCs w:val="20"/>
        </w:rPr>
        <w:t>à la suite du</w:t>
      </w:r>
      <w:r w:rsidRPr="001964BA">
        <w:rPr>
          <w:rFonts w:ascii="Verdana" w:hAnsi="Verdana"/>
          <w:sz w:val="20"/>
          <w:szCs w:val="20"/>
        </w:rPr>
        <w:t xml:space="preserve"> passage du cyclone </w:t>
      </w:r>
      <w:proofErr w:type="spellStart"/>
      <w:r w:rsidRPr="001964BA">
        <w:rPr>
          <w:rFonts w:ascii="Verdana" w:hAnsi="Verdana"/>
          <w:sz w:val="20"/>
          <w:szCs w:val="20"/>
        </w:rPr>
        <w:t>Gezani</w:t>
      </w:r>
      <w:proofErr w:type="spellEnd"/>
      <w:r w:rsidRPr="001964BA">
        <w:rPr>
          <w:rFonts w:ascii="Verdana" w:hAnsi="Verdana"/>
          <w:sz w:val="20"/>
          <w:szCs w:val="20"/>
        </w:rPr>
        <w:t xml:space="preserve"> à Toamasina.</w:t>
      </w:r>
    </w:p>
    <w:p w14:paraId="6CB784B2" w14:textId="2A9E8A29" w:rsidR="003951EE" w:rsidRPr="001964BA" w:rsidRDefault="003951EE" w:rsidP="003951EE">
      <w:pPr>
        <w:pStyle w:val="Titre2"/>
        <w:spacing w:line="276" w:lineRule="auto"/>
        <w:jc w:val="both"/>
        <w:rPr>
          <w:rFonts w:ascii="Verdana" w:eastAsiaTheme="minorHAnsi" w:hAnsi="Verdana" w:cstheme="minorBidi"/>
          <w:color w:val="auto"/>
          <w:sz w:val="20"/>
          <w:szCs w:val="20"/>
        </w:rPr>
      </w:pPr>
      <w:r w:rsidRPr="001964BA">
        <w:rPr>
          <w:rFonts w:ascii="Verdana" w:eastAsiaTheme="minorHAnsi" w:hAnsi="Verdana" w:cstheme="minorBidi"/>
          <w:color w:val="auto"/>
          <w:sz w:val="20"/>
          <w:szCs w:val="20"/>
        </w:rPr>
        <w:t xml:space="preserve">Cette solidarité active, ayant contribué à la réponse aux cyclones </w:t>
      </w:r>
      <w:proofErr w:type="spellStart"/>
      <w:r w:rsidRPr="001964BA">
        <w:rPr>
          <w:rFonts w:ascii="Verdana" w:eastAsiaTheme="minorHAnsi" w:hAnsi="Verdana" w:cstheme="minorBidi"/>
          <w:color w:val="auto"/>
          <w:sz w:val="20"/>
          <w:szCs w:val="20"/>
        </w:rPr>
        <w:t>Fytia</w:t>
      </w:r>
      <w:proofErr w:type="spellEnd"/>
      <w:r w:rsidRPr="001964BA">
        <w:rPr>
          <w:rFonts w:ascii="Verdana" w:eastAsiaTheme="minorHAnsi" w:hAnsi="Verdana" w:cstheme="minorBidi"/>
          <w:color w:val="auto"/>
          <w:sz w:val="20"/>
          <w:szCs w:val="20"/>
        </w:rPr>
        <w:t xml:space="preserve"> et </w:t>
      </w:r>
      <w:proofErr w:type="spellStart"/>
      <w:r w:rsidRPr="001964BA">
        <w:rPr>
          <w:rFonts w:ascii="Verdana" w:eastAsiaTheme="minorHAnsi" w:hAnsi="Verdana" w:cstheme="minorBidi"/>
          <w:color w:val="auto"/>
          <w:sz w:val="20"/>
          <w:szCs w:val="20"/>
        </w:rPr>
        <w:t>Gezani</w:t>
      </w:r>
      <w:proofErr w:type="spellEnd"/>
      <w:r w:rsidRPr="001964BA">
        <w:rPr>
          <w:rFonts w:ascii="Verdana" w:eastAsiaTheme="minorHAnsi" w:hAnsi="Verdana" w:cstheme="minorBidi"/>
          <w:color w:val="auto"/>
          <w:sz w:val="20"/>
          <w:szCs w:val="20"/>
        </w:rPr>
        <w:t xml:space="preserve">, mérite d’être saluée. </w:t>
      </w:r>
      <w:r w:rsidR="001067B4" w:rsidRPr="001964BA">
        <w:rPr>
          <w:rFonts w:ascii="Verdana" w:eastAsiaTheme="minorHAnsi" w:hAnsi="Verdana" w:cstheme="minorBidi"/>
          <w:color w:val="auto"/>
          <w:sz w:val="20"/>
          <w:szCs w:val="20"/>
        </w:rPr>
        <w:t>Toutefois, face à la multiplication attendue des phénomènes climatiques extrêmes liés au changement climatique, il apparaît nécessaire de renforcer les mécanismes régionaux de coopération afin d’assurer des réponses rapides, coordonnées et efficaces aux catastrophes majeures.</w:t>
      </w:r>
    </w:p>
    <w:p w14:paraId="4E922720" w14:textId="5F807D48" w:rsidR="000E7200" w:rsidRPr="001964BA" w:rsidRDefault="000E7200" w:rsidP="001964BA">
      <w:pPr>
        <w:pStyle w:val="Sous-partie2"/>
      </w:pPr>
      <w:r w:rsidRPr="001964BA">
        <w:rPr>
          <w:rStyle w:val="Sous-titreCar"/>
          <w:rFonts w:eastAsiaTheme="minorHAnsi" w:cs="Calibri"/>
          <w:color w:val="0070C0"/>
          <w:spacing w:val="0"/>
          <w:sz w:val="20"/>
          <w:szCs w:val="20"/>
        </w:rPr>
        <w:t>Préparation et prévention : le socle de l’action régionale de la COI pour réduire les risques de catastrophes</w:t>
      </w:r>
    </w:p>
    <w:p w14:paraId="2E1B76E0" w14:textId="258BB06C" w:rsidR="002C5607" w:rsidRPr="001964BA" w:rsidRDefault="002C5607" w:rsidP="002C5607">
      <w:pPr>
        <w:pStyle w:val="Titre2"/>
        <w:jc w:val="both"/>
        <w:rPr>
          <w:rFonts w:ascii="Verdana" w:eastAsiaTheme="minorHAnsi" w:hAnsi="Verdana" w:cstheme="minorBidi"/>
          <w:color w:val="auto"/>
          <w:sz w:val="20"/>
          <w:szCs w:val="20"/>
        </w:rPr>
      </w:pPr>
      <w:r w:rsidRPr="001964BA">
        <w:rPr>
          <w:rFonts w:ascii="Verdana" w:eastAsiaTheme="minorHAnsi" w:hAnsi="Verdana" w:cstheme="minorBidi"/>
          <w:color w:val="auto"/>
          <w:sz w:val="20"/>
          <w:szCs w:val="20"/>
        </w:rPr>
        <w:t>Le programme RDRM-IO, financé par l’Union européenne à hauteur de 6,85 millions d’euros et mis en œuvre conjointement par la COI, l’UNDRR et la PIROI, s’est achevé le 13 mai 2026 et constitue une avancée notable dans la structuration de la coopération régionale en matière de gestion des risques de catastrophes. Il a apporté un appui institutionnel aux États membres pour la mise en œuvre de leurs engagements au titre du Cadre de Sendai. C</w:t>
      </w:r>
      <w:r w:rsidR="00110615" w:rsidRPr="001964BA">
        <w:rPr>
          <w:rFonts w:ascii="Verdana" w:eastAsiaTheme="minorHAnsi" w:hAnsi="Verdana" w:cstheme="minorBidi"/>
          <w:color w:val="auto"/>
          <w:sz w:val="20"/>
          <w:szCs w:val="20"/>
        </w:rPr>
        <w:t xml:space="preserve">ela s’est traduit </w:t>
      </w:r>
      <w:r w:rsidRPr="001964BA">
        <w:rPr>
          <w:rFonts w:ascii="Verdana" w:eastAsiaTheme="minorHAnsi" w:hAnsi="Verdana" w:cstheme="minorBidi"/>
          <w:color w:val="auto"/>
          <w:sz w:val="20"/>
          <w:szCs w:val="20"/>
        </w:rPr>
        <w:t>notamment</w:t>
      </w:r>
      <w:r w:rsidR="00110615" w:rsidRPr="001964BA">
        <w:rPr>
          <w:rFonts w:ascii="Verdana" w:eastAsiaTheme="minorHAnsi" w:hAnsi="Verdana" w:cstheme="minorBidi"/>
          <w:color w:val="auto"/>
          <w:sz w:val="20"/>
          <w:szCs w:val="20"/>
        </w:rPr>
        <w:t xml:space="preserve"> par </w:t>
      </w:r>
      <w:r w:rsidRPr="001964BA">
        <w:rPr>
          <w:rFonts w:ascii="Verdana" w:eastAsiaTheme="minorHAnsi" w:hAnsi="Verdana" w:cstheme="minorBidi"/>
          <w:color w:val="auto"/>
          <w:sz w:val="20"/>
          <w:szCs w:val="20"/>
        </w:rPr>
        <w:t>la révision de documents stratégiques, réglementaires et de certaines procédures opérationnelles en matière de gestion des risques de catastrophes.</w:t>
      </w:r>
    </w:p>
    <w:p w14:paraId="58D26F38" w14:textId="335C1AD6" w:rsidR="003E33FA" w:rsidRPr="001964BA" w:rsidRDefault="003E33FA" w:rsidP="002C5607">
      <w:pPr>
        <w:pStyle w:val="Titre2"/>
        <w:jc w:val="both"/>
        <w:rPr>
          <w:rFonts w:ascii="Verdana" w:eastAsiaTheme="minorHAnsi" w:hAnsi="Verdana" w:cstheme="minorBidi"/>
          <w:color w:val="auto"/>
          <w:sz w:val="20"/>
          <w:szCs w:val="20"/>
        </w:rPr>
      </w:pPr>
      <w:r w:rsidRPr="001964BA">
        <w:rPr>
          <w:rFonts w:ascii="Verdana" w:eastAsiaTheme="minorHAnsi" w:hAnsi="Verdana" w:cstheme="minorBidi"/>
          <w:color w:val="auto"/>
          <w:sz w:val="20"/>
          <w:szCs w:val="20"/>
        </w:rPr>
        <w:t>Par ailleurs, à travers les cadres d’échanges régionaux qu’il a instaurés, ce progra</w:t>
      </w:r>
      <w:r w:rsidR="00AE61A5" w:rsidRPr="001964BA">
        <w:rPr>
          <w:rFonts w:ascii="Verdana" w:eastAsiaTheme="minorHAnsi" w:hAnsi="Verdana" w:cstheme="minorBidi"/>
          <w:color w:val="auto"/>
          <w:sz w:val="20"/>
          <w:szCs w:val="20"/>
        </w:rPr>
        <w:t>mme</w:t>
      </w:r>
      <w:r w:rsidRPr="001964BA">
        <w:rPr>
          <w:rFonts w:ascii="Verdana" w:eastAsiaTheme="minorHAnsi" w:hAnsi="Verdana" w:cstheme="minorBidi"/>
          <w:color w:val="auto"/>
          <w:sz w:val="20"/>
          <w:szCs w:val="20"/>
        </w:rPr>
        <w:t xml:space="preserve"> a renforcé les liens entre les institutions nationales de G</w:t>
      </w:r>
      <w:r w:rsidR="00AE61A5" w:rsidRPr="001964BA">
        <w:rPr>
          <w:rFonts w:ascii="Verdana" w:eastAsiaTheme="minorHAnsi" w:hAnsi="Verdana" w:cstheme="minorBidi"/>
          <w:color w:val="auto"/>
          <w:sz w:val="20"/>
          <w:szCs w:val="20"/>
        </w:rPr>
        <w:t xml:space="preserve">estion des </w:t>
      </w:r>
      <w:r w:rsidRPr="001964BA">
        <w:rPr>
          <w:rFonts w:ascii="Verdana" w:eastAsiaTheme="minorHAnsi" w:hAnsi="Verdana" w:cstheme="minorBidi"/>
          <w:color w:val="auto"/>
          <w:sz w:val="20"/>
          <w:szCs w:val="20"/>
        </w:rPr>
        <w:t>R</w:t>
      </w:r>
      <w:r w:rsidR="00AE61A5" w:rsidRPr="001964BA">
        <w:rPr>
          <w:rFonts w:ascii="Verdana" w:eastAsiaTheme="minorHAnsi" w:hAnsi="Verdana" w:cstheme="minorBidi"/>
          <w:color w:val="auto"/>
          <w:sz w:val="20"/>
          <w:szCs w:val="20"/>
        </w:rPr>
        <w:t>isques</w:t>
      </w:r>
      <w:r w:rsidRPr="001964BA">
        <w:rPr>
          <w:rFonts w:ascii="Verdana" w:eastAsiaTheme="minorHAnsi" w:hAnsi="Verdana" w:cstheme="minorBidi"/>
          <w:color w:val="auto"/>
          <w:sz w:val="20"/>
          <w:szCs w:val="20"/>
        </w:rPr>
        <w:t xml:space="preserve"> et des partenaires techniques tels que UNDRR</w:t>
      </w:r>
      <w:r w:rsidR="00AE61A5" w:rsidRPr="001964BA">
        <w:rPr>
          <w:rFonts w:ascii="Verdana" w:eastAsiaTheme="minorHAnsi" w:hAnsi="Verdana" w:cstheme="minorBidi"/>
          <w:color w:val="auto"/>
          <w:sz w:val="20"/>
          <w:szCs w:val="20"/>
        </w:rPr>
        <w:t>, UN-Habitat, la PIROI</w:t>
      </w:r>
      <w:r w:rsidRPr="001964BA">
        <w:rPr>
          <w:rFonts w:ascii="Verdana" w:eastAsiaTheme="minorHAnsi" w:hAnsi="Verdana" w:cstheme="minorBidi"/>
          <w:color w:val="auto"/>
          <w:sz w:val="20"/>
          <w:szCs w:val="20"/>
        </w:rPr>
        <w:t xml:space="preserve"> et les Sociétés nationales de la Croix-Rouge, favorisant une coopération technique durable.</w:t>
      </w:r>
    </w:p>
    <w:p w14:paraId="5C7E51B8" w14:textId="3ACCD2D1" w:rsidR="00B26D9B" w:rsidRPr="001964BA" w:rsidRDefault="00B26D9B" w:rsidP="00AE61A5">
      <w:pPr>
        <w:pStyle w:val="Titre2"/>
        <w:jc w:val="both"/>
        <w:rPr>
          <w:rFonts w:ascii="Verdana" w:hAnsi="Verdana"/>
          <w:color w:val="auto"/>
          <w:sz w:val="20"/>
          <w:szCs w:val="20"/>
        </w:rPr>
      </w:pPr>
      <w:r w:rsidRPr="001964BA">
        <w:rPr>
          <w:rFonts w:ascii="Verdana" w:hAnsi="Verdana"/>
          <w:color w:val="auto"/>
          <w:sz w:val="20"/>
          <w:szCs w:val="20"/>
        </w:rPr>
        <w:t>De plus, les capacités opérationnelles des agences nationales de gestion des risques de catastrophes ont été renforcées grâce à la remise d’environ un million d’euros d’équipements aux États membres</w:t>
      </w:r>
      <w:r w:rsidR="00920428" w:rsidRPr="001964BA">
        <w:rPr>
          <w:rFonts w:ascii="Verdana" w:hAnsi="Verdana"/>
          <w:color w:val="auto"/>
          <w:sz w:val="20"/>
          <w:szCs w:val="20"/>
        </w:rPr>
        <w:t xml:space="preserve"> (Seychelles -370 000 euros, les Comores -200 000 euros, Maurice -202 000 euros et Madagascar -225 000 euros).</w:t>
      </w:r>
      <w:r w:rsidRPr="001964BA">
        <w:rPr>
          <w:rFonts w:ascii="Verdana" w:hAnsi="Verdana"/>
          <w:color w:val="auto"/>
          <w:sz w:val="20"/>
          <w:szCs w:val="20"/>
        </w:rPr>
        <w:t xml:space="preserve"> Ces équipements ont permis d’améliorer la coordination de la réponse, la collecte et le traitement des données, ainsi que les interventions d’urgence et les systèmes de communication. </w:t>
      </w:r>
    </w:p>
    <w:p w14:paraId="275A2D2F" w14:textId="14B67D6F" w:rsidR="00B17E78" w:rsidRPr="001964BA" w:rsidRDefault="00B17E78" w:rsidP="000E7200">
      <w:pPr>
        <w:jc w:val="both"/>
        <w:rPr>
          <w:rFonts w:ascii="Verdana" w:eastAsiaTheme="majorEastAsia" w:hAnsi="Verdana" w:cstheme="majorBidi"/>
          <w:sz w:val="20"/>
          <w:szCs w:val="20"/>
        </w:rPr>
      </w:pPr>
      <w:r w:rsidRPr="001964BA">
        <w:rPr>
          <w:rFonts w:ascii="Verdana" w:eastAsiaTheme="majorEastAsia" w:hAnsi="Verdana" w:cstheme="majorBidi"/>
          <w:sz w:val="20"/>
          <w:szCs w:val="20"/>
        </w:rPr>
        <w:t>Le programme RDRM a également appuyé des initiatives innovantes, notamment une meilleure intégration des drones dans les activités de gestion des risques de catastrophes. Des échanges</w:t>
      </w:r>
      <w:r w:rsidR="00350063" w:rsidRPr="001964BA">
        <w:rPr>
          <w:rFonts w:ascii="Verdana" w:eastAsiaTheme="majorEastAsia" w:hAnsi="Verdana" w:cstheme="majorBidi"/>
          <w:sz w:val="20"/>
          <w:szCs w:val="20"/>
        </w:rPr>
        <w:t xml:space="preserve"> techniques</w:t>
      </w:r>
      <w:r w:rsidRPr="001964BA">
        <w:rPr>
          <w:rFonts w:ascii="Verdana" w:eastAsiaTheme="majorEastAsia" w:hAnsi="Verdana" w:cstheme="majorBidi"/>
          <w:sz w:val="20"/>
          <w:szCs w:val="20"/>
        </w:rPr>
        <w:t xml:space="preserve"> régionaux entre pairs ont abouti à l’élaboration d’orientations et de feuilles de route nationales, incluant des recommandations pour renforcer les cadres réglementaires sur ce </w:t>
      </w:r>
      <w:r w:rsidR="00350063" w:rsidRPr="001964BA">
        <w:rPr>
          <w:rFonts w:ascii="Verdana" w:eastAsiaTheme="majorEastAsia" w:hAnsi="Verdana" w:cstheme="majorBidi"/>
          <w:sz w:val="20"/>
          <w:szCs w:val="20"/>
        </w:rPr>
        <w:t>domaine</w:t>
      </w:r>
      <w:r w:rsidRPr="001964BA">
        <w:rPr>
          <w:rFonts w:ascii="Verdana" w:eastAsiaTheme="majorEastAsia" w:hAnsi="Verdana" w:cstheme="majorBidi"/>
          <w:sz w:val="20"/>
          <w:szCs w:val="20"/>
        </w:rPr>
        <w:t>.</w:t>
      </w:r>
    </w:p>
    <w:p w14:paraId="1EA59984" w14:textId="26474A2D" w:rsidR="007506BB" w:rsidRPr="001964BA" w:rsidRDefault="006F5DD2" w:rsidP="000E7200">
      <w:pPr>
        <w:jc w:val="both"/>
        <w:rPr>
          <w:rFonts w:ascii="Verdana" w:eastAsiaTheme="majorEastAsia" w:hAnsi="Verdana" w:cstheme="majorBidi"/>
          <w:sz w:val="20"/>
          <w:szCs w:val="20"/>
        </w:rPr>
      </w:pPr>
      <w:r w:rsidRPr="001964BA">
        <w:rPr>
          <w:rFonts w:ascii="Verdana" w:eastAsiaTheme="majorEastAsia" w:hAnsi="Verdana" w:cstheme="majorBidi"/>
          <w:sz w:val="20"/>
          <w:szCs w:val="20"/>
        </w:rPr>
        <w:t xml:space="preserve">Le projet HYDROMET, financé à hauteur de 71 millions de dollars par le Fonds vert pour le climat, l’AFD et l’Union européenne, constitue une contribution majeure au renforcement des systèmes d’observation et de surveillance météorologique et hydrologique des États membres de la COI. Il permettra l’acquisition d’équipements de pointe, notamment des radars météorologiques, des bouées océanographiques et des stations de prévision, renforçant significativement les capacités nationales d’alerte et de suivi des phénomènes climatiques. </w:t>
      </w:r>
      <w:r w:rsidR="00920428" w:rsidRPr="001964BA">
        <w:rPr>
          <w:rFonts w:ascii="Verdana" w:eastAsiaTheme="majorEastAsia" w:hAnsi="Verdana" w:cstheme="majorBidi"/>
          <w:sz w:val="20"/>
          <w:szCs w:val="20"/>
        </w:rPr>
        <w:t>Les déploiements de ses équipements sont prévus entre 2026 à 2029</w:t>
      </w:r>
    </w:p>
    <w:p w14:paraId="2C7E04F3" w14:textId="3CCCFA28" w:rsidR="006F5DD2" w:rsidRPr="001964BA" w:rsidRDefault="006F5DD2" w:rsidP="000E7200">
      <w:pPr>
        <w:jc w:val="both"/>
        <w:rPr>
          <w:rFonts w:ascii="Verdana" w:eastAsiaTheme="majorEastAsia" w:hAnsi="Verdana" w:cstheme="majorBidi"/>
          <w:sz w:val="20"/>
          <w:szCs w:val="20"/>
        </w:rPr>
      </w:pPr>
      <w:r w:rsidRPr="001964BA">
        <w:rPr>
          <w:rFonts w:ascii="Verdana" w:eastAsiaTheme="majorEastAsia" w:hAnsi="Verdana" w:cstheme="majorBidi"/>
          <w:sz w:val="20"/>
          <w:szCs w:val="20"/>
        </w:rPr>
        <w:t>À terme, ce renforcement des capacités techniques permettra de développer des prévisions basées sur les impacts afin d’améliorer la planification et l’efficacité de la réponse.</w:t>
      </w:r>
    </w:p>
    <w:p w14:paraId="1354F0D2" w14:textId="63F4AE3B" w:rsidR="000E7200" w:rsidRPr="001964BA" w:rsidRDefault="007506BB" w:rsidP="000E7200">
      <w:pPr>
        <w:jc w:val="both"/>
        <w:rPr>
          <w:rStyle w:val="lev"/>
          <w:rFonts w:ascii="Verdana" w:eastAsiaTheme="majorEastAsia" w:hAnsi="Verdana" w:cstheme="majorBidi"/>
          <w:b w:val="0"/>
          <w:bCs w:val="0"/>
          <w:sz w:val="20"/>
          <w:szCs w:val="20"/>
        </w:rPr>
      </w:pPr>
      <w:r w:rsidRPr="001964BA">
        <w:rPr>
          <w:rFonts w:ascii="Verdana" w:eastAsiaTheme="majorEastAsia" w:hAnsi="Verdana" w:cstheme="majorBidi"/>
          <w:sz w:val="20"/>
          <w:szCs w:val="20"/>
        </w:rPr>
        <w:t xml:space="preserve">Par ailleurs, le projet HYDROMET soutient la préparation </w:t>
      </w:r>
      <w:proofErr w:type="spellStart"/>
      <w:r w:rsidRPr="001964BA">
        <w:rPr>
          <w:rFonts w:ascii="Verdana" w:eastAsiaTheme="majorEastAsia" w:hAnsi="Verdana" w:cstheme="majorBidi"/>
          <w:sz w:val="20"/>
          <w:szCs w:val="20"/>
        </w:rPr>
        <w:t>pré-saison</w:t>
      </w:r>
      <w:proofErr w:type="spellEnd"/>
      <w:r w:rsidRPr="001964BA">
        <w:rPr>
          <w:rFonts w:ascii="Verdana" w:eastAsiaTheme="majorEastAsia" w:hAnsi="Verdana" w:cstheme="majorBidi"/>
          <w:sz w:val="20"/>
          <w:szCs w:val="20"/>
        </w:rPr>
        <w:t xml:space="preserve"> cyclonique des États membres à travers l’organisation de forums de prévisions saisonnières, qui fournissent des informations essentielles pour anticiper les risques et mettre en œuvre des mesures préventives adaptées.</w:t>
      </w:r>
    </w:p>
    <w:p w14:paraId="738D648F" w14:textId="4C8105EA" w:rsidR="000E7200" w:rsidRPr="001964BA" w:rsidRDefault="000E7200" w:rsidP="001964BA">
      <w:pPr>
        <w:pStyle w:val="Sous-partie2"/>
        <w:rPr>
          <w:b/>
          <w:bCs/>
        </w:rPr>
      </w:pPr>
      <w:r w:rsidRPr="001964BA">
        <w:rPr>
          <w:rStyle w:val="lev"/>
          <w:b w:val="0"/>
          <w:bCs w:val="0"/>
        </w:rPr>
        <w:t>Collaboration et Partenariats</w:t>
      </w:r>
    </w:p>
    <w:p w14:paraId="6FDDECDD" w14:textId="540A3D04" w:rsidR="00A11B49" w:rsidRDefault="00A11B49" w:rsidP="00A11B49">
      <w:pPr>
        <w:pStyle w:val="Titre2"/>
        <w:jc w:val="both"/>
        <w:rPr>
          <w:rFonts w:ascii="Verdana" w:eastAsiaTheme="minorHAnsi" w:hAnsi="Verdana" w:cstheme="minorBidi"/>
          <w:color w:val="auto"/>
          <w:sz w:val="20"/>
          <w:szCs w:val="20"/>
        </w:rPr>
      </w:pPr>
      <w:r w:rsidRPr="001964BA">
        <w:rPr>
          <w:rFonts w:ascii="Verdana" w:eastAsiaTheme="minorHAnsi" w:hAnsi="Verdana" w:cstheme="minorBidi"/>
          <w:color w:val="auto"/>
          <w:sz w:val="20"/>
          <w:szCs w:val="20"/>
        </w:rPr>
        <w:t xml:space="preserve">Afin de renforcer la coopération régionale en matière de réduction des risques de catastrophes, la COI mène des consultations en vue de consolider ses partenariats avec plusieurs institutions spécialisées, notamment les agences des Nations Unies (UNDRR, PNUD, UN-Habitat, UNOHRLLS, OIM), des acteurs humanitaires tels que la PIROI et la FICR, ainsi que des partenaires bilatéraux et multilatéraux, dont Australia AID, </w:t>
      </w:r>
      <w:r w:rsidR="000274CF" w:rsidRPr="001964BA">
        <w:rPr>
          <w:rFonts w:ascii="Verdana" w:eastAsiaTheme="minorHAnsi" w:hAnsi="Verdana" w:cstheme="minorBidi"/>
          <w:color w:val="auto"/>
          <w:sz w:val="20"/>
          <w:szCs w:val="20"/>
        </w:rPr>
        <w:t xml:space="preserve">l’Ordre de Malte </w:t>
      </w:r>
      <w:r w:rsidRPr="001964BA">
        <w:rPr>
          <w:rFonts w:ascii="Verdana" w:eastAsiaTheme="minorHAnsi" w:hAnsi="Verdana" w:cstheme="minorBidi"/>
          <w:color w:val="auto"/>
          <w:sz w:val="20"/>
          <w:szCs w:val="20"/>
        </w:rPr>
        <w:t>la Suisse et la Corée du Sud.</w:t>
      </w:r>
    </w:p>
    <w:p w14:paraId="71BF6581" w14:textId="77777777" w:rsidR="001964BA" w:rsidRPr="001964BA" w:rsidRDefault="001964BA" w:rsidP="001964BA"/>
    <w:p w14:paraId="78C1FF8D" w14:textId="4CB7407E" w:rsidR="000E7200" w:rsidRPr="001964BA" w:rsidRDefault="000E7200" w:rsidP="001964BA">
      <w:pPr>
        <w:pStyle w:val="Titrepartie"/>
        <w:spacing w:after="120"/>
        <w:contextualSpacing w:val="0"/>
      </w:pPr>
      <w:r w:rsidRPr="001964BA">
        <w:t>Proposition de décision :</w:t>
      </w:r>
    </w:p>
    <w:p w14:paraId="4575B0F2" w14:textId="19AFEE28" w:rsidR="000E7200" w:rsidRPr="001964BA" w:rsidRDefault="000E7200" w:rsidP="001964BA">
      <w:pPr>
        <w:spacing w:after="120"/>
        <w:jc w:val="both"/>
        <w:rPr>
          <w:rFonts w:ascii="Verdana" w:hAnsi="Verdana"/>
          <w:sz w:val="20"/>
          <w:szCs w:val="20"/>
        </w:rPr>
      </w:pPr>
      <w:r w:rsidRPr="001964BA">
        <w:rPr>
          <w:rFonts w:ascii="Verdana" w:hAnsi="Verdana"/>
          <w:sz w:val="20"/>
          <w:szCs w:val="20"/>
        </w:rPr>
        <w:t>Le Conseil des ministres :</w:t>
      </w:r>
    </w:p>
    <w:p w14:paraId="705E3AB6" w14:textId="6E986FCD" w:rsidR="001964BA" w:rsidRPr="001964BA" w:rsidRDefault="001964BA" w:rsidP="001964BA">
      <w:pPr>
        <w:pStyle w:val="paragraph"/>
        <w:numPr>
          <w:ilvl w:val="0"/>
          <w:numId w:val="5"/>
        </w:numPr>
        <w:spacing w:before="0" w:beforeAutospacing="0" w:after="120" w:afterAutospacing="0" w:line="259" w:lineRule="auto"/>
        <w:jc w:val="both"/>
        <w:textAlignment w:val="baseline"/>
        <w:rPr>
          <w:rStyle w:val="ParagrapheCar"/>
          <w:rFonts w:cs="Segoe UI"/>
        </w:rPr>
      </w:pPr>
      <w:r w:rsidRPr="001964BA">
        <w:rPr>
          <w:rStyle w:val="ParagrapheCar"/>
        </w:rPr>
        <w:t>S</w:t>
      </w:r>
      <w:r w:rsidRPr="001964BA">
        <w:rPr>
          <w:rStyle w:val="ParagrapheCar"/>
        </w:rPr>
        <w:t xml:space="preserve">ouligne l’importance de renforcer les mécanismes régionaux de réponse aux risques de catastrophes et de salue la solidarité des États membres de la COI et des partenaires qui ont soutenu Madagascar après le passage des cyclones tropicaux </w:t>
      </w:r>
      <w:proofErr w:type="spellStart"/>
      <w:r w:rsidRPr="001964BA">
        <w:rPr>
          <w:rStyle w:val="ParagrapheCar"/>
        </w:rPr>
        <w:t>Fytia</w:t>
      </w:r>
      <w:proofErr w:type="spellEnd"/>
      <w:r w:rsidRPr="001964BA">
        <w:rPr>
          <w:rStyle w:val="ParagrapheCar"/>
        </w:rPr>
        <w:t xml:space="preserve"> et </w:t>
      </w:r>
      <w:proofErr w:type="spellStart"/>
      <w:r w:rsidRPr="001964BA">
        <w:rPr>
          <w:rStyle w:val="ParagrapheCar"/>
        </w:rPr>
        <w:t>Gezani</w:t>
      </w:r>
      <w:proofErr w:type="spellEnd"/>
      <w:r w:rsidRPr="001964BA">
        <w:rPr>
          <w:rStyle w:val="ParagrapheCar"/>
        </w:rPr>
        <w:t> ;</w:t>
      </w:r>
    </w:p>
    <w:p w14:paraId="498B2EE6" w14:textId="03E2B5D6" w:rsidR="000E7200" w:rsidRPr="001964BA" w:rsidRDefault="000E7200" w:rsidP="001964BA">
      <w:pPr>
        <w:pStyle w:val="Paragraphedeliste"/>
        <w:numPr>
          <w:ilvl w:val="0"/>
          <w:numId w:val="5"/>
        </w:numPr>
        <w:spacing w:after="120" w:line="278" w:lineRule="auto"/>
        <w:contextualSpacing w:val="0"/>
        <w:jc w:val="both"/>
        <w:rPr>
          <w:rFonts w:ascii="Verdana" w:hAnsi="Verdana"/>
          <w:sz w:val="20"/>
          <w:szCs w:val="20"/>
        </w:rPr>
      </w:pPr>
      <w:r w:rsidRPr="001964BA">
        <w:rPr>
          <w:rFonts w:ascii="Verdana" w:hAnsi="Verdana"/>
          <w:sz w:val="20"/>
          <w:szCs w:val="20"/>
        </w:rPr>
        <w:t xml:space="preserve">Encourage la poursuite des efforts de consolidation et diversification des partenariats stratégiques pour la prochaine phase de l’agenda régional pour la </w:t>
      </w:r>
      <w:r w:rsidR="001964BA" w:rsidRPr="001964BA">
        <w:rPr>
          <w:rFonts w:ascii="Verdana" w:hAnsi="Verdana"/>
          <w:sz w:val="20"/>
          <w:szCs w:val="20"/>
        </w:rPr>
        <w:t>r</w:t>
      </w:r>
      <w:r w:rsidRPr="001964BA">
        <w:rPr>
          <w:rFonts w:ascii="Verdana" w:hAnsi="Verdana"/>
          <w:sz w:val="20"/>
          <w:szCs w:val="20"/>
        </w:rPr>
        <w:t xml:space="preserve">éduction des </w:t>
      </w:r>
      <w:r w:rsidR="001964BA" w:rsidRPr="001964BA">
        <w:rPr>
          <w:rFonts w:ascii="Verdana" w:hAnsi="Verdana"/>
          <w:sz w:val="20"/>
          <w:szCs w:val="20"/>
        </w:rPr>
        <w:t>r</w:t>
      </w:r>
      <w:r w:rsidRPr="001964BA">
        <w:rPr>
          <w:rFonts w:ascii="Verdana" w:hAnsi="Verdana"/>
          <w:sz w:val="20"/>
          <w:szCs w:val="20"/>
        </w:rPr>
        <w:t xml:space="preserve">isques de </w:t>
      </w:r>
      <w:r w:rsidR="001964BA" w:rsidRPr="001964BA">
        <w:rPr>
          <w:rFonts w:ascii="Verdana" w:hAnsi="Verdana"/>
          <w:sz w:val="20"/>
          <w:szCs w:val="20"/>
        </w:rPr>
        <w:t>c</w:t>
      </w:r>
      <w:r w:rsidRPr="001964BA">
        <w:rPr>
          <w:rFonts w:ascii="Verdana" w:hAnsi="Verdana"/>
          <w:sz w:val="20"/>
          <w:szCs w:val="20"/>
        </w:rPr>
        <w:t>atastrophes.</w:t>
      </w:r>
    </w:p>
    <w:p w14:paraId="32ACD254" w14:textId="77777777" w:rsidR="000E7200" w:rsidRPr="00F02828" w:rsidRDefault="000E7200" w:rsidP="000E7200">
      <w:pPr>
        <w:pStyle w:val="paragraph"/>
        <w:spacing w:before="0" w:beforeAutospacing="0" w:after="120" w:afterAutospacing="0" w:line="259" w:lineRule="auto"/>
        <w:ind w:left="720"/>
        <w:jc w:val="both"/>
        <w:textAlignment w:val="baseline"/>
        <w:rPr>
          <w:rStyle w:val="normaltextrun"/>
          <w:rFonts w:ascii="Segoe UI" w:hAnsi="Segoe UI" w:cs="Segoe UI"/>
          <w:sz w:val="18"/>
          <w:szCs w:val="18"/>
        </w:rPr>
      </w:pPr>
    </w:p>
    <w:p w14:paraId="2B0DA96C" w14:textId="77777777" w:rsidR="000E7200" w:rsidRDefault="000E7200" w:rsidP="000E7200">
      <w:pPr>
        <w:pStyle w:val="paragraph"/>
        <w:spacing w:before="0" w:beforeAutospacing="0" w:after="0" w:afterAutospacing="0" w:line="259" w:lineRule="auto"/>
        <w:ind w:left="1440"/>
        <w:jc w:val="both"/>
        <w:textAlignment w:val="baseline"/>
        <w:rPr>
          <w:rFonts w:ascii="Segoe UI" w:hAnsi="Segoe UI" w:cs="Segoe UI"/>
          <w:sz w:val="18"/>
          <w:szCs w:val="18"/>
        </w:rPr>
      </w:pPr>
      <w:r>
        <w:rPr>
          <w:rStyle w:val="normaltextrun"/>
          <w:rFonts w:ascii="Verdana" w:hAnsi="Verdana" w:cs="Segoe UI"/>
          <w:sz w:val="20"/>
          <w:szCs w:val="20"/>
        </w:rPr>
        <w:t xml:space="preserve"> </w:t>
      </w:r>
    </w:p>
    <w:p w14:paraId="38AC51AA" w14:textId="77777777" w:rsidR="00C15169" w:rsidRDefault="00C15169"/>
    <w:sectPr w:rsidR="00C15169" w:rsidSect="000E7200">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9FAD6" w14:textId="77777777" w:rsidR="00994EF5" w:rsidRDefault="00994EF5">
      <w:pPr>
        <w:spacing w:after="0" w:line="240" w:lineRule="auto"/>
      </w:pPr>
      <w:r>
        <w:separator/>
      </w:r>
    </w:p>
  </w:endnote>
  <w:endnote w:type="continuationSeparator" w:id="0">
    <w:p w14:paraId="1DA78848" w14:textId="77777777" w:rsidR="00994EF5" w:rsidRDefault="00994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287F3E66" w14:textId="77777777" w:rsidR="000E7200" w:rsidRDefault="000E7200" w:rsidP="000F4728">
        <w:pPr>
          <w:pStyle w:val="Pieddepage"/>
          <w:pBdr>
            <w:top w:val="single" w:sz="4" w:space="1" w:color="E97132" w:themeColor="accent2"/>
          </w:pBdr>
          <w:jc w:val="right"/>
        </w:pPr>
        <w:r>
          <w:fldChar w:fldCharType="begin"/>
        </w:r>
        <w:r>
          <w:instrText>PAGE   \* MERGEFORMAT</w:instrText>
        </w:r>
        <w:r>
          <w:fldChar w:fldCharType="separate"/>
        </w:r>
        <w:r>
          <w:t>2</w:t>
        </w:r>
        <w:r>
          <w:fldChar w:fldCharType="end"/>
        </w:r>
      </w:p>
    </w:sdtContent>
  </w:sdt>
  <w:p w14:paraId="3489883A" w14:textId="77777777" w:rsidR="000E7200" w:rsidRDefault="000E72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FF1CC" w14:textId="77777777" w:rsidR="00994EF5" w:rsidRDefault="00994EF5">
      <w:pPr>
        <w:spacing w:after="0" w:line="240" w:lineRule="auto"/>
      </w:pPr>
      <w:r>
        <w:separator/>
      </w:r>
    </w:p>
  </w:footnote>
  <w:footnote w:type="continuationSeparator" w:id="0">
    <w:p w14:paraId="1E668BE0" w14:textId="77777777" w:rsidR="00994EF5" w:rsidRDefault="00994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63F5" w14:textId="77777777" w:rsidR="000E7200" w:rsidRDefault="000E7200" w:rsidP="00D65935">
    <w:pPr>
      <w:pStyle w:val="En-tte"/>
      <w:pBdr>
        <w:bottom w:val="single" w:sz="4" w:space="1" w:color="0070C0"/>
      </w:pBdr>
      <w:tabs>
        <w:tab w:val="clear" w:pos="4536"/>
        <w:tab w:val="clear" w:pos="9072"/>
        <w:tab w:val="center" w:pos="0"/>
      </w:tabs>
    </w:pPr>
    <w:r>
      <w:rPr>
        <w:i/>
        <w:iCs/>
        <w:noProof/>
      </w:rPr>
      <w:drawing>
        <wp:inline distT="0" distB="0" distL="0" distR="0" wp14:anchorId="5AAB298D" wp14:editId="7365EE98">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tab/>
    </w:r>
    <w:r>
      <w:tab/>
    </w:r>
    <w:r>
      <w:tab/>
    </w:r>
    <w:r>
      <w:tab/>
    </w:r>
    <w:r>
      <w:tab/>
    </w:r>
    <w:r>
      <w:tab/>
    </w:r>
    <w:r>
      <w:tab/>
    </w:r>
    <w:r>
      <w:tab/>
    </w:r>
    <w:r w:rsidRPr="0018252D">
      <w:rPr>
        <w:rFonts w:ascii="Verdana" w:hAnsi="Verdana"/>
        <w:b/>
        <w:bCs/>
        <w:sz w:val="20"/>
        <w:szCs w:val="20"/>
      </w:rPr>
      <w:t>Point</w:t>
    </w:r>
    <w:r>
      <w:rPr>
        <w:rFonts w:ascii="Verdana" w:hAnsi="Verdana"/>
        <w:b/>
        <w:bCs/>
        <w:sz w:val="20"/>
        <w:szCs w:val="20"/>
      </w:rPr>
      <w:t xml:space="preserve">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56D7"/>
    <w:multiLevelType w:val="hybridMultilevel"/>
    <w:tmpl w:val="81007D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1D30430"/>
    <w:multiLevelType w:val="multilevel"/>
    <w:tmpl w:val="0F742F8C"/>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ascii="Verdana" w:hAnsi="Verdana" w:hint="default"/>
        <w:b w:val="0"/>
        <w:bCs w:val="0"/>
        <w:color w:val="006C92"/>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7802FFA"/>
    <w:multiLevelType w:val="hybridMultilevel"/>
    <w:tmpl w:val="B24448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96832EF"/>
    <w:multiLevelType w:val="hybridMultilevel"/>
    <w:tmpl w:val="540E1A5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4E5B18"/>
    <w:multiLevelType w:val="hybridMultilevel"/>
    <w:tmpl w:val="E4681A3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7437032">
    <w:abstractNumId w:val="1"/>
  </w:num>
  <w:num w:numId="2" w16cid:durableId="1774663646">
    <w:abstractNumId w:val="0"/>
  </w:num>
  <w:num w:numId="3" w16cid:durableId="1342467593">
    <w:abstractNumId w:val="2"/>
  </w:num>
  <w:num w:numId="4" w16cid:durableId="2016764929">
    <w:abstractNumId w:val="4"/>
  </w:num>
  <w:num w:numId="5" w16cid:durableId="1261986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00"/>
    <w:rsid w:val="000128C2"/>
    <w:rsid w:val="000274CF"/>
    <w:rsid w:val="00032812"/>
    <w:rsid w:val="00081072"/>
    <w:rsid w:val="00085267"/>
    <w:rsid w:val="000D2B3A"/>
    <w:rsid w:val="000E1A78"/>
    <w:rsid w:val="000E7200"/>
    <w:rsid w:val="001067B4"/>
    <w:rsid w:val="00110615"/>
    <w:rsid w:val="00131152"/>
    <w:rsid w:val="001964BA"/>
    <w:rsid w:val="001C7682"/>
    <w:rsid w:val="00296E36"/>
    <w:rsid w:val="002A3787"/>
    <w:rsid w:val="002C5607"/>
    <w:rsid w:val="00350063"/>
    <w:rsid w:val="003541D2"/>
    <w:rsid w:val="003951EE"/>
    <w:rsid w:val="003E33FA"/>
    <w:rsid w:val="004215FD"/>
    <w:rsid w:val="0048244D"/>
    <w:rsid w:val="004A4594"/>
    <w:rsid w:val="004B3E39"/>
    <w:rsid w:val="005D7DE6"/>
    <w:rsid w:val="0061557F"/>
    <w:rsid w:val="0063256C"/>
    <w:rsid w:val="00682CD4"/>
    <w:rsid w:val="006A3236"/>
    <w:rsid w:val="006C52F2"/>
    <w:rsid w:val="006F5DD2"/>
    <w:rsid w:val="00702ADA"/>
    <w:rsid w:val="00744C3D"/>
    <w:rsid w:val="007506BB"/>
    <w:rsid w:val="00764831"/>
    <w:rsid w:val="00773033"/>
    <w:rsid w:val="00920428"/>
    <w:rsid w:val="00947EA1"/>
    <w:rsid w:val="00994EF5"/>
    <w:rsid w:val="00A11B49"/>
    <w:rsid w:val="00A308DC"/>
    <w:rsid w:val="00A6089A"/>
    <w:rsid w:val="00A92372"/>
    <w:rsid w:val="00A97BF2"/>
    <w:rsid w:val="00AD2204"/>
    <w:rsid w:val="00AE61A5"/>
    <w:rsid w:val="00B17E78"/>
    <w:rsid w:val="00B26D9B"/>
    <w:rsid w:val="00BF21A1"/>
    <w:rsid w:val="00C15169"/>
    <w:rsid w:val="00C51E79"/>
    <w:rsid w:val="00CC2952"/>
    <w:rsid w:val="00CD0FAA"/>
    <w:rsid w:val="00D1551D"/>
    <w:rsid w:val="00D844C0"/>
    <w:rsid w:val="00DA61A7"/>
    <w:rsid w:val="00DC7F29"/>
    <w:rsid w:val="00E929D3"/>
    <w:rsid w:val="00EF4B65"/>
    <w:rsid w:val="00F607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67BC"/>
  <w15:chartTrackingRefBased/>
  <w15:docId w15:val="{3CB4BD63-AEB1-4822-8719-AAB820AB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200"/>
    <w:pPr>
      <w:spacing w:line="259" w:lineRule="auto"/>
    </w:pPr>
    <w:rPr>
      <w:kern w:val="0"/>
      <w:sz w:val="22"/>
      <w:szCs w:val="22"/>
      <w14:ligatures w14:val="none"/>
    </w:rPr>
  </w:style>
  <w:style w:type="paragraph" w:styleId="Titre1">
    <w:name w:val="heading 1"/>
    <w:basedOn w:val="Normal"/>
    <w:next w:val="Normal"/>
    <w:link w:val="Titre1Car"/>
    <w:uiPriority w:val="9"/>
    <w:qFormat/>
    <w:rsid w:val="000E7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E7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E720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E720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E720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E720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E720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E720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E720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720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E720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0E720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E720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E720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E720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E720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E720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E7200"/>
    <w:rPr>
      <w:rFonts w:eastAsiaTheme="majorEastAsia" w:cstheme="majorBidi"/>
      <w:color w:val="272727" w:themeColor="text1" w:themeTint="D8"/>
    </w:rPr>
  </w:style>
  <w:style w:type="paragraph" w:styleId="Titre">
    <w:name w:val="Title"/>
    <w:basedOn w:val="Normal"/>
    <w:next w:val="Normal"/>
    <w:link w:val="TitreCar"/>
    <w:uiPriority w:val="10"/>
    <w:qFormat/>
    <w:rsid w:val="000E7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E720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E720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E720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E7200"/>
    <w:pPr>
      <w:spacing w:before="160"/>
      <w:jc w:val="center"/>
    </w:pPr>
    <w:rPr>
      <w:i/>
      <w:iCs/>
      <w:color w:val="404040" w:themeColor="text1" w:themeTint="BF"/>
    </w:rPr>
  </w:style>
  <w:style w:type="character" w:customStyle="1" w:styleId="CitationCar">
    <w:name w:val="Citation Car"/>
    <w:basedOn w:val="Policepardfaut"/>
    <w:link w:val="Citation"/>
    <w:uiPriority w:val="29"/>
    <w:rsid w:val="000E7200"/>
    <w:rPr>
      <w:i/>
      <w:iCs/>
      <w:color w:val="404040" w:themeColor="text1" w:themeTint="BF"/>
    </w:rPr>
  </w:style>
  <w:style w:type="paragraph" w:styleId="Paragraphedeliste">
    <w:name w:val="List Paragraph"/>
    <w:basedOn w:val="Normal"/>
    <w:uiPriority w:val="34"/>
    <w:qFormat/>
    <w:rsid w:val="000E7200"/>
    <w:pPr>
      <w:ind w:left="720"/>
      <w:contextualSpacing/>
    </w:pPr>
  </w:style>
  <w:style w:type="character" w:styleId="Accentuationintense">
    <w:name w:val="Intense Emphasis"/>
    <w:basedOn w:val="Policepardfaut"/>
    <w:uiPriority w:val="21"/>
    <w:qFormat/>
    <w:rsid w:val="000E7200"/>
    <w:rPr>
      <w:i/>
      <w:iCs/>
      <w:color w:val="0F4761" w:themeColor="accent1" w:themeShade="BF"/>
    </w:rPr>
  </w:style>
  <w:style w:type="paragraph" w:styleId="Citationintense">
    <w:name w:val="Intense Quote"/>
    <w:basedOn w:val="Normal"/>
    <w:next w:val="Normal"/>
    <w:link w:val="CitationintenseCar"/>
    <w:uiPriority w:val="30"/>
    <w:qFormat/>
    <w:rsid w:val="000E7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E7200"/>
    <w:rPr>
      <w:i/>
      <w:iCs/>
      <w:color w:val="0F4761" w:themeColor="accent1" w:themeShade="BF"/>
    </w:rPr>
  </w:style>
  <w:style w:type="character" w:styleId="Rfrenceintense">
    <w:name w:val="Intense Reference"/>
    <w:basedOn w:val="Policepardfaut"/>
    <w:uiPriority w:val="32"/>
    <w:qFormat/>
    <w:rsid w:val="000E7200"/>
    <w:rPr>
      <w:b/>
      <w:bCs/>
      <w:smallCaps/>
      <w:color w:val="0F4761" w:themeColor="accent1" w:themeShade="BF"/>
      <w:spacing w:val="5"/>
    </w:rPr>
  </w:style>
  <w:style w:type="paragraph" w:styleId="En-tte">
    <w:name w:val="header"/>
    <w:basedOn w:val="Normal"/>
    <w:link w:val="En-tteCar"/>
    <w:uiPriority w:val="99"/>
    <w:unhideWhenUsed/>
    <w:rsid w:val="000E7200"/>
    <w:pPr>
      <w:tabs>
        <w:tab w:val="center" w:pos="4536"/>
        <w:tab w:val="right" w:pos="9072"/>
      </w:tabs>
      <w:spacing w:after="0" w:line="240" w:lineRule="auto"/>
    </w:pPr>
  </w:style>
  <w:style w:type="character" w:customStyle="1" w:styleId="En-tteCar">
    <w:name w:val="En-tête Car"/>
    <w:basedOn w:val="Policepardfaut"/>
    <w:link w:val="En-tte"/>
    <w:uiPriority w:val="99"/>
    <w:rsid w:val="000E7200"/>
    <w:rPr>
      <w:kern w:val="0"/>
      <w:sz w:val="22"/>
      <w:szCs w:val="22"/>
      <w:lang w:val="fr-FR"/>
      <w14:ligatures w14:val="none"/>
    </w:rPr>
  </w:style>
  <w:style w:type="paragraph" w:styleId="Pieddepage">
    <w:name w:val="footer"/>
    <w:basedOn w:val="Normal"/>
    <w:link w:val="PieddepageCar"/>
    <w:uiPriority w:val="99"/>
    <w:unhideWhenUsed/>
    <w:rsid w:val="000E72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7200"/>
    <w:rPr>
      <w:kern w:val="0"/>
      <w:sz w:val="22"/>
      <w:szCs w:val="22"/>
      <w:lang w:val="fr-FR"/>
      <w14:ligatures w14:val="none"/>
    </w:rPr>
  </w:style>
  <w:style w:type="table" w:styleId="Grilledutableau">
    <w:name w:val="Table Grid"/>
    <w:basedOn w:val="TableauNormal"/>
    <w:uiPriority w:val="39"/>
    <w:rsid w:val="000E720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basedOn w:val="Normal"/>
    <w:link w:val="ParagrapheCar"/>
    <w:qFormat/>
    <w:rsid w:val="000E7200"/>
    <w:pPr>
      <w:jc w:val="both"/>
    </w:pPr>
    <w:rPr>
      <w:rFonts w:ascii="Verdana" w:hAnsi="Verdana" w:cs="Calibri"/>
      <w:sz w:val="20"/>
      <w:szCs w:val="20"/>
    </w:rPr>
  </w:style>
  <w:style w:type="paragraph" w:customStyle="1" w:styleId="Titrepartie">
    <w:name w:val="Titre partie"/>
    <w:basedOn w:val="Paragraphedeliste"/>
    <w:link w:val="TitrepartieCar"/>
    <w:qFormat/>
    <w:rsid w:val="000E7200"/>
    <w:pPr>
      <w:numPr>
        <w:numId w:val="1"/>
      </w:numPr>
      <w:jc w:val="both"/>
    </w:pPr>
    <w:rPr>
      <w:rFonts w:ascii="Verdana" w:hAnsi="Verdana" w:cs="Calibri"/>
      <w:b/>
      <w:bCs/>
      <w:color w:val="0070C0"/>
      <w:szCs w:val="20"/>
    </w:rPr>
  </w:style>
  <w:style w:type="character" w:customStyle="1" w:styleId="ParagrapheCar">
    <w:name w:val="Paragraphe Car"/>
    <w:basedOn w:val="Policepardfaut"/>
    <w:link w:val="Paragraphe"/>
    <w:rsid w:val="000E7200"/>
    <w:rPr>
      <w:rFonts w:ascii="Verdana" w:hAnsi="Verdana" w:cs="Calibri"/>
      <w:kern w:val="0"/>
      <w:sz w:val="20"/>
      <w:szCs w:val="20"/>
      <w:lang w:val="fr-FR"/>
      <w14:ligatures w14:val="none"/>
    </w:rPr>
  </w:style>
  <w:style w:type="character" w:customStyle="1" w:styleId="TitrepartieCar">
    <w:name w:val="Titre partie Car"/>
    <w:basedOn w:val="Policepardfaut"/>
    <w:link w:val="Titrepartie"/>
    <w:rsid w:val="000E7200"/>
    <w:rPr>
      <w:rFonts w:ascii="Verdana" w:hAnsi="Verdana" w:cs="Calibri"/>
      <w:b/>
      <w:bCs/>
      <w:color w:val="0070C0"/>
      <w:kern w:val="0"/>
      <w:sz w:val="22"/>
      <w:szCs w:val="20"/>
      <w:lang w:val="fr-FR"/>
      <w14:ligatures w14:val="none"/>
    </w:rPr>
  </w:style>
  <w:style w:type="paragraph" w:customStyle="1" w:styleId="Sous-partie2">
    <w:name w:val="Sous-partie 2"/>
    <w:basedOn w:val="Paragraphedeliste"/>
    <w:link w:val="Sous-partie2Car"/>
    <w:qFormat/>
    <w:rsid w:val="000E7200"/>
    <w:pPr>
      <w:numPr>
        <w:ilvl w:val="1"/>
        <w:numId w:val="1"/>
      </w:numPr>
      <w:jc w:val="both"/>
    </w:pPr>
    <w:rPr>
      <w:rFonts w:ascii="Verdana" w:hAnsi="Verdana" w:cs="Calibri"/>
      <w:color w:val="0070C0"/>
      <w:sz w:val="20"/>
      <w:szCs w:val="20"/>
    </w:rPr>
  </w:style>
  <w:style w:type="character" w:customStyle="1" w:styleId="Sous-partie2Car">
    <w:name w:val="Sous-partie 2 Car"/>
    <w:basedOn w:val="Policepardfaut"/>
    <w:link w:val="Sous-partie2"/>
    <w:rsid w:val="000E7200"/>
    <w:rPr>
      <w:rFonts w:ascii="Verdana" w:hAnsi="Verdana" w:cs="Calibri"/>
      <w:color w:val="0070C0"/>
      <w:kern w:val="0"/>
      <w:sz w:val="20"/>
      <w:szCs w:val="20"/>
      <w:lang w:val="fr-FR"/>
      <w14:ligatures w14:val="none"/>
    </w:rPr>
  </w:style>
  <w:style w:type="paragraph" w:customStyle="1" w:styleId="paragraph">
    <w:name w:val="paragraph"/>
    <w:basedOn w:val="Normal"/>
    <w:rsid w:val="000E72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0E7200"/>
  </w:style>
  <w:style w:type="character" w:customStyle="1" w:styleId="eop">
    <w:name w:val="eop"/>
    <w:basedOn w:val="Policepardfaut"/>
    <w:rsid w:val="000E7200"/>
  </w:style>
  <w:style w:type="character" w:styleId="lev">
    <w:name w:val="Strong"/>
    <w:basedOn w:val="Policepardfaut"/>
    <w:uiPriority w:val="22"/>
    <w:qFormat/>
    <w:rsid w:val="000E72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1323</Words>
  <Characters>7477</Characters>
  <Application>Microsoft Office Word</Application>
  <DocSecurity>0</DocSecurity>
  <Lines>118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Bafakih SHAFIK</dc:creator>
  <cp:keywords/>
  <dc:description/>
  <cp:lastModifiedBy>Gilles RIBOUET</cp:lastModifiedBy>
  <cp:revision>3</cp:revision>
  <dcterms:created xsi:type="dcterms:W3CDTF">2026-05-18T05:53:00Z</dcterms:created>
  <dcterms:modified xsi:type="dcterms:W3CDTF">2026-05-18T05:53:00Z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ad1a9c44-b556-44d6-93be-85caa8f978a4</vt:lpwstr>
  </property>
</Properties>
</file>