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508"/>
        <w:gridCol w:w="1554"/>
      </w:tblGrid>
      <w:tr w:rsidR="00EC22CC" w:rsidRPr="00F91E1C" w14:paraId="51109D41" w14:textId="77777777">
        <w:tc>
          <w:tcPr>
            <w:tcW w:w="9062" w:type="dxa"/>
            <w:gridSpan w:val="2"/>
          </w:tcPr>
          <w:p w14:paraId="6FC76F95" w14:textId="00093296" w:rsidR="00EC22CC" w:rsidRPr="00F91E1C" w:rsidRDefault="0032519C" w:rsidP="00854EEA">
            <w:pPr>
              <w:jc w:val="center"/>
              <w:rPr>
                <w:rFonts w:ascii="Verdana" w:hAnsi="Verdana"/>
                <w:b/>
                <w:bCs/>
              </w:rPr>
            </w:pPr>
            <w:r w:rsidRPr="00F91E1C">
              <w:rPr>
                <w:rFonts w:ascii="Verdana" w:eastAsia="Times New Roman" w:hAnsi="Verdana"/>
                <w:b/>
                <w:bCs/>
                <w:color w:val="000000" w:themeColor="text1"/>
              </w:rPr>
              <w:t>COI</w:t>
            </w:r>
            <w:r w:rsidR="00C61586">
              <w:rPr>
                <w:rFonts w:ascii="Verdana" w:eastAsia="Times New Roman" w:hAnsi="Verdana"/>
                <w:b/>
                <w:bCs/>
                <w:color w:val="000000" w:themeColor="text1"/>
              </w:rPr>
              <w:t xml:space="preserve"> </w:t>
            </w:r>
            <w:r w:rsidRPr="00F91E1C">
              <w:rPr>
                <w:rFonts w:ascii="Verdana" w:eastAsia="Times New Roman" w:hAnsi="Verdana"/>
                <w:b/>
                <w:bCs/>
                <w:color w:val="000000" w:themeColor="text1"/>
              </w:rPr>
              <w:t>Horizon 2030 – modernisation institutionnelle et accréditation aux piliers de l’Union européenne</w:t>
            </w:r>
          </w:p>
        </w:tc>
      </w:tr>
      <w:tr w:rsidR="00EC22CC" w:rsidRPr="00F91E1C" w14:paraId="7F1B63D2" w14:textId="77777777" w:rsidTr="00174701">
        <w:tc>
          <w:tcPr>
            <w:tcW w:w="7508" w:type="dxa"/>
          </w:tcPr>
          <w:p w14:paraId="056D9B10" w14:textId="7EF1C8A2" w:rsidR="00EC22CC" w:rsidRPr="00F91E1C" w:rsidRDefault="000318DE" w:rsidP="002A096E">
            <w:pPr>
              <w:rPr>
                <w:rFonts w:ascii="Verdana" w:hAnsi="Verdana"/>
                <w:sz w:val="20"/>
                <w:szCs w:val="20"/>
              </w:rPr>
            </w:pPr>
            <w:r>
              <w:rPr>
                <w:rFonts w:ascii="Verdana" w:hAnsi="Verdana"/>
                <w:sz w:val="20"/>
                <w:szCs w:val="20"/>
              </w:rPr>
              <w:t>40</w:t>
            </w:r>
            <w:r w:rsidRPr="00174701">
              <w:rPr>
                <w:rFonts w:ascii="Verdana" w:hAnsi="Verdana"/>
                <w:sz w:val="20"/>
                <w:szCs w:val="20"/>
                <w:vertAlign w:val="superscript"/>
              </w:rPr>
              <w:t>e</w:t>
            </w:r>
            <w:r>
              <w:rPr>
                <w:rFonts w:ascii="Verdana" w:hAnsi="Verdana"/>
                <w:sz w:val="20"/>
                <w:szCs w:val="20"/>
              </w:rPr>
              <w:t xml:space="preserve"> Conseil des ministres de la COI | 06 juin 2026, Union des Comores</w:t>
            </w:r>
            <w:r w:rsidR="00F91E1C">
              <w:rPr>
                <w:rFonts w:ascii="Verdana" w:hAnsi="Verdana"/>
                <w:sz w:val="20"/>
                <w:szCs w:val="20"/>
              </w:rPr>
              <w:t xml:space="preserve"> </w:t>
            </w:r>
          </w:p>
        </w:tc>
        <w:tc>
          <w:tcPr>
            <w:tcW w:w="1554" w:type="dxa"/>
          </w:tcPr>
          <w:p w14:paraId="58E25D1F" w14:textId="64FDB9B1" w:rsidR="00EC22CC" w:rsidRPr="00F91E1C" w:rsidRDefault="002A096E" w:rsidP="00854EEA">
            <w:pPr>
              <w:jc w:val="center"/>
              <w:rPr>
                <w:rFonts w:ascii="Verdana" w:hAnsi="Verdana"/>
                <w:sz w:val="20"/>
                <w:szCs w:val="20"/>
              </w:rPr>
            </w:pPr>
            <w:r w:rsidRPr="00F91E1C">
              <w:rPr>
                <w:rFonts w:ascii="Verdana" w:hAnsi="Verdana"/>
                <w:sz w:val="20"/>
                <w:szCs w:val="20"/>
              </w:rPr>
              <w:t xml:space="preserve">Point </w:t>
            </w:r>
            <w:r w:rsidR="00416AE5">
              <w:rPr>
                <w:rFonts w:ascii="Verdana" w:hAnsi="Verdana"/>
                <w:sz w:val="20"/>
                <w:szCs w:val="20"/>
              </w:rPr>
              <w:t>4</w:t>
            </w:r>
          </w:p>
        </w:tc>
      </w:tr>
      <w:tr w:rsidR="00EC22CC" w:rsidRPr="00F91E1C" w14:paraId="537D1DE5" w14:textId="77777777" w:rsidTr="00174701">
        <w:tc>
          <w:tcPr>
            <w:tcW w:w="7508" w:type="dxa"/>
          </w:tcPr>
          <w:p w14:paraId="43DEF09E" w14:textId="37C4B0FF" w:rsidR="00EC22CC" w:rsidRPr="00F91E1C" w:rsidRDefault="00A148A1" w:rsidP="002A096E">
            <w:pPr>
              <w:rPr>
                <w:rFonts w:ascii="Verdana" w:hAnsi="Verdana"/>
                <w:sz w:val="20"/>
                <w:szCs w:val="20"/>
              </w:rPr>
            </w:pPr>
            <w:r w:rsidRPr="00F91E1C">
              <w:rPr>
                <w:rFonts w:ascii="Verdana" w:hAnsi="Verdana"/>
                <w:i/>
                <w:iCs/>
                <w:sz w:val="20"/>
                <w:szCs w:val="20"/>
              </w:rPr>
              <w:t>Dossier suivi par :</w:t>
            </w:r>
            <w:r w:rsidR="00EC22CC" w:rsidRPr="00F91E1C">
              <w:rPr>
                <w:rFonts w:ascii="Verdana" w:hAnsi="Verdana"/>
                <w:sz w:val="20"/>
                <w:szCs w:val="20"/>
              </w:rPr>
              <w:t xml:space="preserve"> </w:t>
            </w:r>
            <w:r w:rsidR="00182B6C">
              <w:rPr>
                <w:rFonts w:ascii="Verdana" w:hAnsi="Verdana"/>
                <w:sz w:val="20"/>
                <w:szCs w:val="20"/>
              </w:rPr>
              <w:t xml:space="preserve">Mme Gina Bonne, Directrice </w:t>
            </w:r>
            <w:proofErr w:type="spellStart"/>
            <w:r w:rsidR="00182B6C">
              <w:rPr>
                <w:rFonts w:ascii="Verdana" w:hAnsi="Verdana"/>
                <w:sz w:val="20"/>
                <w:szCs w:val="20"/>
              </w:rPr>
              <w:t>p.i</w:t>
            </w:r>
            <w:proofErr w:type="spellEnd"/>
          </w:p>
        </w:tc>
        <w:tc>
          <w:tcPr>
            <w:tcW w:w="1554" w:type="dxa"/>
          </w:tcPr>
          <w:p w14:paraId="5AC1AFAB" w14:textId="456E5329" w:rsidR="00EC22CC" w:rsidRPr="00F91E1C" w:rsidRDefault="006E7B08" w:rsidP="00854EEA">
            <w:pPr>
              <w:jc w:val="center"/>
              <w:rPr>
                <w:rFonts w:ascii="Verdana" w:hAnsi="Verdana"/>
                <w:sz w:val="20"/>
                <w:szCs w:val="20"/>
              </w:rPr>
            </w:pPr>
            <w:r>
              <w:rPr>
                <w:rFonts w:ascii="Verdana" w:hAnsi="Verdana"/>
                <w:sz w:val="20"/>
                <w:szCs w:val="20"/>
              </w:rPr>
              <w:t>Information</w:t>
            </w:r>
          </w:p>
        </w:tc>
      </w:tr>
      <w:tr w:rsidR="00A90305" w:rsidRPr="00F91E1C" w14:paraId="6896DB30" w14:textId="77777777">
        <w:tc>
          <w:tcPr>
            <w:tcW w:w="9062" w:type="dxa"/>
            <w:gridSpan w:val="2"/>
          </w:tcPr>
          <w:p w14:paraId="0495241B" w14:textId="2A3981F8" w:rsidR="00A90305" w:rsidRPr="00F91E1C" w:rsidRDefault="00A90305" w:rsidP="00A90305">
            <w:pPr>
              <w:rPr>
                <w:rFonts w:ascii="Verdana" w:hAnsi="Verdana"/>
                <w:sz w:val="20"/>
                <w:szCs w:val="20"/>
              </w:rPr>
            </w:pPr>
            <w:r w:rsidRPr="00F91E1C">
              <w:rPr>
                <w:rFonts w:ascii="Verdana" w:hAnsi="Verdana"/>
                <w:i/>
                <w:iCs/>
                <w:sz w:val="20"/>
                <w:szCs w:val="20"/>
              </w:rPr>
              <w:t xml:space="preserve">Version du </w:t>
            </w:r>
            <w:r w:rsidR="003C2DCC">
              <w:rPr>
                <w:rFonts w:ascii="Verdana" w:hAnsi="Verdana"/>
                <w:i/>
                <w:iCs/>
                <w:sz w:val="20"/>
                <w:szCs w:val="20"/>
              </w:rPr>
              <w:t>17</w:t>
            </w:r>
            <w:r w:rsidR="000318DE">
              <w:rPr>
                <w:rFonts w:ascii="Verdana" w:hAnsi="Verdana"/>
                <w:i/>
                <w:iCs/>
                <w:sz w:val="20"/>
                <w:szCs w:val="20"/>
              </w:rPr>
              <w:t>/0</w:t>
            </w:r>
            <w:r w:rsidR="006F3766">
              <w:rPr>
                <w:rFonts w:ascii="Verdana" w:hAnsi="Verdana"/>
                <w:i/>
                <w:iCs/>
                <w:sz w:val="20"/>
                <w:szCs w:val="20"/>
              </w:rPr>
              <w:t>5/2026</w:t>
            </w:r>
          </w:p>
        </w:tc>
      </w:tr>
    </w:tbl>
    <w:p w14:paraId="1611BCC4" w14:textId="77777777" w:rsidR="00854EEA" w:rsidRPr="00174701" w:rsidRDefault="00854EEA" w:rsidP="00174701">
      <w:pPr>
        <w:pStyle w:val="Paragraphe"/>
        <w:spacing w:after="120" w:line="276" w:lineRule="auto"/>
      </w:pPr>
      <w:bookmarkStart w:id="0" w:name="_Hlk24535240"/>
    </w:p>
    <w:p w14:paraId="10E35AA9" w14:textId="30C0A671" w:rsidR="009C7AB2" w:rsidRPr="00174701" w:rsidRDefault="009C7AB2" w:rsidP="00174701">
      <w:pPr>
        <w:pStyle w:val="Titrepartie"/>
        <w:spacing w:after="120" w:line="276" w:lineRule="auto"/>
        <w:contextualSpacing w:val="0"/>
        <w:rPr>
          <w:sz w:val="20"/>
        </w:rPr>
      </w:pPr>
      <w:r w:rsidRPr="00174701">
        <w:rPr>
          <w:sz w:val="20"/>
        </w:rPr>
        <w:t>Résumé</w:t>
      </w:r>
    </w:p>
    <w:p w14:paraId="26589599" w14:textId="27A96347"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 xml:space="preserve">Conçu comme un </w:t>
      </w:r>
      <w:r w:rsidRPr="00174701">
        <w:rPr>
          <w:rFonts w:ascii="Verdana" w:hAnsi="Verdana"/>
          <w:b/>
          <w:bCs/>
          <w:sz w:val="20"/>
          <w:szCs w:val="20"/>
        </w:rPr>
        <w:t>méta-projet</w:t>
      </w:r>
      <w:r w:rsidRPr="00174701">
        <w:rPr>
          <w:rFonts w:ascii="Verdana" w:hAnsi="Verdana"/>
          <w:sz w:val="20"/>
          <w:szCs w:val="20"/>
        </w:rPr>
        <w:t>, le programme COI-Horizon 2030 fédère plusieurs chantiers structurants et indissociables</w:t>
      </w:r>
      <w:r w:rsidR="000F4D3B" w:rsidRPr="00174701">
        <w:rPr>
          <w:rFonts w:ascii="Verdana" w:hAnsi="Verdana"/>
          <w:sz w:val="20"/>
          <w:szCs w:val="20"/>
        </w:rPr>
        <w:t> :</w:t>
      </w:r>
      <w:r w:rsidRPr="00174701">
        <w:rPr>
          <w:rFonts w:ascii="Verdana" w:hAnsi="Verdana"/>
          <w:sz w:val="20"/>
          <w:szCs w:val="20"/>
        </w:rPr>
        <w:t xml:space="preserve"> la </w:t>
      </w:r>
      <w:r w:rsidRPr="00174701">
        <w:rPr>
          <w:rFonts w:ascii="Verdana" w:hAnsi="Verdana"/>
          <w:b/>
          <w:bCs/>
          <w:sz w:val="20"/>
          <w:szCs w:val="20"/>
        </w:rPr>
        <w:t>modernisation institutionnelle du Secrétariat général (Résultat 1)</w:t>
      </w:r>
      <w:r w:rsidRPr="00174701">
        <w:rPr>
          <w:rFonts w:ascii="Verdana" w:hAnsi="Verdana"/>
          <w:sz w:val="20"/>
          <w:szCs w:val="20"/>
        </w:rPr>
        <w:t xml:space="preserve">, la </w:t>
      </w:r>
      <w:r w:rsidRPr="00174701">
        <w:rPr>
          <w:rFonts w:ascii="Verdana" w:hAnsi="Verdana"/>
          <w:b/>
          <w:bCs/>
          <w:sz w:val="20"/>
          <w:szCs w:val="20"/>
        </w:rPr>
        <w:t>consolidation du modèle économique (Résultat 2)</w:t>
      </w:r>
      <w:r w:rsidRPr="00174701">
        <w:rPr>
          <w:rFonts w:ascii="Verdana" w:hAnsi="Verdana"/>
          <w:sz w:val="20"/>
          <w:szCs w:val="20"/>
        </w:rPr>
        <w:t xml:space="preserve"> et le </w:t>
      </w:r>
      <w:r w:rsidRPr="00174701">
        <w:rPr>
          <w:rFonts w:ascii="Verdana" w:hAnsi="Verdana"/>
          <w:b/>
          <w:bCs/>
          <w:sz w:val="20"/>
          <w:szCs w:val="20"/>
        </w:rPr>
        <w:t>renforcement du positionnement stratégique régional (Résultat 3)</w:t>
      </w:r>
      <w:r w:rsidRPr="00174701">
        <w:rPr>
          <w:rFonts w:ascii="Verdana" w:hAnsi="Verdana"/>
          <w:sz w:val="20"/>
          <w:szCs w:val="20"/>
        </w:rPr>
        <w:t>. Il veille à la cohérence et à l’articulation de ces chantiers, au service de l’objectif de doter la COI des moyens institutionnels, financiers et stratégiques nécessaires à son rôle régional.</w:t>
      </w:r>
    </w:p>
    <w:p w14:paraId="2F6FE6D9" w14:textId="77777777"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À ce titre, il touche l’ensemble de l’Organisation, du Secrétariat général aux États membres, tout en initiant un appui à la mise en œuvre du Plan de Développement Stratégique (PDS) 2023-2033.</w:t>
      </w:r>
    </w:p>
    <w:p w14:paraId="72F7EB9F" w14:textId="5E375736"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La trajectoire engagée donne lieu à des avancées convergentes</w:t>
      </w:r>
      <w:r w:rsidR="000F4D3B" w:rsidRPr="00174701">
        <w:rPr>
          <w:rFonts w:ascii="Verdana" w:hAnsi="Verdana"/>
          <w:sz w:val="20"/>
          <w:szCs w:val="20"/>
        </w:rPr>
        <w:t> :</w:t>
      </w:r>
      <w:r w:rsidRPr="00174701">
        <w:rPr>
          <w:rFonts w:ascii="Verdana" w:hAnsi="Verdana"/>
          <w:sz w:val="20"/>
          <w:szCs w:val="20"/>
        </w:rPr>
        <w:t xml:space="preserve"> la </w:t>
      </w:r>
      <w:r w:rsidRPr="00174701">
        <w:rPr>
          <w:rFonts w:ascii="Verdana" w:hAnsi="Verdana"/>
          <w:b/>
          <w:bCs/>
          <w:sz w:val="20"/>
          <w:szCs w:val="20"/>
        </w:rPr>
        <w:t>deuxième phase de l’audit à blanc des piliers de l’Union européenne</w:t>
      </w:r>
      <w:r w:rsidRPr="00174701">
        <w:rPr>
          <w:rFonts w:ascii="Verdana" w:hAnsi="Verdana"/>
          <w:sz w:val="20"/>
          <w:szCs w:val="20"/>
        </w:rPr>
        <w:t xml:space="preserve"> </w:t>
      </w:r>
      <w:r w:rsidR="0036615F" w:rsidRPr="00174701">
        <w:rPr>
          <w:rFonts w:ascii="Verdana" w:hAnsi="Verdana"/>
          <w:sz w:val="20"/>
          <w:szCs w:val="20"/>
        </w:rPr>
        <w:t xml:space="preserve">vient de s’achever à la fin du mois de </w:t>
      </w:r>
      <w:r w:rsidRPr="00174701">
        <w:rPr>
          <w:rFonts w:ascii="Verdana" w:hAnsi="Verdana"/>
          <w:sz w:val="20"/>
          <w:szCs w:val="20"/>
        </w:rPr>
        <w:t>mai 2026, et la mise en œuvre des recommandations issues de la première phase sera appuyée par un avenant</w:t>
      </w:r>
      <w:r w:rsidR="00A310C4" w:rsidRPr="00174701">
        <w:rPr>
          <w:rFonts w:ascii="Verdana" w:hAnsi="Verdana"/>
          <w:sz w:val="20"/>
          <w:szCs w:val="20"/>
        </w:rPr>
        <w:t xml:space="preserve"> au contrat du cabinet </w:t>
      </w:r>
      <w:r w:rsidRPr="00174701">
        <w:rPr>
          <w:rFonts w:ascii="Verdana" w:hAnsi="Verdana"/>
          <w:i/>
          <w:iCs/>
          <w:sz w:val="20"/>
          <w:szCs w:val="20"/>
        </w:rPr>
        <w:t>GOPA-PACE</w:t>
      </w:r>
      <w:r w:rsidR="00A310C4" w:rsidRPr="00174701">
        <w:rPr>
          <w:rFonts w:ascii="Verdana" w:hAnsi="Verdana"/>
          <w:i/>
          <w:iCs/>
          <w:sz w:val="20"/>
          <w:szCs w:val="20"/>
        </w:rPr>
        <w:t xml:space="preserve"> </w:t>
      </w:r>
      <w:r w:rsidR="00A310C4" w:rsidRPr="00174701">
        <w:rPr>
          <w:rFonts w:ascii="Verdana" w:hAnsi="Verdana"/>
          <w:sz w:val="20"/>
          <w:szCs w:val="20"/>
        </w:rPr>
        <w:t>par la Délégation de l’Union européenne</w:t>
      </w:r>
      <w:r w:rsidRPr="00174701">
        <w:rPr>
          <w:rFonts w:ascii="Verdana" w:hAnsi="Verdana"/>
          <w:sz w:val="20"/>
          <w:szCs w:val="20"/>
        </w:rPr>
        <w:t xml:space="preserve">. Par ailleurs, la soumission, en janvier 2026, du dossier d’accréditation au </w:t>
      </w:r>
      <w:r w:rsidRPr="00174701">
        <w:rPr>
          <w:rFonts w:ascii="Verdana" w:hAnsi="Verdana"/>
          <w:b/>
          <w:bCs/>
          <w:sz w:val="20"/>
          <w:szCs w:val="20"/>
        </w:rPr>
        <w:t>Fonds d’adaptation</w:t>
      </w:r>
      <w:r w:rsidRPr="00174701">
        <w:rPr>
          <w:rFonts w:ascii="Verdana" w:hAnsi="Verdana"/>
          <w:sz w:val="20"/>
          <w:szCs w:val="20"/>
        </w:rPr>
        <w:t xml:space="preserve"> ouvre une nouvelle porte d’entrée vers les financements </w:t>
      </w:r>
      <w:r w:rsidR="00F86522" w:rsidRPr="00174701">
        <w:rPr>
          <w:rFonts w:ascii="Verdana" w:hAnsi="Verdana"/>
          <w:sz w:val="20"/>
          <w:szCs w:val="20"/>
        </w:rPr>
        <w:t>issus de la Convention-cadre des Nations unies sur les changements climatiques</w:t>
      </w:r>
      <w:r w:rsidRPr="00174701">
        <w:rPr>
          <w:rFonts w:ascii="Verdana" w:hAnsi="Verdana"/>
          <w:sz w:val="20"/>
          <w:szCs w:val="20"/>
        </w:rPr>
        <w:t>.</w:t>
      </w:r>
    </w:p>
    <w:p w14:paraId="2C1715F8" w14:textId="07583358"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 xml:space="preserve">Dans ce contexte, </w:t>
      </w:r>
      <w:r w:rsidR="00F86522" w:rsidRPr="00174701">
        <w:rPr>
          <w:rFonts w:ascii="Verdana" w:hAnsi="Verdana"/>
          <w:sz w:val="20"/>
          <w:szCs w:val="20"/>
        </w:rPr>
        <w:t xml:space="preserve">le séminaire </w:t>
      </w:r>
      <w:r w:rsidRPr="00174701">
        <w:rPr>
          <w:rFonts w:ascii="Verdana" w:hAnsi="Verdana"/>
          <w:b/>
          <w:bCs/>
          <w:sz w:val="20"/>
          <w:szCs w:val="20"/>
        </w:rPr>
        <w:t>« Évolution en action »</w:t>
      </w:r>
      <w:r w:rsidRPr="00174701">
        <w:rPr>
          <w:rFonts w:ascii="Verdana" w:hAnsi="Verdana"/>
          <w:sz w:val="20"/>
          <w:szCs w:val="20"/>
        </w:rPr>
        <w:t xml:space="preserve"> des 27 et 28 avril 2026</w:t>
      </w:r>
      <w:r w:rsidR="00F83E80" w:rsidRPr="00174701">
        <w:rPr>
          <w:rFonts w:ascii="Verdana" w:hAnsi="Verdana"/>
          <w:sz w:val="20"/>
          <w:szCs w:val="20"/>
        </w:rPr>
        <w:t>, auquel ont participé les OPL ou leur représentant ainsi que les membres du Comité budgétaire,</w:t>
      </w:r>
      <w:r w:rsidRPr="00174701">
        <w:rPr>
          <w:rFonts w:ascii="Verdana" w:hAnsi="Verdana"/>
          <w:sz w:val="20"/>
          <w:szCs w:val="20"/>
        </w:rPr>
        <w:t xml:space="preserve"> avait pour objectif de structurer les Résultats 2 et 3 du programme. Il a permis de dégager </w:t>
      </w:r>
      <w:r w:rsidRPr="00174701">
        <w:rPr>
          <w:rFonts w:ascii="Verdana" w:hAnsi="Verdana"/>
          <w:b/>
          <w:bCs/>
          <w:sz w:val="20"/>
          <w:szCs w:val="20"/>
        </w:rPr>
        <w:t xml:space="preserve">quatre thématiques </w:t>
      </w:r>
      <w:r w:rsidRPr="00174701">
        <w:rPr>
          <w:rFonts w:ascii="Verdana" w:hAnsi="Verdana"/>
          <w:sz w:val="20"/>
          <w:szCs w:val="20"/>
        </w:rPr>
        <w:t>sur lesquelles la COI concentrera la suite de la mise en œuvre</w:t>
      </w:r>
      <w:r w:rsidR="000F4D3B" w:rsidRPr="00174701">
        <w:rPr>
          <w:rFonts w:ascii="Verdana" w:hAnsi="Verdana"/>
          <w:sz w:val="20"/>
          <w:szCs w:val="20"/>
        </w:rPr>
        <w:t xml:space="preserve"> du programme</w:t>
      </w:r>
      <w:r w:rsidR="00F83E80" w:rsidRPr="00174701">
        <w:rPr>
          <w:rFonts w:ascii="Verdana" w:hAnsi="Verdana"/>
          <w:sz w:val="20"/>
          <w:szCs w:val="20"/>
        </w:rPr>
        <w:t xml:space="preserve"> COI Horizon 2030</w:t>
      </w:r>
      <w:r w:rsidRPr="00174701">
        <w:rPr>
          <w:rFonts w:ascii="Verdana" w:hAnsi="Verdana"/>
          <w:sz w:val="20"/>
          <w:szCs w:val="20"/>
        </w:rPr>
        <w:t>, à savoir : l’</w:t>
      </w:r>
      <w:r w:rsidRPr="00174701">
        <w:rPr>
          <w:rFonts w:ascii="Verdana" w:hAnsi="Verdana"/>
          <w:b/>
          <w:bCs/>
          <w:sz w:val="20"/>
          <w:szCs w:val="20"/>
        </w:rPr>
        <w:t>océan</w:t>
      </w:r>
      <w:r w:rsidRPr="00174701">
        <w:rPr>
          <w:rFonts w:ascii="Verdana" w:hAnsi="Verdana"/>
          <w:sz w:val="20"/>
          <w:szCs w:val="20"/>
        </w:rPr>
        <w:t xml:space="preserve">, la </w:t>
      </w:r>
      <w:r w:rsidRPr="00174701">
        <w:rPr>
          <w:rFonts w:ascii="Verdana" w:hAnsi="Verdana"/>
          <w:b/>
          <w:bCs/>
          <w:sz w:val="20"/>
          <w:szCs w:val="20"/>
        </w:rPr>
        <w:t>sécurité alimentaire</w:t>
      </w:r>
      <w:r w:rsidRPr="00174701">
        <w:rPr>
          <w:rFonts w:ascii="Verdana" w:hAnsi="Verdana"/>
          <w:sz w:val="20"/>
          <w:szCs w:val="20"/>
        </w:rPr>
        <w:t xml:space="preserve">, les </w:t>
      </w:r>
      <w:r w:rsidRPr="00174701">
        <w:rPr>
          <w:rFonts w:ascii="Verdana" w:hAnsi="Verdana"/>
          <w:b/>
          <w:bCs/>
          <w:sz w:val="20"/>
          <w:szCs w:val="20"/>
        </w:rPr>
        <w:t>spécificités des États insulaires</w:t>
      </w:r>
      <w:r w:rsidRPr="00174701">
        <w:rPr>
          <w:rFonts w:ascii="Verdana" w:hAnsi="Verdana"/>
          <w:sz w:val="20"/>
          <w:szCs w:val="20"/>
        </w:rPr>
        <w:t xml:space="preserve">, et la </w:t>
      </w:r>
      <w:r w:rsidRPr="00174701">
        <w:rPr>
          <w:rFonts w:ascii="Verdana" w:hAnsi="Verdana"/>
          <w:b/>
          <w:bCs/>
          <w:sz w:val="20"/>
          <w:szCs w:val="20"/>
        </w:rPr>
        <w:t>gouvernance et le modèle économique de la COI</w:t>
      </w:r>
      <w:r w:rsidRPr="00174701">
        <w:rPr>
          <w:rFonts w:ascii="Verdana" w:hAnsi="Verdana"/>
          <w:sz w:val="20"/>
          <w:szCs w:val="20"/>
        </w:rPr>
        <w:t xml:space="preserve">. Ces thématiques donneront lieu à des activités </w:t>
      </w:r>
      <w:r w:rsidR="00F71CB6" w:rsidRPr="00174701">
        <w:rPr>
          <w:rFonts w:ascii="Verdana" w:hAnsi="Verdana"/>
          <w:sz w:val="20"/>
          <w:szCs w:val="20"/>
        </w:rPr>
        <w:t>dans le cadre du programme COI Horizon 2030</w:t>
      </w:r>
      <w:r w:rsidRPr="00174701">
        <w:rPr>
          <w:rFonts w:ascii="Verdana" w:hAnsi="Verdana"/>
          <w:sz w:val="20"/>
          <w:szCs w:val="20"/>
        </w:rPr>
        <w:t>.</w:t>
      </w:r>
    </w:p>
    <w:p w14:paraId="0CB29174" w14:textId="77777777"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 xml:space="preserve">L’enjeu est désormais de </w:t>
      </w:r>
      <w:r w:rsidRPr="00174701">
        <w:rPr>
          <w:rFonts w:ascii="Verdana" w:hAnsi="Verdana"/>
          <w:b/>
          <w:bCs/>
          <w:sz w:val="20"/>
          <w:szCs w:val="20"/>
        </w:rPr>
        <w:t>transformer ces avancées en actions concrètes au bénéfice de la COI et de ses États membres</w:t>
      </w:r>
      <w:r w:rsidRPr="00174701">
        <w:rPr>
          <w:rFonts w:ascii="Verdana" w:hAnsi="Verdana"/>
          <w:sz w:val="20"/>
          <w:szCs w:val="20"/>
        </w:rPr>
        <w:t>.</w:t>
      </w:r>
    </w:p>
    <w:p w14:paraId="59AB6A32" w14:textId="256ADDA3" w:rsidR="009C7AB2" w:rsidRPr="00174701" w:rsidRDefault="009C7AB2" w:rsidP="00174701">
      <w:pPr>
        <w:spacing w:after="120" w:line="276" w:lineRule="auto"/>
        <w:jc w:val="both"/>
        <w:rPr>
          <w:rFonts w:ascii="Verdana" w:hAnsi="Verdana" w:cs="Calibri"/>
          <w:b/>
          <w:bCs/>
          <w:sz w:val="20"/>
          <w:szCs w:val="20"/>
        </w:rPr>
      </w:pPr>
    </w:p>
    <w:p w14:paraId="2875841E" w14:textId="2CD16E6A" w:rsidR="009C7AB2" w:rsidRPr="00174701" w:rsidRDefault="009C7AB2" w:rsidP="00174701">
      <w:pPr>
        <w:pStyle w:val="Titrepartie"/>
        <w:spacing w:after="120" w:line="276" w:lineRule="auto"/>
        <w:contextualSpacing w:val="0"/>
        <w:rPr>
          <w:sz w:val="20"/>
        </w:rPr>
      </w:pPr>
      <w:r w:rsidRPr="00174701">
        <w:rPr>
          <w:sz w:val="20"/>
        </w:rPr>
        <w:t>État d’avancement</w:t>
      </w:r>
    </w:p>
    <w:p w14:paraId="49EC79DC" w14:textId="5DB67A41" w:rsidR="00FC3C09" w:rsidRPr="00174701" w:rsidRDefault="00FC3C09" w:rsidP="00174701">
      <w:pPr>
        <w:pStyle w:val="Sous-partie2"/>
        <w:spacing w:after="120" w:line="276" w:lineRule="auto"/>
        <w:contextualSpacing w:val="0"/>
      </w:pPr>
      <w:r w:rsidRPr="00174701">
        <w:t>Processus d’a</w:t>
      </w:r>
      <w:r w:rsidR="009C7AB2" w:rsidRPr="00174701">
        <w:t>ccréditation</w:t>
      </w:r>
    </w:p>
    <w:p w14:paraId="34F978DD" w14:textId="5C30A75F"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 xml:space="preserve">L’audit à blanc aux piliers de l’Union européenne, dont la première phase a été engagée au second semestre 2025 sur les piliers 1 (contrôle interne), 2 (comptabilité), 5 (passation des marchés) et 9 (protection des données), a permis de </w:t>
      </w:r>
      <w:r w:rsidR="000F4D3B" w:rsidRPr="00174701">
        <w:rPr>
          <w:rFonts w:ascii="Verdana" w:hAnsi="Verdana"/>
          <w:sz w:val="20"/>
          <w:szCs w:val="20"/>
        </w:rPr>
        <w:t>poser les bases de l’évaluation</w:t>
      </w:r>
      <w:r w:rsidRPr="00174701">
        <w:rPr>
          <w:rFonts w:ascii="Verdana" w:hAnsi="Verdana"/>
          <w:sz w:val="20"/>
          <w:szCs w:val="20"/>
        </w:rPr>
        <w:t xml:space="preserve"> et de familiariser le Secrétariat général de la COI avec cet exercice complexe. La phase 1 a été achevée en novembre 2025.</w:t>
      </w:r>
    </w:p>
    <w:p w14:paraId="619E7586" w14:textId="7B3BC2A9"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 xml:space="preserve">La </w:t>
      </w:r>
      <w:r w:rsidRPr="00174701">
        <w:rPr>
          <w:rFonts w:ascii="Verdana" w:hAnsi="Verdana"/>
          <w:b/>
          <w:bCs/>
          <w:sz w:val="20"/>
          <w:szCs w:val="20"/>
        </w:rPr>
        <w:t xml:space="preserve">phase 2 </w:t>
      </w:r>
      <w:r w:rsidR="00076274" w:rsidRPr="00174701">
        <w:rPr>
          <w:rFonts w:ascii="Verdana" w:hAnsi="Verdana"/>
          <w:sz w:val="20"/>
          <w:szCs w:val="20"/>
        </w:rPr>
        <w:t xml:space="preserve">qui vient de </w:t>
      </w:r>
      <w:r w:rsidR="00932897" w:rsidRPr="00174701">
        <w:rPr>
          <w:rFonts w:ascii="Verdana" w:hAnsi="Verdana"/>
          <w:sz w:val="20"/>
          <w:szCs w:val="20"/>
        </w:rPr>
        <w:t>se terminer</w:t>
      </w:r>
      <w:r w:rsidRPr="00174701">
        <w:rPr>
          <w:rFonts w:ascii="Verdana" w:hAnsi="Verdana"/>
          <w:sz w:val="20"/>
          <w:szCs w:val="20"/>
        </w:rPr>
        <w:t xml:space="preserve"> porte sur les piliers 3 (audit externe), 4 (subventions), 7 (critères d’exclusion) et 8 (publication des bénéficiaires). </w:t>
      </w:r>
    </w:p>
    <w:p w14:paraId="170F86B6" w14:textId="77777777"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lastRenderedPageBreak/>
        <w:t xml:space="preserve">En outre, l’avenant signé avec le cabinet </w:t>
      </w:r>
      <w:r w:rsidRPr="00174701">
        <w:rPr>
          <w:rFonts w:ascii="Verdana" w:hAnsi="Verdana"/>
          <w:i/>
          <w:iCs/>
          <w:sz w:val="20"/>
          <w:szCs w:val="20"/>
        </w:rPr>
        <w:t>GOPA-PACE</w:t>
      </w:r>
      <w:r w:rsidRPr="00174701">
        <w:rPr>
          <w:rFonts w:ascii="Verdana" w:hAnsi="Verdana"/>
          <w:sz w:val="20"/>
          <w:szCs w:val="20"/>
        </w:rPr>
        <w:t xml:space="preserve"> a permis, en avril 2026, le déploiement d’experts supplémentaires qui appuieront la mise en œuvre des recommandations </w:t>
      </w:r>
      <w:r w:rsidRPr="00174701">
        <w:rPr>
          <w:rFonts w:ascii="Verdana" w:hAnsi="Verdana"/>
          <w:i/>
          <w:iCs/>
          <w:sz w:val="20"/>
          <w:szCs w:val="20"/>
        </w:rPr>
        <w:t>Ernst &amp; Young</w:t>
      </w:r>
      <w:r w:rsidRPr="00174701">
        <w:rPr>
          <w:rFonts w:ascii="Verdana" w:hAnsi="Verdana"/>
          <w:sz w:val="20"/>
          <w:szCs w:val="20"/>
        </w:rPr>
        <w:t xml:space="preserve"> ainsi que la préparation de l’audit final, dans le respect des exigences européennes.</w:t>
      </w:r>
    </w:p>
    <w:p w14:paraId="5EF1B63B" w14:textId="7985914D" w:rsidR="005E4D9F" w:rsidRPr="00174701" w:rsidRDefault="005E4D9F" w:rsidP="00174701">
      <w:pPr>
        <w:spacing w:after="120" w:line="276" w:lineRule="auto"/>
        <w:rPr>
          <w:rFonts w:ascii="Verdana" w:hAnsi="Verdana"/>
          <w:sz w:val="20"/>
          <w:szCs w:val="20"/>
        </w:rPr>
      </w:pPr>
      <w:r w:rsidRPr="00174701">
        <w:rPr>
          <w:rFonts w:ascii="Verdana" w:hAnsi="Verdana"/>
          <w:sz w:val="20"/>
          <w:szCs w:val="20"/>
        </w:rPr>
        <w:t>A la suite de cet exercice d’audit à blanc la COI prendra formellement attache auprès de la DUE, pour se positionner sur l’audit final</w:t>
      </w:r>
    </w:p>
    <w:p w14:paraId="49AFBB00" w14:textId="79C27A9B"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 xml:space="preserve">En parallèle, la </w:t>
      </w:r>
      <w:r w:rsidRPr="00174701">
        <w:rPr>
          <w:rFonts w:ascii="Verdana" w:hAnsi="Verdana"/>
          <w:b/>
          <w:bCs/>
          <w:sz w:val="20"/>
          <w:szCs w:val="20"/>
        </w:rPr>
        <w:t>finalisation et la soumission, en janvier 2026, du dossier d’accréditation au Fonds d’adaptation</w:t>
      </w:r>
      <w:r w:rsidRPr="00174701">
        <w:rPr>
          <w:rFonts w:ascii="Verdana" w:hAnsi="Verdana"/>
          <w:sz w:val="20"/>
          <w:szCs w:val="20"/>
        </w:rPr>
        <w:t xml:space="preserve"> s’inscrivent dans une stratégie de diversification des partenariats financiers. L’accès direct aux financements qu’offrirait cette accréditation viendrait compléter la perspective européenne et renforcer la crédibilité technique et fiduciaire de l’Organisation auprès de l’ensemble de la communauté des bailleurs.</w:t>
      </w:r>
    </w:p>
    <w:p w14:paraId="75A5C264" w14:textId="77777777"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La COI a pu progresser dans ces dynamiques d’accréditation grâce, notamment, à la validation de nouveaux cadres et procédures :</w:t>
      </w:r>
    </w:p>
    <w:p w14:paraId="731F7CE6" w14:textId="41FE75CC" w:rsidR="00353BBA" w:rsidRPr="00174701" w:rsidRDefault="000F4D3B" w:rsidP="00174701">
      <w:pPr>
        <w:pStyle w:val="Paragraphedeliste"/>
        <w:numPr>
          <w:ilvl w:val="0"/>
          <w:numId w:val="25"/>
        </w:numPr>
        <w:spacing w:after="120" w:line="276" w:lineRule="auto"/>
        <w:contextualSpacing w:val="0"/>
        <w:rPr>
          <w:rFonts w:ascii="Verdana" w:hAnsi="Verdana"/>
          <w:sz w:val="20"/>
          <w:szCs w:val="20"/>
        </w:rPr>
      </w:pPr>
      <w:r w:rsidRPr="00174701">
        <w:rPr>
          <w:rFonts w:ascii="Verdana" w:hAnsi="Verdana"/>
          <w:sz w:val="20"/>
          <w:szCs w:val="20"/>
        </w:rPr>
        <w:t>Le</w:t>
      </w:r>
      <w:r w:rsidR="00353BBA" w:rsidRPr="00174701">
        <w:rPr>
          <w:rFonts w:ascii="Verdana" w:hAnsi="Verdana"/>
          <w:sz w:val="20"/>
          <w:szCs w:val="20"/>
        </w:rPr>
        <w:t xml:space="preserve"> nouveau </w:t>
      </w:r>
      <w:r w:rsidR="00353BBA" w:rsidRPr="00174701">
        <w:rPr>
          <w:rFonts w:ascii="Verdana" w:hAnsi="Verdana"/>
          <w:b/>
          <w:bCs/>
          <w:sz w:val="20"/>
          <w:szCs w:val="20"/>
        </w:rPr>
        <w:t>manuel budget et finances</w:t>
      </w:r>
      <w:r w:rsidR="00353BBA" w:rsidRPr="00174701">
        <w:rPr>
          <w:rFonts w:ascii="Verdana" w:hAnsi="Verdana"/>
          <w:sz w:val="20"/>
          <w:szCs w:val="20"/>
        </w:rPr>
        <w:t xml:space="preserve"> ;</w:t>
      </w:r>
    </w:p>
    <w:p w14:paraId="1A076617" w14:textId="666DFC24" w:rsidR="00353BBA" w:rsidRPr="00174701" w:rsidRDefault="000F4D3B" w:rsidP="00174701">
      <w:pPr>
        <w:pStyle w:val="Paragraphedeliste"/>
        <w:numPr>
          <w:ilvl w:val="0"/>
          <w:numId w:val="25"/>
        </w:numPr>
        <w:spacing w:after="120" w:line="276" w:lineRule="auto"/>
        <w:contextualSpacing w:val="0"/>
        <w:rPr>
          <w:rFonts w:ascii="Verdana" w:hAnsi="Verdana"/>
          <w:sz w:val="20"/>
          <w:szCs w:val="20"/>
        </w:rPr>
      </w:pPr>
      <w:r w:rsidRPr="00174701">
        <w:rPr>
          <w:rFonts w:ascii="Verdana" w:hAnsi="Verdana"/>
          <w:sz w:val="20"/>
          <w:szCs w:val="20"/>
        </w:rPr>
        <w:t>Le</w:t>
      </w:r>
      <w:r w:rsidR="00353BBA" w:rsidRPr="00174701">
        <w:rPr>
          <w:rFonts w:ascii="Verdana" w:hAnsi="Verdana"/>
          <w:sz w:val="20"/>
          <w:szCs w:val="20"/>
        </w:rPr>
        <w:t xml:space="preserve"> </w:t>
      </w:r>
      <w:r w:rsidR="00353BBA" w:rsidRPr="00174701">
        <w:rPr>
          <w:rFonts w:ascii="Verdana" w:hAnsi="Verdana"/>
          <w:b/>
          <w:bCs/>
          <w:sz w:val="20"/>
          <w:szCs w:val="20"/>
        </w:rPr>
        <w:t>manuel d’administration</w:t>
      </w:r>
      <w:r w:rsidR="00353BBA" w:rsidRPr="00174701">
        <w:rPr>
          <w:rFonts w:ascii="Verdana" w:hAnsi="Verdana"/>
          <w:sz w:val="20"/>
          <w:szCs w:val="20"/>
        </w:rPr>
        <w:t xml:space="preserve"> ;</w:t>
      </w:r>
    </w:p>
    <w:p w14:paraId="2F41406B" w14:textId="4E8D0FF1" w:rsidR="005E4D9F" w:rsidRPr="00174701" w:rsidRDefault="000F4D3B" w:rsidP="00174701">
      <w:pPr>
        <w:pStyle w:val="Paragraphedeliste"/>
        <w:numPr>
          <w:ilvl w:val="0"/>
          <w:numId w:val="25"/>
        </w:numPr>
        <w:spacing w:after="120" w:line="276" w:lineRule="auto"/>
        <w:contextualSpacing w:val="0"/>
        <w:rPr>
          <w:rFonts w:ascii="Verdana" w:hAnsi="Verdana"/>
          <w:sz w:val="20"/>
          <w:szCs w:val="20"/>
        </w:rPr>
      </w:pPr>
      <w:r w:rsidRPr="00174701">
        <w:rPr>
          <w:rFonts w:ascii="Verdana" w:hAnsi="Verdana"/>
          <w:sz w:val="20"/>
          <w:szCs w:val="20"/>
        </w:rPr>
        <w:t>Le</w:t>
      </w:r>
      <w:r w:rsidR="00353BBA" w:rsidRPr="00174701">
        <w:rPr>
          <w:rFonts w:ascii="Verdana" w:hAnsi="Verdana"/>
          <w:sz w:val="20"/>
          <w:szCs w:val="20"/>
        </w:rPr>
        <w:t xml:space="preserve"> </w:t>
      </w:r>
      <w:r w:rsidR="00353BBA" w:rsidRPr="00174701">
        <w:rPr>
          <w:rFonts w:ascii="Verdana" w:hAnsi="Verdana"/>
          <w:b/>
          <w:bCs/>
          <w:sz w:val="20"/>
          <w:szCs w:val="20"/>
        </w:rPr>
        <w:t>manuel d’octroi et de gestion des subventions</w:t>
      </w:r>
      <w:r w:rsidR="00353BBA" w:rsidRPr="00174701">
        <w:rPr>
          <w:rFonts w:ascii="Verdana" w:hAnsi="Verdana"/>
          <w:sz w:val="20"/>
          <w:szCs w:val="20"/>
        </w:rPr>
        <w:t>.</w:t>
      </w:r>
    </w:p>
    <w:p w14:paraId="2C0E40D2" w14:textId="4A219996" w:rsidR="000C0FBC" w:rsidRPr="00174701" w:rsidRDefault="000C0FBC" w:rsidP="00174701">
      <w:pPr>
        <w:spacing w:after="120" w:line="276" w:lineRule="auto"/>
        <w:jc w:val="both"/>
        <w:rPr>
          <w:rFonts w:ascii="Verdana" w:hAnsi="Verdana" w:cs="Calibri"/>
          <w:sz w:val="20"/>
          <w:szCs w:val="20"/>
        </w:rPr>
      </w:pPr>
    </w:p>
    <w:p w14:paraId="37D95DAA" w14:textId="0EB56083" w:rsidR="00502B9A" w:rsidRPr="00174701" w:rsidRDefault="000C0FBC" w:rsidP="00174701">
      <w:pPr>
        <w:pStyle w:val="Sous-partie2"/>
        <w:spacing w:after="120" w:line="276" w:lineRule="auto"/>
        <w:contextualSpacing w:val="0"/>
      </w:pPr>
      <w:r w:rsidRPr="00174701">
        <w:t>Séminaire</w:t>
      </w:r>
      <w:r w:rsidR="00502B9A" w:rsidRPr="00174701">
        <w:t xml:space="preserve"> </w:t>
      </w:r>
      <w:r w:rsidR="007F66E5" w:rsidRPr="00174701">
        <w:t>« </w:t>
      </w:r>
      <w:r w:rsidR="00502B9A" w:rsidRPr="00174701">
        <w:t>Évolution en action</w:t>
      </w:r>
      <w:r w:rsidR="007F66E5" w:rsidRPr="00174701">
        <w:t> »</w:t>
      </w:r>
      <w:r w:rsidR="00502B9A" w:rsidRPr="00174701">
        <w:t xml:space="preserve"> </w:t>
      </w:r>
    </w:p>
    <w:p w14:paraId="4A42FEBD" w14:textId="46B932E1"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 xml:space="preserve">Le Secrétariat général de la COI, les Officiers permanents de liaison </w:t>
      </w:r>
      <w:r w:rsidR="00C90676">
        <w:rPr>
          <w:rFonts w:ascii="Verdana" w:hAnsi="Verdana"/>
          <w:sz w:val="20"/>
          <w:szCs w:val="20"/>
        </w:rPr>
        <w:t xml:space="preserve">ou son représentant </w:t>
      </w:r>
      <w:r w:rsidRPr="00174701">
        <w:rPr>
          <w:rFonts w:ascii="Verdana" w:hAnsi="Verdana"/>
          <w:sz w:val="20"/>
          <w:szCs w:val="20"/>
        </w:rPr>
        <w:t>et les partenaires techniques et financiers ont engagé des travaux de réflexion sur la consolidation du modèle économique de la COI (R2) et sur les activités en lien avec le positionnement stratégique régional (R3).</w:t>
      </w:r>
    </w:p>
    <w:p w14:paraId="07336983" w14:textId="3F585942"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 xml:space="preserve">L’atelier a permis de </w:t>
      </w:r>
      <w:r w:rsidRPr="00174701">
        <w:rPr>
          <w:rFonts w:ascii="Verdana" w:hAnsi="Verdana"/>
          <w:b/>
          <w:bCs/>
          <w:sz w:val="20"/>
          <w:szCs w:val="20"/>
        </w:rPr>
        <w:t xml:space="preserve">prioriser les activités </w:t>
      </w:r>
      <w:r w:rsidR="000F4D3B" w:rsidRPr="00174701">
        <w:rPr>
          <w:rFonts w:ascii="Verdana" w:hAnsi="Verdana"/>
          <w:b/>
          <w:bCs/>
          <w:sz w:val="20"/>
          <w:szCs w:val="20"/>
        </w:rPr>
        <w:t>du programme Horizon 2030</w:t>
      </w:r>
      <w:r w:rsidR="000F4D3B" w:rsidRPr="00174701">
        <w:rPr>
          <w:rFonts w:ascii="Verdana" w:hAnsi="Verdana"/>
          <w:sz w:val="20"/>
          <w:szCs w:val="20"/>
        </w:rPr>
        <w:t xml:space="preserve"> </w:t>
      </w:r>
      <w:r w:rsidRPr="00174701">
        <w:rPr>
          <w:rFonts w:ascii="Verdana" w:hAnsi="Verdana"/>
          <w:b/>
          <w:bCs/>
          <w:sz w:val="20"/>
          <w:szCs w:val="20"/>
        </w:rPr>
        <w:t>s’inscrivant dans les orientations du Plan de Développement Stratégique (PDS) 2023-2033</w:t>
      </w:r>
      <w:r w:rsidRPr="00174701">
        <w:rPr>
          <w:rFonts w:ascii="Verdana" w:hAnsi="Verdana"/>
          <w:sz w:val="20"/>
          <w:szCs w:val="20"/>
        </w:rPr>
        <w:t xml:space="preserve"> et du plan d’actions prioritaires, en les organisant autour des </w:t>
      </w:r>
      <w:r w:rsidRPr="00174701">
        <w:rPr>
          <w:rFonts w:ascii="Verdana" w:hAnsi="Verdana"/>
          <w:b/>
          <w:bCs/>
          <w:sz w:val="20"/>
          <w:szCs w:val="20"/>
        </w:rPr>
        <w:t>quatre thématiques structurantes</w:t>
      </w:r>
      <w:r w:rsidRPr="00174701">
        <w:rPr>
          <w:rFonts w:ascii="Verdana" w:hAnsi="Verdana"/>
          <w:sz w:val="20"/>
          <w:szCs w:val="20"/>
        </w:rPr>
        <w:t xml:space="preserve"> du programme. Celles-ci articulent les enjeux externes portés par la COI aux conditions internes de leur réussite :</w:t>
      </w:r>
    </w:p>
    <w:p w14:paraId="5A6379B1" w14:textId="0D2D5DF5" w:rsidR="00353BBA" w:rsidRPr="00174701" w:rsidRDefault="00BD6E29" w:rsidP="00174701">
      <w:pPr>
        <w:pStyle w:val="Paragraphedeliste"/>
        <w:numPr>
          <w:ilvl w:val="0"/>
          <w:numId w:val="26"/>
        </w:numPr>
        <w:spacing w:after="120" w:line="276" w:lineRule="auto"/>
        <w:contextualSpacing w:val="0"/>
        <w:rPr>
          <w:rFonts w:ascii="Verdana" w:hAnsi="Verdana"/>
          <w:sz w:val="20"/>
          <w:szCs w:val="20"/>
        </w:rPr>
      </w:pPr>
      <w:r w:rsidRPr="00174701">
        <w:rPr>
          <w:rFonts w:ascii="Verdana" w:hAnsi="Verdana"/>
          <w:sz w:val="20"/>
          <w:szCs w:val="20"/>
        </w:rPr>
        <w:t>L’océan</w:t>
      </w:r>
      <w:r w:rsidR="000F4D3B" w:rsidRPr="00174701">
        <w:rPr>
          <w:rFonts w:ascii="Verdana" w:hAnsi="Verdana"/>
          <w:b/>
          <w:bCs/>
          <w:sz w:val="20"/>
          <w:szCs w:val="20"/>
        </w:rPr>
        <w:t> </w:t>
      </w:r>
      <w:r w:rsidR="000F4D3B" w:rsidRPr="00174701">
        <w:rPr>
          <w:rFonts w:ascii="Verdana" w:hAnsi="Verdana"/>
          <w:sz w:val="20"/>
          <w:szCs w:val="20"/>
        </w:rPr>
        <w:t>: gouvernance et sécurité, gestion des ressources et des milieux…</w:t>
      </w:r>
    </w:p>
    <w:p w14:paraId="3540507F" w14:textId="207A2DB6" w:rsidR="00353BBA" w:rsidRPr="00174701" w:rsidRDefault="00BD6E29" w:rsidP="00174701">
      <w:pPr>
        <w:pStyle w:val="Paragraphedeliste"/>
        <w:numPr>
          <w:ilvl w:val="0"/>
          <w:numId w:val="26"/>
        </w:numPr>
        <w:spacing w:after="120" w:line="276" w:lineRule="auto"/>
        <w:contextualSpacing w:val="0"/>
        <w:rPr>
          <w:rFonts w:ascii="Verdana" w:hAnsi="Verdana"/>
          <w:sz w:val="20"/>
          <w:szCs w:val="20"/>
        </w:rPr>
      </w:pPr>
      <w:r w:rsidRPr="00174701">
        <w:rPr>
          <w:rFonts w:ascii="Verdana" w:hAnsi="Verdana"/>
          <w:sz w:val="20"/>
          <w:szCs w:val="20"/>
        </w:rPr>
        <w:t>La</w:t>
      </w:r>
      <w:r w:rsidR="00353BBA" w:rsidRPr="00174701">
        <w:rPr>
          <w:rFonts w:ascii="Verdana" w:hAnsi="Verdana"/>
          <w:sz w:val="20"/>
          <w:szCs w:val="20"/>
        </w:rPr>
        <w:t xml:space="preserve"> </w:t>
      </w:r>
      <w:r w:rsidR="00353BBA" w:rsidRPr="00174701">
        <w:rPr>
          <w:rFonts w:ascii="Verdana" w:hAnsi="Verdana"/>
          <w:b/>
          <w:bCs/>
          <w:sz w:val="20"/>
          <w:szCs w:val="20"/>
        </w:rPr>
        <w:t>sécurité alimentaire</w:t>
      </w:r>
      <w:r w:rsidR="000F4D3B" w:rsidRPr="00174701">
        <w:rPr>
          <w:rFonts w:ascii="Verdana" w:hAnsi="Verdana"/>
          <w:b/>
          <w:bCs/>
          <w:sz w:val="20"/>
          <w:szCs w:val="20"/>
        </w:rPr>
        <w:t> </w:t>
      </w:r>
      <w:r w:rsidR="000F4D3B" w:rsidRPr="00174701">
        <w:rPr>
          <w:rFonts w:ascii="Verdana" w:hAnsi="Verdana"/>
          <w:sz w:val="20"/>
          <w:szCs w:val="20"/>
        </w:rPr>
        <w:t>: normes et productivité, facilitation des échanges et investissements, nutrition et résilience climatique…</w:t>
      </w:r>
      <w:r w:rsidR="000F4D3B" w:rsidRPr="00174701">
        <w:rPr>
          <w:rFonts w:ascii="Verdana" w:hAnsi="Verdana"/>
          <w:b/>
          <w:bCs/>
          <w:sz w:val="20"/>
          <w:szCs w:val="20"/>
        </w:rPr>
        <w:t xml:space="preserve"> </w:t>
      </w:r>
    </w:p>
    <w:p w14:paraId="7F5CDFC4" w14:textId="0A387151" w:rsidR="00353BBA" w:rsidRPr="00174701" w:rsidRDefault="00BD6E29" w:rsidP="00174701">
      <w:pPr>
        <w:pStyle w:val="Paragraphedeliste"/>
        <w:numPr>
          <w:ilvl w:val="0"/>
          <w:numId w:val="26"/>
        </w:numPr>
        <w:spacing w:after="120" w:line="276" w:lineRule="auto"/>
        <w:contextualSpacing w:val="0"/>
        <w:rPr>
          <w:rFonts w:ascii="Verdana" w:hAnsi="Verdana"/>
          <w:sz w:val="20"/>
          <w:szCs w:val="20"/>
        </w:rPr>
      </w:pPr>
      <w:r w:rsidRPr="00174701">
        <w:rPr>
          <w:rFonts w:ascii="Verdana" w:hAnsi="Verdana"/>
          <w:sz w:val="20"/>
          <w:szCs w:val="20"/>
        </w:rPr>
        <w:t>Les</w:t>
      </w:r>
      <w:r w:rsidR="00353BBA" w:rsidRPr="00174701">
        <w:rPr>
          <w:rFonts w:ascii="Verdana" w:hAnsi="Verdana"/>
          <w:sz w:val="20"/>
          <w:szCs w:val="20"/>
        </w:rPr>
        <w:t xml:space="preserve"> </w:t>
      </w:r>
      <w:r w:rsidR="00353BBA" w:rsidRPr="00174701">
        <w:rPr>
          <w:rFonts w:ascii="Verdana" w:hAnsi="Verdana"/>
          <w:b/>
          <w:bCs/>
          <w:sz w:val="20"/>
          <w:szCs w:val="20"/>
        </w:rPr>
        <w:t>spécificités des États insulaires</w:t>
      </w:r>
      <w:r w:rsidR="000F4D3B" w:rsidRPr="00174701">
        <w:rPr>
          <w:rFonts w:ascii="Verdana" w:hAnsi="Verdana"/>
          <w:b/>
          <w:bCs/>
          <w:sz w:val="20"/>
          <w:szCs w:val="20"/>
        </w:rPr>
        <w:t> </w:t>
      </w:r>
      <w:r w:rsidR="000F4D3B" w:rsidRPr="00174701">
        <w:rPr>
          <w:rFonts w:ascii="Verdana" w:hAnsi="Verdana"/>
          <w:sz w:val="20"/>
          <w:szCs w:val="20"/>
        </w:rPr>
        <w:t>: plaidoyer et partenariats, agenda ABAS…</w:t>
      </w:r>
    </w:p>
    <w:p w14:paraId="290154EC" w14:textId="325FEDDE" w:rsidR="00353BBA" w:rsidRPr="00174701" w:rsidRDefault="00BD6E29" w:rsidP="00174701">
      <w:pPr>
        <w:pStyle w:val="Paragraphedeliste"/>
        <w:numPr>
          <w:ilvl w:val="0"/>
          <w:numId w:val="26"/>
        </w:numPr>
        <w:spacing w:after="120" w:line="276" w:lineRule="auto"/>
        <w:contextualSpacing w:val="0"/>
        <w:rPr>
          <w:rFonts w:ascii="Verdana" w:hAnsi="Verdana"/>
          <w:sz w:val="20"/>
          <w:szCs w:val="20"/>
        </w:rPr>
      </w:pPr>
      <w:r w:rsidRPr="00174701">
        <w:rPr>
          <w:rFonts w:ascii="Verdana" w:hAnsi="Verdana"/>
          <w:sz w:val="20"/>
          <w:szCs w:val="20"/>
        </w:rPr>
        <w:t>La</w:t>
      </w:r>
      <w:r w:rsidR="00353BBA" w:rsidRPr="00174701">
        <w:rPr>
          <w:rFonts w:ascii="Verdana" w:hAnsi="Verdana"/>
          <w:sz w:val="20"/>
          <w:szCs w:val="20"/>
        </w:rPr>
        <w:t xml:space="preserve"> </w:t>
      </w:r>
      <w:r w:rsidR="00353BBA" w:rsidRPr="00174701">
        <w:rPr>
          <w:rFonts w:ascii="Verdana" w:hAnsi="Verdana"/>
          <w:b/>
          <w:bCs/>
          <w:sz w:val="20"/>
          <w:szCs w:val="20"/>
        </w:rPr>
        <w:t>gouvernance et le modèle économique de la COI</w:t>
      </w:r>
      <w:r w:rsidR="000F4D3B" w:rsidRPr="00174701">
        <w:rPr>
          <w:rFonts w:ascii="Verdana" w:hAnsi="Verdana"/>
          <w:b/>
          <w:bCs/>
          <w:sz w:val="20"/>
          <w:szCs w:val="20"/>
        </w:rPr>
        <w:t> </w:t>
      </w:r>
      <w:r w:rsidR="000F4D3B" w:rsidRPr="00174701">
        <w:rPr>
          <w:rFonts w:ascii="Verdana" w:hAnsi="Verdana"/>
          <w:sz w:val="20"/>
          <w:szCs w:val="20"/>
        </w:rPr>
        <w:t>: évolution institutionnelle et fonctionnelle</w:t>
      </w:r>
      <w:r w:rsidR="00353BBA" w:rsidRPr="00174701">
        <w:rPr>
          <w:rFonts w:ascii="Verdana" w:hAnsi="Verdana"/>
          <w:sz w:val="20"/>
          <w:szCs w:val="20"/>
        </w:rPr>
        <w:t>.</w:t>
      </w:r>
    </w:p>
    <w:p w14:paraId="332398CF" w14:textId="3831F320" w:rsidR="00353BBA" w:rsidRPr="00174701" w:rsidRDefault="00353BBA" w:rsidP="00885E7B">
      <w:pPr>
        <w:spacing w:after="120" w:line="276" w:lineRule="auto"/>
        <w:jc w:val="both"/>
        <w:rPr>
          <w:rFonts w:ascii="Verdana" w:hAnsi="Verdana"/>
          <w:sz w:val="20"/>
          <w:szCs w:val="20"/>
        </w:rPr>
      </w:pPr>
      <w:r w:rsidRPr="00174701">
        <w:rPr>
          <w:rFonts w:ascii="Verdana" w:hAnsi="Verdana"/>
          <w:sz w:val="20"/>
          <w:szCs w:val="20"/>
        </w:rPr>
        <w:t xml:space="preserve">Les </w:t>
      </w:r>
      <w:r w:rsidR="000F4D3B" w:rsidRPr="00174701">
        <w:rPr>
          <w:rFonts w:ascii="Verdana" w:hAnsi="Verdana"/>
          <w:sz w:val="20"/>
          <w:szCs w:val="20"/>
        </w:rPr>
        <w:t>thématiques</w:t>
      </w:r>
      <w:r w:rsidRPr="00174701">
        <w:rPr>
          <w:rFonts w:ascii="Verdana" w:hAnsi="Verdana"/>
          <w:sz w:val="20"/>
          <w:szCs w:val="20"/>
        </w:rPr>
        <w:t xml:space="preserve"> identifiées alimenteront la déclinaison opérationnelle des activités à venir.</w:t>
      </w:r>
    </w:p>
    <w:p w14:paraId="672BAB29" w14:textId="77777777" w:rsidR="009141D0" w:rsidRPr="00174701" w:rsidRDefault="009141D0" w:rsidP="00174701">
      <w:pPr>
        <w:pStyle w:val="Paragraphe"/>
        <w:spacing w:after="120" w:line="276" w:lineRule="auto"/>
        <w:ind w:left="720"/>
      </w:pPr>
    </w:p>
    <w:p w14:paraId="2C58F8A1" w14:textId="081B6C67" w:rsidR="009C7AB2" w:rsidRPr="00174701" w:rsidRDefault="0093689E" w:rsidP="00174701">
      <w:pPr>
        <w:pStyle w:val="Titrepartie"/>
        <w:spacing w:after="120" w:line="276" w:lineRule="auto"/>
        <w:contextualSpacing w:val="0"/>
        <w:rPr>
          <w:sz w:val="20"/>
        </w:rPr>
      </w:pPr>
      <w:r w:rsidRPr="00174701">
        <w:rPr>
          <w:sz w:val="20"/>
        </w:rPr>
        <w:t>Gouvernance et modèle économique</w:t>
      </w:r>
    </w:p>
    <w:p w14:paraId="3C2AF5C2" w14:textId="3D0F9A06" w:rsidR="0093689E" w:rsidRPr="00174701" w:rsidRDefault="0093689E" w:rsidP="00174701">
      <w:pPr>
        <w:pStyle w:val="Sous-partie2"/>
        <w:spacing w:after="120" w:line="276" w:lineRule="auto"/>
        <w:contextualSpacing w:val="0"/>
      </w:pPr>
      <w:r w:rsidRPr="00174701">
        <w:t>Modèle économique et mobilisation des ressources</w:t>
      </w:r>
    </w:p>
    <w:p w14:paraId="4E3F3179" w14:textId="3B01FFF6" w:rsidR="0093689E" w:rsidRPr="00174701" w:rsidRDefault="0093689E" w:rsidP="00885E7B">
      <w:pPr>
        <w:spacing w:after="120" w:line="276" w:lineRule="auto"/>
        <w:jc w:val="both"/>
        <w:rPr>
          <w:rFonts w:ascii="Verdana" w:hAnsi="Verdana"/>
          <w:sz w:val="20"/>
          <w:szCs w:val="20"/>
        </w:rPr>
      </w:pPr>
      <w:r w:rsidRPr="00174701">
        <w:rPr>
          <w:rFonts w:ascii="Verdana" w:hAnsi="Verdana"/>
          <w:sz w:val="20"/>
          <w:szCs w:val="20"/>
        </w:rPr>
        <w:t xml:space="preserve">Au regard des dynamiques actuelles de l'aide publique au développement, une réflexion de fond apparaît nécessaire sur la soutenabilité du modèle économique de la COI. Il conviendra de doter le Secrétariat général d'une </w:t>
      </w:r>
      <w:r w:rsidRPr="00174701">
        <w:rPr>
          <w:rFonts w:ascii="Verdana" w:hAnsi="Verdana"/>
          <w:b/>
          <w:bCs/>
          <w:sz w:val="20"/>
          <w:szCs w:val="20"/>
        </w:rPr>
        <w:t>boussole de pilotage</w:t>
      </w:r>
      <w:r w:rsidRPr="00174701">
        <w:rPr>
          <w:rFonts w:ascii="Verdana" w:hAnsi="Verdana"/>
          <w:sz w:val="20"/>
          <w:szCs w:val="20"/>
        </w:rPr>
        <w:t xml:space="preserve"> lui permettant d'anticiper, d'ajuster et de défendre sa trajectoire financière. Cette réflexion se déploie en trois volets complémentaires.</w:t>
      </w:r>
    </w:p>
    <w:p w14:paraId="6959C81F" w14:textId="7B76C681" w:rsidR="0093689E" w:rsidRPr="00174701" w:rsidRDefault="0093689E" w:rsidP="00885E7B">
      <w:pPr>
        <w:spacing w:after="120" w:line="276" w:lineRule="auto"/>
        <w:jc w:val="both"/>
        <w:rPr>
          <w:rFonts w:ascii="Verdana" w:hAnsi="Verdana"/>
          <w:sz w:val="20"/>
          <w:szCs w:val="20"/>
        </w:rPr>
      </w:pPr>
      <w:r w:rsidRPr="00174701">
        <w:rPr>
          <w:rFonts w:ascii="Verdana" w:hAnsi="Verdana"/>
          <w:b/>
          <w:bCs/>
          <w:sz w:val="20"/>
          <w:szCs w:val="20"/>
        </w:rPr>
        <w:t>Actualisation du modèle économique.</w:t>
      </w:r>
      <w:r w:rsidRPr="00174701">
        <w:rPr>
          <w:rFonts w:ascii="Verdana" w:hAnsi="Verdana"/>
          <w:sz w:val="20"/>
          <w:szCs w:val="20"/>
        </w:rPr>
        <w:t xml:space="preserve"> L'exercice ne relève pas d'un simple ajustement comptable. Il implique de réconcilier trois réalités</w:t>
      </w:r>
      <w:r w:rsidR="000F4D3B" w:rsidRPr="00174701">
        <w:rPr>
          <w:rFonts w:ascii="Verdana" w:hAnsi="Verdana"/>
          <w:sz w:val="20"/>
          <w:szCs w:val="20"/>
        </w:rPr>
        <w:t> :</w:t>
      </w:r>
      <w:r w:rsidRPr="00174701">
        <w:rPr>
          <w:rFonts w:ascii="Verdana" w:hAnsi="Verdana"/>
          <w:sz w:val="20"/>
          <w:szCs w:val="20"/>
        </w:rPr>
        <w:t xml:space="preserve"> les </w:t>
      </w:r>
      <w:r w:rsidRPr="00174701">
        <w:rPr>
          <w:rFonts w:ascii="Verdana" w:hAnsi="Verdana"/>
          <w:b/>
          <w:bCs/>
          <w:sz w:val="20"/>
          <w:szCs w:val="20"/>
        </w:rPr>
        <w:t>ressources</w:t>
      </w:r>
      <w:r w:rsidRPr="00174701">
        <w:rPr>
          <w:rFonts w:ascii="Verdana" w:hAnsi="Verdana"/>
          <w:sz w:val="20"/>
          <w:szCs w:val="20"/>
        </w:rPr>
        <w:t xml:space="preserve"> attendues du Secrétariat général (contributions statutaires des États, frais de gestion liés aux accréditations, autres sources de revenus), les </w:t>
      </w:r>
      <w:r w:rsidRPr="00174701">
        <w:rPr>
          <w:rFonts w:ascii="Verdana" w:hAnsi="Verdana"/>
          <w:b/>
          <w:bCs/>
          <w:sz w:val="20"/>
          <w:szCs w:val="20"/>
        </w:rPr>
        <w:t>charges croissantes</w:t>
      </w:r>
      <w:r w:rsidRPr="00174701">
        <w:rPr>
          <w:rFonts w:ascii="Verdana" w:hAnsi="Verdana"/>
          <w:sz w:val="20"/>
          <w:szCs w:val="20"/>
        </w:rPr>
        <w:t xml:space="preserve"> liées au renforcement institutionnel, et un </w:t>
      </w:r>
      <w:r w:rsidRPr="00174701">
        <w:rPr>
          <w:rFonts w:ascii="Verdana" w:hAnsi="Verdana"/>
          <w:b/>
          <w:bCs/>
          <w:sz w:val="20"/>
          <w:szCs w:val="20"/>
        </w:rPr>
        <w:t>contexte externe dégradé</w:t>
      </w:r>
      <w:r w:rsidRPr="00174701">
        <w:rPr>
          <w:rFonts w:ascii="Verdana" w:hAnsi="Verdana"/>
          <w:sz w:val="20"/>
          <w:szCs w:val="20"/>
        </w:rPr>
        <w:t xml:space="preserve"> </w:t>
      </w:r>
      <w:r w:rsidR="000F4D3B" w:rsidRPr="00174701">
        <w:rPr>
          <w:rFonts w:ascii="Verdana" w:hAnsi="Verdana"/>
          <w:sz w:val="20"/>
          <w:szCs w:val="20"/>
        </w:rPr>
        <w:t xml:space="preserve">caractérisé par l’affirmation d’une logique concurrentielle </w:t>
      </w:r>
      <w:r w:rsidR="003C3FE6" w:rsidRPr="00174701">
        <w:rPr>
          <w:rFonts w:ascii="Verdana" w:hAnsi="Verdana"/>
          <w:sz w:val="20"/>
          <w:szCs w:val="20"/>
        </w:rPr>
        <w:t xml:space="preserve">pour l’accès aux financements couplée à une raréfaction des fonds en subventions. </w:t>
      </w:r>
      <w:r w:rsidRPr="00174701">
        <w:rPr>
          <w:rFonts w:ascii="Verdana" w:hAnsi="Verdana"/>
          <w:sz w:val="20"/>
          <w:szCs w:val="20"/>
        </w:rPr>
        <w:t>L'enjeu est de produire des scénarios crédibles, appropriés et utilisables au quotidien par les équipes de la COI.</w:t>
      </w:r>
    </w:p>
    <w:p w14:paraId="345F2CF2" w14:textId="14E5D50D" w:rsidR="0093689E" w:rsidRPr="00174701" w:rsidRDefault="0093689E" w:rsidP="00885E7B">
      <w:pPr>
        <w:spacing w:after="120" w:line="276" w:lineRule="auto"/>
        <w:jc w:val="both"/>
        <w:rPr>
          <w:rFonts w:ascii="Verdana" w:hAnsi="Verdana"/>
          <w:sz w:val="20"/>
          <w:szCs w:val="20"/>
        </w:rPr>
      </w:pPr>
      <w:r w:rsidRPr="00174701">
        <w:rPr>
          <w:rFonts w:ascii="Verdana" w:hAnsi="Verdana"/>
          <w:b/>
          <w:bCs/>
          <w:sz w:val="20"/>
          <w:szCs w:val="20"/>
        </w:rPr>
        <w:t>Étude d'impact socioéconomique.</w:t>
      </w:r>
      <w:r w:rsidRPr="00174701">
        <w:rPr>
          <w:rFonts w:ascii="Verdana" w:hAnsi="Verdana"/>
          <w:sz w:val="20"/>
          <w:szCs w:val="20"/>
        </w:rPr>
        <w:t xml:space="preserve"> Il s'agira de mesurer l'impact de la COI sur la période 2015-2025 en consolidant des preuves tangibles et chiffrées de sa contribution au développement régional. Les résultats de cette étude permettront d'initier un dialogue structuré avec les ministères techniques des États membres et d'envisager, à terme, des méthodologies de travail partagées.</w:t>
      </w:r>
      <w:r w:rsidR="003C3FE6" w:rsidRPr="00174701">
        <w:rPr>
          <w:rFonts w:ascii="Verdana" w:hAnsi="Verdana"/>
          <w:sz w:val="20"/>
          <w:szCs w:val="20"/>
        </w:rPr>
        <w:t xml:space="preserve"> Cette étude alimentera également des actions de plaidoyer auprès des États membres pour obtenir leur soutien à la mise en œuvre effective du modèle économique de la COI. </w:t>
      </w:r>
    </w:p>
    <w:p w14:paraId="424C1808" w14:textId="2B19A152" w:rsidR="0093689E" w:rsidRDefault="0093689E" w:rsidP="00885E7B">
      <w:pPr>
        <w:spacing w:after="120" w:line="276" w:lineRule="auto"/>
        <w:jc w:val="both"/>
        <w:rPr>
          <w:rFonts w:ascii="Verdana" w:hAnsi="Verdana"/>
          <w:sz w:val="20"/>
          <w:szCs w:val="20"/>
        </w:rPr>
      </w:pPr>
      <w:r w:rsidRPr="00174701">
        <w:rPr>
          <w:rFonts w:ascii="Verdana" w:hAnsi="Verdana"/>
          <w:b/>
          <w:bCs/>
          <w:sz w:val="20"/>
          <w:szCs w:val="20"/>
        </w:rPr>
        <w:t>Stratégie de mobilisation des ressources</w:t>
      </w:r>
      <w:r w:rsidR="003C3FE6" w:rsidRPr="00174701">
        <w:rPr>
          <w:rFonts w:ascii="Verdana" w:hAnsi="Verdana"/>
          <w:b/>
          <w:bCs/>
          <w:sz w:val="20"/>
          <w:szCs w:val="20"/>
        </w:rPr>
        <w:t xml:space="preserve"> (cf. fiche 3.)</w:t>
      </w:r>
      <w:r w:rsidRPr="00174701">
        <w:rPr>
          <w:rFonts w:ascii="Verdana" w:hAnsi="Verdana"/>
          <w:b/>
          <w:bCs/>
          <w:sz w:val="20"/>
          <w:szCs w:val="20"/>
        </w:rPr>
        <w:t>.</w:t>
      </w:r>
      <w:r w:rsidRPr="00174701">
        <w:rPr>
          <w:rFonts w:ascii="Verdana" w:hAnsi="Verdana"/>
          <w:sz w:val="20"/>
          <w:szCs w:val="20"/>
        </w:rPr>
        <w:t xml:space="preserve"> Le Secrétariat général a engagé l'élaboration de cette stratégie à travers un processus participatif. Un premier atelier interne a permis de dresser un diagnostic du paysage financier, marqué par la contraction des financements traditionnels et un virage vers des mécanismes plus compétitifs, d'identifier les forces, faiblesses, opportunités et menaces de la COI, et de formuler une proposition préliminaire d'objectifs stratégiques. </w:t>
      </w:r>
      <w:r w:rsidRPr="00897C00">
        <w:rPr>
          <w:rFonts w:ascii="Verdana" w:hAnsi="Verdana"/>
          <w:sz w:val="20"/>
          <w:szCs w:val="20"/>
        </w:rPr>
        <w:t>Le document de travail issu de cet exercice</w:t>
      </w:r>
      <w:r w:rsidR="00897C00" w:rsidRPr="00897C00">
        <w:rPr>
          <w:rFonts w:ascii="Verdana" w:hAnsi="Verdana"/>
          <w:sz w:val="20"/>
          <w:szCs w:val="20"/>
        </w:rPr>
        <w:t xml:space="preserve"> </w:t>
      </w:r>
      <w:r w:rsidRPr="00897C00">
        <w:rPr>
          <w:rFonts w:ascii="Verdana" w:hAnsi="Verdana"/>
          <w:sz w:val="20"/>
          <w:szCs w:val="20"/>
        </w:rPr>
        <w:t xml:space="preserve">sera enrichi par des consultations ciblées auprès </w:t>
      </w:r>
      <w:r w:rsidR="00897C00" w:rsidRPr="00897C00">
        <w:rPr>
          <w:rFonts w:ascii="Verdana" w:hAnsi="Verdana"/>
          <w:sz w:val="20"/>
          <w:szCs w:val="20"/>
        </w:rPr>
        <w:t>des États membres</w:t>
      </w:r>
      <w:r w:rsidR="00897C00" w:rsidRPr="00897C00">
        <w:rPr>
          <w:rFonts w:ascii="Verdana" w:hAnsi="Verdana"/>
          <w:sz w:val="20"/>
          <w:szCs w:val="20"/>
        </w:rPr>
        <w:t xml:space="preserve"> et </w:t>
      </w:r>
      <w:r w:rsidRPr="00897C00">
        <w:rPr>
          <w:rFonts w:ascii="Verdana" w:hAnsi="Verdana"/>
          <w:sz w:val="20"/>
          <w:szCs w:val="20"/>
        </w:rPr>
        <w:t>des partenaires, puis finalisé lors d'un second atelier prévu au deuxième trimestre 2026, en vue d'une soumission</w:t>
      </w:r>
      <w:r w:rsidRPr="00174701">
        <w:rPr>
          <w:rFonts w:ascii="Verdana" w:hAnsi="Verdana"/>
          <w:sz w:val="20"/>
          <w:szCs w:val="20"/>
        </w:rPr>
        <w:t xml:space="preserve"> aux instances statutaires au cycle 2026-2027. </w:t>
      </w:r>
      <w:r w:rsidR="003C3FE6" w:rsidRPr="00174701">
        <w:rPr>
          <w:rFonts w:ascii="Verdana" w:hAnsi="Verdana"/>
          <w:sz w:val="20"/>
          <w:szCs w:val="20"/>
        </w:rPr>
        <w:t>U</w:t>
      </w:r>
      <w:r w:rsidRPr="00174701">
        <w:rPr>
          <w:rFonts w:ascii="Verdana" w:hAnsi="Verdana"/>
          <w:sz w:val="20"/>
          <w:szCs w:val="20"/>
        </w:rPr>
        <w:t>n</w:t>
      </w:r>
      <w:r w:rsidR="00BA50B4" w:rsidRPr="00174701">
        <w:rPr>
          <w:rFonts w:ascii="Verdana" w:hAnsi="Verdana"/>
          <w:sz w:val="20"/>
          <w:szCs w:val="20"/>
        </w:rPr>
        <w:t>e</w:t>
      </w:r>
      <w:r w:rsidRPr="00174701">
        <w:rPr>
          <w:rFonts w:ascii="Verdana" w:hAnsi="Verdana"/>
          <w:sz w:val="20"/>
          <w:szCs w:val="20"/>
        </w:rPr>
        <w:t xml:space="preserve"> </w:t>
      </w:r>
      <w:r w:rsidR="00BA50B4" w:rsidRPr="00174701">
        <w:rPr>
          <w:rFonts w:ascii="Verdana" w:hAnsi="Verdana"/>
          <w:b/>
          <w:bCs/>
          <w:sz w:val="20"/>
          <w:szCs w:val="20"/>
        </w:rPr>
        <w:t>réunion de haut niveau</w:t>
      </w:r>
      <w:r w:rsidR="00BA50B4" w:rsidRPr="00174701">
        <w:rPr>
          <w:rFonts w:ascii="Verdana" w:hAnsi="Verdana"/>
          <w:sz w:val="20"/>
          <w:szCs w:val="20"/>
        </w:rPr>
        <w:t xml:space="preserve"> </w:t>
      </w:r>
      <w:r w:rsidRPr="00174701">
        <w:rPr>
          <w:rFonts w:ascii="Verdana" w:hAnsi="Verdana"/>
          <w:b/>
          <w:bCs/>
          <w:sz w:val="20"/>
          <w:szCs w:val="20"/>
        </w:rPr>
        <w:t>des partenaires de développement</w:t>
      </w:r>
      <w:r w:rsidRPr="00174701">
        <w:rPr>
          <w:rFonts w:ascii="Verdana" w:hAnsi="Verdana"/>
          <w:sz w:val="20"/>
          <w:szCs w:val="20"/>
        </w:rPr>
        <w:t>, envisagé</w:t>
      </w:r>
      <w:r w:rsidR="00BA50B4" w:rsidRPr="00174701">
        <w:rPr>
          <w:rFonts w:ascii="Verdana" w:hAnsi="Verdana"/>
          <w:sz w:val="20"/>
          <w:szCs w:val="20"/>
        </w:rPr>
        <w:t>e</w:t>
      </w:r>
      <w:r w:rsidRPr="00174701">
        <w:rPr>
          <w:rFonts w:ascii="Verdana" w:hAnsi="Verdana"/>
          <w:sz w:val="20"/>
          <w:szCs w:val="20"/>
        </w:rPr>
        <w:t xml:space="preserve"> d'ici fin 2026 – début 2027, viendra concrétiser la démarche en positionnant la COI comme organisation régionale de référence, en présentant sa vision stratégique conformément au PDS, et en contribuant à élargir et diversifier des financements. Ce</w:t>
      </w:r>
      <w:r w:rsidR="00BA50B4" w:rsidRPr="00174701">
        <w:rPr>
          <w:rFonts w:ascii="Verdana" w:hAnsi="Verdana"/>
          <w:sz w:val="20"/>
          <w:szCs w:val="20"/>
        </w:rPr>
        <w:t>tte rencontre</w:t>
      </w:r>
      <w:r w:rsidRPr="00174701">
        <w:rPr>
          <w:rFonts w:ascii="Verdana" w:hAnsi="Verdana"/>
          <w:sz w:val="20"/>
          <w:szCs w:val="20"/>
        </w:rPr>
        <w:t xml:space="preserve"> visera également à mieux appréhender les logiques d'intervention des partenaires et à établir, une méthodologie de travail autour de trois à cinq initiatives emblématiques à fort impact régional.</w:t>
      </w:r>
    </w:p>
    <w:p w14:paraId="4679583E" w14:textId="77777777" w:rsidR="00174701" w:rsidRPr="00174701" w:rsidRDefault="00174701" w:rsidP="00885E7B">
      <w:pPr>
        <w:spacing w:after="120" w:line="276" w:lineRule="auto"/>
        <w:jc w:val="both"/>
        <w:rPr>
          <w:rFonts w:ascii="Verdana" w:hAnsi="Verdana"/>
          <w:sz w:val="20"/>
          <w:szCs w:val="20"/>
        </w:rPr>
      </w:pPr>
    </w:p>
    <w:p w14:paraId="7C42B5C2" w14:textId="66B63BCC" w:rsidR="0093689E" w:rsidRPr="00174701" w:rsidRDefault="0093689E" w:rsidP="00174701">
      <w:pPr>
        <w:pStyle w:val="Sous-partie2"/>
        <w:spacing w:after="120" w:line="276" w:lineRule="auto"/>
        <w:contextualSpacing w:val="0"/>
      </w:pPr>
      <w:r w:rsidRPr="00174701">
        <w:t>Gouvernance</w:t>
      </w:r>
    </w:p>
    <w:p w14:paraId="2F658894" w14:textId="15763174" w:rsidR="006D47A6" w:rsidRPr="003F6156" w:rsidRDefault="0093689E" w:rsidP="00897C00">
      <w:pPr>
        <w:pStyle w:val="Paragraphe"/>
        <w:spacing w:line="276" w:lineRule="auto"/>
      </w:pPr>
      <w:r w:rsidRPr="00174701">
        <w:t xml:space="preserve">S'agissant de la gouvernance, une réflexion pourra être engagée avec les États membres sur le modèle institutionnel actuel de la COI et sur les modalités de collaboration avec le bureau des Officiers permanents de liaison. Il s'agira d'aller au-delà du renforcement en termes d'équipement déjà engagé, en explorant des leviers fonctionnels et procéduraux susceptibles de </w:t>
      </w:r>
      <w:r w:rsidR="00366D9A" w:rsidRPr="00174701">
        <w:t xml:space="preserve">faciliter le suivi des actions de la COI au niveau national et de </w:t>
      </w:r>
      <w:r w:rsidRPr="00174701">
        <w:t xml:space="preserve">fluidifier les interactions </w:t>
      </w:r>
      <w:r w:rsidR="00366D9A" w:rsidRPr="00174701">
        <w:t>avec</w:t>
      </w:r>
      <w:r w:rsidRPr="00174701">
        <w:t xml:space="preserve"> le Secrétariat général.</w:t>
      </w:r>
      <w:r w:rsidR="00DF1FE5">
        <w:t xml:space="preserve"> Deux études sont envisagé</w:t>
      </w:r>
      <w:r w:rsidR="00897C00">
        <w:t>es</w:t>
      </w:r>
      <w:r w:rsidR="00DF1FE5">
        <w:t xml:space="preserve"> pour permettre au Secr</w:t>
      </w:r>
      <w:r w:rsidR="00897C00">
        <w:t>é</w:t>
      </w:r>
      <w:r w:rsidR="00DF1FE5">
        <w:t>tariat général de renforcer son organisation interne et consolider le mécanisme de coordination avec les Etats.</w:t>
      </w:r>
      <w:bookmarkEnd w:id="0"/>
    </w:p>
    <w:sectPr w:rsidR="006D47A6" w:rsidRPr="003F6156"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5CCA" w14:textId="77777777" w:rsidR="002210FF" w:rsidRDefault="002210FF">
      <w:pPr>
        <w:spacing w:after="0" w:line="240" w:lineRule="auto"/>
      </w:pPr>
      <w:r>
        <w:separator/>
      </w:r>
    </w:p>
  </w:endnote>
  <w:endnote w:type="continuationSeparator" w:id="0">
    <w:p w14:paraId="019DCEF8" w14:textId="77777777" w:rsidR="002210FF" w:rsidRDefault="0022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D760F2">
          <w:rPr>
            <w:noProof/>
          </w:rPr>
          <w:t>6</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BE00" w14:textId="77777777" w:rsidR="002210FF" w:rsidRDefault="002210FF">
      <w:pPr>
        <w:spacing w:after="0" w:line="240" w:lineRule="auto"/>
      </w:pPr>
      <w:r>
        <w:separator/>
      </w:r>
    </w:p>
  </w:footnote>
  <w:footnote w:type="continuationSeparator" w:id="0">
    <w:p w14:paraId="32FCB087" w14:textId="77777777" w:rsidR="002210FF" w:rsidRDefault="00221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73DB61EB" w:rsidR="00063A26" w:rsidRDefault="00854EEA" w:rsidP="00063A26">
    <w:pPr>
      <w:pStyle w:val="En-tte"/>
      <w:tabs>
        <w:tab w:val="clear" w:pos="4536"/>
        <w:tab w:val="clear" w:pos="9072"/>
        <w:tab w:val="center" w:pos="0"/>
      </w:tabs>
      <w:rPr>
        <w:b/>
        <w:bCs/>
      </w:rPr>
    </w:pPr>
    <w:r>
      <w:rPr>
        <w:i/>
        <w:iCs/>
        <w:noProof/>
        <w:lang w:eastAsia="fr-FR"/>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0318DE">
      <w:rPr>
        <w:rFonts w:ascii="Verdana" w:hAnsi="Verdana"/>
        <w:b/>
        <w:bCs/>
        <w:sz w:val="20"/>
        <w:szCs w:val="20"/>
      </w:rPr>
      <w:t xml:space="preserve"> </w:t>
    </w:r>
    <w:r w:rsidR="00416AE5">
      <w:rPr>
        <w:rFonts w:ascii="Verdana" w:hAnsi="Verdana"/>
        <w:b/>
        <w:bCs/>
        <w:sz w:val="20"/>
        <w:szCs w:val="20"/>
      </w:rPr>
      <w:t>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E20"/>
    <w:multiLevelType w:val="multilevel"/>
    <w:tmpl w:val="C76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3806E4"/>
    <w:multiLevelType w:val="hybridMultilevel"/>
    <w:tmpl w:val="00AE6A7A"/>
    <w:lvl w:ilvl="0" w:tplc="3A484404">
      <w:start w:val="1"/>
      <w:numFmt w:val="bullet"/>
      <w:lvlText w:val="•"/>
      <w:lvlJc w:val="left"/>
      <w:pPr>
        <w:tabs>
          <w:tab w:val="num" w:pos="720"/>
        </w:tabs>
        <w:ind w:left="720" w:hanging="360"/>
      </w:pPr>
      <w:rPr>
        <w:rFonts w:ascii="Arial" w:hAnsi="Arial" w:hint="default"/>
      </w:rPr>
    </w:lvl>
    <w:lvl w:ilvl="1" w:tplc="C7E42A6C" w:tentative="1">
      <w:start w:val="1"/>
      <w:numFmt w:val="bullet"/>
      <w:lvlText w:val="•"/>
      <w:lvlJc w:val="left"/>
      <w:pPr>
        <w:tabs>
          <w:tab w:val="num" w:pos="1440"/>
        </w:tabs>
        <w:ind w:left="1440" w:hanging="360"/>
      </w:pPr>
      <w:rPr>
        <w:rFonts w:ascii="Arial" w:hAnsi="Arial" w:hint="default"/>
      </w:rPr>
    </w:lvl>
    <w:lvl w:ilvl="2" w:tplc="E49CD0EC" w:tentative="1">
      <w:start w:val="1"/>
      <w:numFmt w:val="bullet"/>
      <w:lvlText w:val="•"/>
      <w:lvlJc w:val="left"/>
      <w:pPr>
        <w:tabs>
          <w:tab w:val="num" w:pos="2160"/>
        </w:tabs>
        <w:ind w:left="2160" w:hanging="360"/>
      </w:pPr>
      <w:rPr>
        <w:rFonts w:ascii="Arial" w:hAnsi="Arial" w:hint="default"/>
      </w:rPr>
    </w:lvl>
    <w:lvl w:ilvl="3" w:tplc="93BC12D4" w:tentative="1">
      <w:start w:val="1"/>
      <w:numFmt w:val="bullet"/>
      <w:lvlText w:val="•"/>
      <w:lvlJc w:val="left"/>
      <w:pPr>
        <w:tabs>
          <w:tab w:val="num" w:pos="2880"/>
        </w:tabs>
        <w:ind w:left="2880" w:hanging="360"/>
      </w:pPr>
      <w:rPr>
        <w:rFonts w:ascii="Arial" w:hAnsi="Arial" w:hint="default"/>
      </w:rPr>
    </w:lvl>
    <w:lvl w:ilvl="4" w:tplc="9A9A7F22" w:tentative="1">
      <w:start w:val="1"/>
      <w:numFmt w:val="bullet"/>
      <w:lvlText w:val="•"/>
      <w:lvlJc w:val="left"/>
      <w:pPr>
        <w:tabs>
          <w:tab w:val="num" w:pos="3600"/>
        </w:tabs>
        <w:ind w:left="3600" w:hanging="360"/>
      </w:pPr>
      <w:rPr>
        <w:rFonts w:ascii="Arial" w:hAnsi="Arial" w:hint="default"/>
      </w:rPr>
    </w:lvl>
    <w:lvl w:ilvl="5" w:tplc="C71AE822" w:tentative="1">
      <w:start w:val="1"/>
      <w:numFmt w:val="bullet"/>
      <w:lvlText w:val="•"/>
      <w:lvlJc w:val="left"/>
      <w:pPr>
        <w:tabs>
          <w:tab w:val="num" w:pos="4320"/>
        </w:tabs>
        <w:ind w:left="4320" w:hanging="360"/>
      </w:pPr>
      <w:rPr>
        <w:rFonts w:ascii="Arial" w:hAnsi="Arial" w:hint="default"/>
      </w:rPr>
    </w:lvl>
    <w:lvl w:ilvl="6" w:tplc="253A66E2" w:tentative="1">
      <w:start w:val="1"/>
      <w:numFmt w:val="bullet"/>
      <w:lvlText w:val="•"/>
      <w:lvlJc w:val="left"/>
      <w:pPr>
        <w:tabs>
          <w:tab w:val="num" w:pos="5040"/>
        </w:tabs>
        <w:ind w:left="5040" w:hanging="360"/>
      </w:pPr>
      <w:rPr>
        <w:rFonts w:ascii="Arial" w:hAnsi="Arial" w:hint="default"/>
      </w:rPr>
    </w:lvl>
    <w:lvl w:ilvl="7" w:tplc="5944FB16" w:tentative="1">
      <w:start w:val="1"/>
      <w:numFmt w:val="bullet"/>
      <w:lvlText w:val="•"/>
      <w:lvlJc w:val="left"/>
      <w:pPr>
        <w:tabs>
          <w:tab w:val="num" w:pos="5760"/>
        </w:tabs>
        <w:ind w:left="5760" w:hanging="360"/>
      </w:pPr>
      <w:rPr>
        <w:rFonts w:ascii="Arial" w:hAnsi="Arial" w:hint="default"/>
      </w:rPr>
    </w:lvl>
    <w:lvl w:ilvl="8" w:tplc="241CB3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6398B"/>
    <w:multiLevelType w:val="hybridMultilevel"/>
    <w:tmpl w:val="A560C7EA"/>
    <w:lvl w:ilvl="0" w:tplc="A7C4BE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882A76"/>
    <w:multiLevelType w:val="multilevel"/>
    <w:tmpl w:val="B04CD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81842"/>
    <w:multiLevelType w:val="multilevel"/>
    <w:tmpl w:val="4BF430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6B53EC"/>
    <w:multiLevelType w:val="hybridMultilevel"/>
    <w:tmpl w:val="C2722B06"/>
    <w:lvl w:ilvl="0" w:tplc="939081C4">
      <w:start w:val="2"/>
      <w:numFmt w:val="bullet"/>
      <w:lvlText w:val="-"/>
      <w:lvlJc w:val="left"/>
      <w:pPr>
        <w:ind w:left="720" w:hanging="360"/>
      </w:pPr>
      <w:rPr>
        <w:rFonts w:ascii="Verdana" w:eastAsiaTheme="minorHAnsi"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6387DE3"/>
    <w:multiLevelType w:val="hybridMultilevel"/>
    <w:tmpl w:val="75F6F2A6"/>
    <w:lvl w:ilvl="0" w:tplc="CA06DB2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6A56B25"/>
    <w:multiLevelType w:val="multilevel"/>
    <w:tmpl w:val="90E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631C6"/>
    <w:multiLevelType w:val="hybridMultilevel"/>
    <w:tmpl w:val="E368BD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E10044E"/>
    <w:multiLevelType w:val="multilevel"/>
    <w:tmpl w:val="A55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A4AB3"/>
    <w:multiLevelType w:val="hybridMultilevel"/>
    <w:tmpl w:val="EF5AE9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CF113E"/>
    <w:multiLevelType w:val="hybridMultilevel"/>
    <w:tmpl w:val="9EBE7F10"/>
    <w:lvl w:ilvl="0" w:tplc="7F94D150">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567EF1"/>
    <w:multiLevelType w:val="multilevel"/>
    <w:tmpl w:val="4E2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330F1"/>
    <w:multiLevelType w:val="hybridMultilevel"/>
    <w:tmpl w:val="8CDE8B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BE99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A154367"/>
    <w:multiLevelType w:val="hybridMultilevel"/>
    <w:tmpl w:val="1922A378"/>
    <w:lvl w:ilvl="0" w:tplc="C9D8F936">
      <w:start w:val="1"/>
      <w:numFmt w:val="bullet"/>
      <w:lvlText w:val="•"/>
      <w:lvlJc w:val="left"/>
      <w:pPr>
        <w:ind w:left="540" w:hanging="280"/>
      </w:pPr>
    </w:lvl>
    <w:lvl w:ilvl="1" w:tplc="32B0000C">
      <w:numFmt w:val="decimal"/>
      <w:lvlText w:val=""/>
      <w:lvlJc w:val="left"/>
    </w:lvl>
    <w:lvl w:ilvl="2" w:tplc="38CE84C6">
      <w:numFmt w:val="decimal"/>
      <w:lvlText w:val=""/>
      <w:lvlJc w:val="left"/>
    </w:lvl>
    <w:lvl w:ilvl="3" w:tplc="0A104FDC">
      <w:numFmt w:val="decimal"/>
      <w:lvlText w:val=""/>
      <w:lvlJc w:val="left"/>
    </w:lvl>
    <w:lvl w:ilvl="4" w:tplc="1722D272">
      <w:numFmt w:val="decimal"/>
      <w:lvlText w:val=""/>
      <w:lvlJc w:val="left"/>
    </w:lvl>
    <w:lvl w:ilvl="5" w:tplc="D494D304">
      <w:numFmt w:val="decimal"/>
      <w:lvlText w:val=""/>
      <w:lvlJc w:val="left"/>
    </w:lvl>
    <w:lvl w:ilvl="6" w:tplc="CA6C1040">
      <w:numFmt w:val="decimal"/>
      <w:lvlText w:val=""/>
      <w:lvlJc w:val="left"/>
    </w:lvl>
    <w:lvl w:ilvl="7" w:tplc="B36E249C">
      <w:numFmt w:val="decimal"/>
      <w:lvlText w:val=""/>
      <w:lvlJc w:val="left"/>
    </w:lvl>
    <w:lvl w:ilvl="8" w:tplc="B6B836EC">
      <w:numFmt w:val="decimal"/>
      <w:lvlText w:val=""/>
      <w:lvlJc w:val="left"/>
    </w:lvl>
  </w:abstractNum>
  <w:abstractNum w:abstractNumId="26"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47754502">
    <w:abstractNumId w:val="8"/>
  </w:num>
  <w:num w:numId="2" w16cid:durableId="379670961">
    <w:abstractNumId w:val="19"/>
  </w:num>
  <w:num w:numId="3" w16cid:durableId="1493182648">
    <w:abstractNumId w:val="5"/>
  </w:num>
  <w:num w:numId="4" w16cid:durableId="1822502622">
    <w:abstractNumId w:val="1"/>
  </w:num>
  <w:num w:numId="5" w16cid:durableId="2136899333">
    <w:abstractNumId w:val="18"/>
  </w:num>
  <w:num w:numId="6" w16cid:durableId="2077506340">
    <w:abstractNumId w:val="6"/>
  </w:num>
  <w:num w:numId="7" w16cid:durableId="1662931648">
    <w:abstractNumId w:val="11"/>
  </w:num>
  <w:num w:numId="8" w16cid:durableId="426313716">
    <w:abstractNumId w:val="5"/>
    <w:lvlOverride w:ilvl="0">
      <w:startOverride w:val="1"/>
    </w:lvlOverride>
  </w:num>
  <w:num w:numId="9" w16cid:durableId="120194674">
    <w:abstractNumId w:val="4"/>
  </w:num>
  <w:num w:numId="10" w16cid:durableId="247082653">
    <w:abstractNumId w:val="7"/>
  </w:num>
  <w:num w:numId="11" w16cid:durableId="417562094">
    <w:abstractNumId w:val="26"/>
  </w:num>
  <w:num w:numId="12" w16cid:durableId="1539246236">
    <w:abstractNumId w:val="16"/>
  </w:num>
  <w:num w:numId="13" w16cid:durableId="749888463">
    <w:abstractNumId w:val="3"/>
  </w:num>
  <w:num w:numId="14" w16cid:durableId="335768936">
    <w:abstractNumId w:val="15"/>
  </w:num>
  <w:num w:numId="15" w16cid:durableId="1693456978">
    <w:abstractNumId w:val="0"/>
  </w:num>
  <w:num w:numId="16" w16cid:durableId="1849366526">
    <w:abstractNumId w:val="14"/>
  </w:num>
  <w:num w:numId="17" w16cid:durableId="570624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5401926">
    <w:abstractNumId w:val="20"/>
  </w:num>
  <w:num w:numId="19" w16cid:durableId="306907960">
    <w:abstractNumId w:val="2"/>
  </w:num>
  <w:num w:numId="20" w16cid:durableId="1084835911">
    <w:abstractNumId w:val="24"/>
  </w:num>
  <w:num w:numId="21" w16cid:durableId="630012616">
    <w:abstractNumId w:val="22"/>
  </w:num>
  <w:num w:numId="22" w16cid:durableId="1846281303">
    <w:abstractNumId w:val="10"/>
  </w:num>
  <w:num w:numId="23" w16cid:durableId="1089228703">
    <w:abstractNumId w:val="21"/>
  </w:num>
  <w:num w:numId="24" w16cid:durableId="497037460">
    <w:abstractNumId w:val="13"/>
  </w:num>
  <w:num w:numId="25" w16cid:durableId="1348291667">
    <w:abstractNumId w:val="12"/>
  </w:num>
  <w:num w:numId="26" w16cid:durableId="287586291">
    <w:abstractNumId w:val="25"/>
    <w:lvlOverride w:ilvl="0">
      <w:startOverride w:val="1"/>
    </w:lvlOverride>
  </w:num>
  <w:num w:numId="27" w16cid:durableId="887490329">
    <w:abstractNumId w:val="9"/>
  </w:num>
  <w:num w:numId="28" w16cid:durableId="1282033967">
    <w:abstractNumId w:val="17"/>
  </w:num>
  <w:num w:numId="29" w16cid:durableId="19104633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ED6"/>
    <w:rsid w:val="00012E17"/>
    <w:rsid w:val="00014530"/>
    <w:rsid w:val="00022CAE"/>
    <w:rsid w:val="000243C8"/>
    <w:rsid w:val="000318DE"/>
    <w:rsid w:val="000373B2"/>
    <w:rsid w:val="00040579"/>
    <w:rsid w:val="00041925"/>
    <w:rsid w:val="00042CF5"/>
    <w:rsid w:val="0004376E"/>
    <w:rsid w:val="00046A0A"/>
    <w:rsid w:val="00054900"/>
    <w:rsid w:val="00060CA0"/>
    <w:rsid w:val="0006259A"/>
    <w:rsid w:val="00063A26"/>
    <w:rsid w:val="00071AB2"/>
    <w:rsid w:val="000729D6"/>
    <w:rsid w:val="00076274"/>
    <w:rsid w:val="000763B8"/>
    <w:rsid w:val="0008468B"/>
    <w:rsid w:val="00093558"/>
    <w:rsid w:val="0009522E"/>
    <w:rsid w:val="00097DA3"/>
    <w:rsid w:val="000A468A"/>
    <w:rsid w:val="000B0FBD"/>
    <w:rsid w:val="000B2026"/>
    <w:rsid w:val="000C0FBC"/>
    <w:rsid w:val="000C123D"/>
    <w:rsid w:val="000C3274"/>
    <w:rsid w:val="000C449A"/>
    <w:rsid w:val="000C539B"/>
    <w:rsid w:val="000F0715"/>
    <w:rsid w:val="000F241C"/>
    <w:rsid w:val="000F35F0"/>
    <w:rsid w:val="000F4728"/>
    <w:rsid w:val="000F4D3B"/>
    <w:rsid w:val="0010236B"/>
    <w:rsid w:val="001024B4"/>
    <w:rsid w:val="00107D9D"/>
    <w:rsid w:val="00111AB6"/>
    <w:rsid w:val="00120082"/>
    <w:rsid w:val="00154B2D"/>
    <w:rsid w:val="00174701"/>
    <w:rsid w:val="0018252D"/>
    <w:rsid w:val="00182B6C"/>
    <w:rsid w:val="00184989"/>
    <w:rsid w:val="00190FFF"/>
    <w:rsid w:val="00193079"/>
    <w:rsid w:val="001A4B9D"/>
    <w:rsid w:val="001A56F1"/>
    <w:rsid w:val="001B066D"/>
    <w:rsid w:val="001B1003"/>
    <w:rsid w:val="001B4738"/>
    <w:rsid w:val="001D055F"/>
    <w:rsid w:val="001D0FEC"/>
    <w:rsid w:val="001D503D"/>
    <w:rsid w:val="001E58F4"/>
    <w:rsid w:val="001F34E5"/>
    <w:rsid w:val="00201EF6"/>
    <w:rsid w:val="00216EF7"/>
    <w:rsid w:val="002171A9"/>
    <w:rsid w:val="002210FF"/>
    <w:rsid w:val="002214E6"/>
    <w:rsid w:val="00221D5D"/>
    <w:rsid w:val="00221FE8"/>
    <w:rsid w:val="002346F9"/>
    <w:rsid w:val="002405CA"/>
    <w:rsid w:val="002470EB"/>
    <w:rsid w:val="0025523F"/>
    <w:rsid w:val="00272914"/>
    <w:rsid w:val="00284223"/>
    <w:rsid w:val="00284C46"/>
    <w:rsid w:val="00287B70"/>
    <w:rsid w:val="002A0933"/>
    <w:rsid w:val="002A096E"/>
    <w:rsid w:val="002A5167"/>
    <w:rsid w:val="002A604F"/>
    <w:rsid w:val="002B226B"/>
    <w:rsid w:val="002B2CCF"/>
    <w:rsid w:val="002B3B10"/>
    <w:rsid w:val="002C1929"/>
    <w:rsid w:val="002C26EF"/>
    <w:rsid w:val="002C56ED"/>
    <w:rsid w:val="002D0145"/>
    <w:rsid w:val="002D2A54"/>
    <w:rsid w:val="002D6040"/>
    <w:rsid w:val="002E10B9"/>
    <w:rsid w:val="002E1237"/>
    <w:rsid w:val="002E14D0"/>
    <w:rsid w:val="002E7032"/>
    <w:rsid w:val="002F1265"/>
    <w:rsid w:val="003068C5"/>
    <w:rsid w:val="00306BE9"/>
    <w:rsid w:val="00310AD6"/>
    <w:rsid w:val="0031410B"/>
    <w:rsid w:val="0032519C"/>
    <w:rsid w:val="00332840"/>
    <w:rsid w:val="00340960"/>
    <w:rsid w:val="00342F59"/>
    <w:rsid w:val="003458B7"/>
    <w:rsid w:val="00353BBA"/>
    <w:rsid w:val="003566B1"/>
    <w:rsid w:val="0035773D"/>
    <w:rsid w:val="003604B9"/>
    <w:rsid w:val="0036201C"/>
    <w:rsid w:val="003643C5"/>
    <w:rsid w:val="0036493D"/>
    <w:rsid w:val="0036615F"/>
    <w:rsid w:val="00366D9A"/>
    <w:rsid w:val="00375F9E"/>
    <w:rsid w:val="003772FB"/>
    <w:rsid w:val="00386938"/>
    <w:rsid w:val="00391152"/>
    <w:rsid w:val="003B1150"/>
    <w:rsid w:val="003B1E79"/>
    <w:rsid w:val="003C0682"/>
    <w:rsid w:val="003C12A6"/>
    <w:rsid w:val="003C2538"/>
    <w:rsid w:val="003C2DCC"/>
    <w:rsid w:val="003C3FE6"/>
    <w:rsid w:val="003D485F"/>
    <w:rsid w:val="003D5328"/>
    <w:rsid w:val="003E3C81"/>
    <w:rsid w:val="003E7297"/>
    <w:rsid w:val="003F0660"/>
    <w:rsid w:val="003F2872"/>
    <w:rsid w:val="003F2B22"/>
    <w:rsid w:val="003F6156"/>
    <w:rsid w:val="0040749D"/>
    <w:rsid w:val="00412747"/>
    <w:rsid w:val="0041278C"/>
    <w:rsid w:val="00416AE5"/>
    <w:rsid w:val="00417683"/>
    <w:rsid w:val="00425B0C"/>
    <w:rsid w:val="00426673"/>
    <w:rsid w:val="00431A27"/>
    <w:rsid w:val="00433259"/>
    <w:rsid w:val="00435929"/>
    <w:rsid w:val="004420ED"/>
    <w:rsid w:val="00442522"/>
    <w:rsid w:val="00454A71"/>
    <w:rsid w:val="004607F7"/>
    <w:rsid w:val="0046335B"/>
    <w:rsid w:val="00467E72"/>
    <w:rsid w:val="00491974"/>
    <w:rsid w:val="0049782A"/>
    <w:rsid w:val="004A294D"/>
    <w:rsid w:val="004C2C4E"/>
    <w:rsid w:val="004E03B2"/>
    <w:rsid w:val="004E4140"/>
    <w:rsid w:val="004F180B"/>
    <w:rsid w:val="004F5C4B"/>
    <w:rsid w:val="004F6156"/>
    <w:rsid w:val="00502B9A"/>
    <w:rsid w:val="005053CD"/>
    <w:rsid w:val="00506325"/>
    <w:rsid w:val="005074E2"/>
    <w:rsid w:val="00513D2A"/>
    <w:rsid w:val="00516B59"/>
    <w:rsid w:val="00517BFE"/>
    <w:rsid w:val="005367B4"/>
    <w:rsid w:val="0053773D"/>
    <w:rsid w:val="00537BBF"/>
    <w:rsid w:val="00540B7A"/>
    <w:rsid w:val="005437C1"/>
    <w:rsid w:val="00547AE2"/>
    <w:rsid w:val="00554651"/>
    <w:rsid w:val="00561F1E"/>
    <w:rsid w:val="00587544"/>
    <w:rsid w:val="00591838"/>
    <w:rsid w:val="00596C86"/>
    <w:rsid w:val="00597C15"/>
    <w:rsid w:val="005A4D1D"/>
    <w:rsid w:val="005A5466"/>
    <w:rsid w:val="005A5DF5"/>
    <w:rsid w:val="005B5C4A"/>
    <w:rsid w:val="005C691B"/>
    <w:rsid w:val="005D7CAC"/>
    <w:rsid w:val="005E4D9F"/>
    <w:rsid w:val="005E75F8"/>
    <w:rsid w:val="005E77CA"/>
    <w:rsid w:val="005F2C3B"/>
    <w:rsid w:val="0060575B"/>
    <w:rsid w:val="006076E7"/>
    <w:rsid w:val="00612496"/>
    <w:rsid w:val="00613B4D"/>
    <w:rsid w:val="00616590"/>
    <w:rsid w:val="00617F44"/>
    <w:rsid w:val="00620B90"/>
    <w:rsid w:val="0062150E"/>
    <w:rsid w:val="006356AF"/>
    <w:rsid w:val="0063692B"/>
    <w:rsid w:val="006415CA"/>
    <w:rsid w:val="00642CC8"/>
    <w:rsid w:val="006469E4"/>
    <w:rsid w:val="0065136E"/>
    <w:rsid w:val="006548BF"/>
    <w:rsid w:val="00655957"/>
    <w:rsid w:val="00660504"/>
    <w:rsid w:val="00663433"/>
    <w:rsid w:val="00663BA8"/>
    <w:rsid w:val="00664808"/>
    <w:rsid w:val="00686185"/>
    <w:rsid w:val="006B1C3A"/>
    <w:rsid w:val="006C4A57"/>
    <w:rsid w:val="006D47A6"/>
    <w:rsid w:val="006E2D9E"/>
    <w:rsid w:val="006E7B08"/>
    <w:rsid w:val="006F3766"/>
    <w:rsid w:val="006F7FCA"/>
    <w:rsid w:val="0070043C"/>
    <w:rsid w:val="0070665A"/>
    <w:rsid w:val="00707B45"/>
    <w:rsid w:val="007160BA"/>
    <w:rsid w:val="007267B3"/>
    <w:rsid w:val="007339F2"/>
    <w:rsid w:val="00737632"/>
    <w:rsid w:val="00737F72"/>
    <w:rsid w:val="00744485"/>
    <w:rsid w:val="00746EFA"/>
    <w:rsid w:val="00752CBB"/>
    <w:rsid w:val="00760238"/>
    <w:rsid w:val="007669D6"/>
    <w:rsid w:val="00782E90"/>
    <w:rsid w:val="00784049"/>
    <w:rsid w:val="00784970"/>
    <w:rsid w:val="00784BC2"/>
    <w:rsid w:val="0078576E"/>
    <w:rsid w:val="00786526"/>
    <w:rsid w:val="0079368A"/>
    <w:rsid w:val="007B245C"/>
    <w:rsid w:val="007C359E"/>
    <w:rsid w:val="007C78FC"/>
    <w:rsid w:val="007C7987"/>
    <w:rsid w:val="007D2752"/>
    <w:rsid w:val="007D4B9D"/>
    <w:rsid w:val="007D7DAE"/>
    <w:rsid w:val="007E5273"/>
    <w:rsid w:val="007E53C4"/>
    <w:rsid w:val="007F66E5"/>
    <w:rsid w:val="00812221"/>
    <w:rsid w:val="008166FC"/>
    <w:rsid w:val="00816DAC"/>
    <w:rsid w:val="00816EF0"/>
    <w:rsid w:val="00832047"/>
    <w:rsid w:val="0083290E"/>
    <w:rsid w:val="008345B8"/>
    <w:rsid w:val="0084130D"/>
    <w:rsid w:val="00843446"/>
    <w:rsid w:val="00843FF2"/>
    <w:rsid w:val="008453AB"/>
    <w:rsid w:val="00854EEA"/>
    <w:rsid w:val="00854F79"/>
    <w:rsid w:val="008551DA"/>
    <w:rsid w:val="008577DD"/>
    <w:rsid w:val="00874471"/>
    <w:rsid w:val="00874D8C"/>
    <w:rsid w:val="00877DA1"/>
    <w:rsid w:val="008841A3"/>
    <w:rsid w:val="00885E7B"/>
    <w:rsid w:val="008904CB"/>
    <w:rsid w:val="008927D4"/>
    <w:rsid w:val="00897C00"/>
    <w:rsid w:val="008A5AFE"/>
    <w:rsid w:val="008B33B3"/>
    <w:rsid w:val="008D193F"/>
    <w:rsid w:val="008D50F2"/>
    <w:rsid w:val="008E36EA"/>
    <w:rsid w:val="008E713A"/>
    <w:rsid w:val="008F173C"/>
    <w:rsid w:val="008F7E5D"/>
    <w:rsid w:val="00910C1D"/>
    <w:rsid w:val="00911EF6"/>
    <w:rsid w:val="00912E00"/>
    <w:rsid w:val="00913245"/>
    <w:rsid w:val="009141D0"/>
    <w:rsid w:val="0091496D"/>
    <w:rsid w:val="0091505A"/>
    <w:rsid w:val="00925B88"/>
    <w:rsid w:val="00925F47"/>
    <w:rsid w:val="00932897"/>
    <w:rsid w:val="00934E6C"/>
    <w:rsid w:val="00936679"/>
    <w:rsid w:val="0093689E"/>
    <w:rsid w:val="00951FB4"/>
    <w:rsid w:val="00955BB3"/>
    <w:rsid w:val="00965571"/>
    <w:rsid w:val="0097442A"/>
    <w:rsid w:val="00977840"/>
    <w:rsid w:val="00991DD7"/>
    <w:rsid w:val="00993C07"/>
    <w:rsid w:val="009A38AD"/>
    <w:rsid w:val="009A54C7"/>
    <w:rsid w:val="009A7634"/>
    <w:rsid w:val="009A7AAD"/>
    <w:rsid w:val="009B050E"/>
    <w:rsid w:val="009B26C0"/>
    <w:rsid w:val="009B2D32"/>
    <w:rsid w:val="009C7AB2"/>
    <w:rsid w:val="009D56CA"/>
    <w:rsid w:val="009E30F2"/>
    <w:rsid w:val="009F21B0"/>
    <w:rsid w:val="009F3D49"/>
    <w:rsid w:val="009F611C"/>
    <w:rsid w:val="00A0384F"/>
    <w:rsid w:val="00A11E61"/>
    <w:rsid w:val="00A129D9"/>
    <w:rsid w:val="00A137B8"/>
    <w:rsid w:val="00A148A1"/>
    <w:rsid w:val="00A2265F"/>
    <w:rsid w:val="00A2302D"/>
    <w:rsid w:val="00A25748"/>
    <w:rsid w:val="00A310C4"/>
    <w:rsid w:val="00A3477B"/>
    <w:rsid w:val="00A34910"/>
    <w:rsid w:val="00A36C09"/>
    <w:rsid w:val="00A3787A"/>
    <w:rsid w:val="00A37C9F"/>
    <w:rsid w:val="00A44804"/>
    <w:rsid w:val="00A512AD"/>
    <w:rsid w:val="00A55FF6"/>
    <w:rsid w:val="00A57AE4"/>
    <w:rsid w:val="00A61025"/>
    <w:rsid w:val="00A649ED"/>
    <w:rsid w:val="00A70123"/>
    <w:rsid w:val="00A76B07"/>
    <w:rsid w:val="00A80D96"/>
    <w:rsid w:val="00A81B98"/>
    <w:rsid w:val="00A90305"/>
    <w:rsid w:val="00A973FB"/>
    <w:rsid w:val="00AA588E"/>
    <w:rsid w:val="00AA63A3"/>
    <w:rsid w:val="00AA686F"/>
    <w:rsid w:val="00AA7E02"/>
    <w:rsid w:val="00AB1561"/>
    <w:rsid w:val="00AB34A9"/>
    <w:rsid w:val="00AB5EB7"/>
    <w:rsid w:val="00AB6C45"/>
    <w:rsid w:val="00AC5738"/>
    <w:rsid w:val="00AD4D97"/>
    <w:rsid w:val="00AD7407"/>
    <w:rsid w:val="00AE01ED"/>
    <w:rsid w:val="00AE2349"/>
    <w:rsid w:val="00AE2453"/>
    <w:rsid w:val="00AE5991"/>
    <w:rsid w:val="00AE6DBA"/>
    <w:rsid w:val="00AF0062"/>
    <w:rsid w:val="00AF0945"/>
    <w:rsid w:val="00AF6354"/>
    <w:rsid w:val="00B01A7D"/>
    <w:rsid w:val="00B03492"/>
    <w:rsid w:val="00B03571"/>
    <w:rsid w:val="00B05AE8"/>
    <w:rsid w:val="00B05DFC"/>
    <w:rsid w:val="00B11B4B"/>
    <w:rsid w:val="00B14EF2"/>
    <w:rsid w:val="00B16EE2"/>
    <w:rsid w:val="00B175C0"/>
    <w:rsid w:val="00B2373A"/>
    <w:rsid w:val="00B2736A"/>
    <w:rsid w:val="00B30251"/>
    <w:rsid w:val="00B30940"/>
    <w:rsid w:val="00B3553D"/>
    <w:rsid w:val="00B36EEA"/>
    <w:rsid w:val="00B44EF1"/>
    <w:rsid w:val="00B45461"/>
    <w:rsid w:val="00B472AE"/>
    <w:rsid w:val="00B479AE"/>
    <w:rsid w:val="00B53762"/>
    <w:rsid w:val="00B5589A"/>
    <w:rsid w:val="00B6122C"/>
    <w:rsid w:val="00B8032B"/>
    <w:rsid w:val="00B83DF3"/>
    <w:rsid w:val="00BA4B55"/>
    <w:rsid w:val="00BA50B4"/>
    <w:rsid w:val="00BA599F"/>
    <w:rsid w:val="00BA7E57"/>
    <w:rsid w:val="00BB1A35"/>
    <w:rsid w:val="00BB623A"/>
    <w:rsid w:val="00BD1809"/>
    <w:rsid w:val="00BD6BE7"/>
    <w:rsid w:val="00BD6DF8"/>
    <w:rsid w:val="00BD6E29"/>
    <w:rsid w:val="00BE073B"/>
    <w:rsid w:val="00BE13FD"/>
    <w:rsid w:val="00BE51AA"/>
    <w:rsid w:val="00BE7E54"/>
    <w:rsid w:val="00BF7497"/>
    <w:rsid w:val="00C01187"/>
    <w:rsid w:val="00C107B5"/>
    <w:rsid w:val="00C123A5"/>
    <w:rsid w:val="00C12C93"/>
    <w:rsid w:val="00C12FDD"/>
    <w:rsid w:val="00C175C0"/>
    <w:rsid w:val="00C1793F"/>
    <w:rsid w:val="00C20872"/>
    <w:rsid w:val="00C2653C"/>
    <w:rsid w:val="00C325F5"/>
    <w:rsid w:val="00C342C1"/>
    <w:rsid w:val="00C3799A"/>
    <w:rsid w:val="00C44876"/>
    <w:rsid w:val="00C457E8"/>
    <w:rsid w:val="00C46076"/>
    <w:rsid w:val="00C57C68"/>
    <w:rsid w:val="00C57FF9"/>
    <w:rsid w:val="00C609B9"/>
    <w:rsid w:val="00C61586"/>
    <w:rsid w:val="00C61EC1"/>
    <w:rsid w:val="00C70DFC"/>
    <w:rsid w:val="00C7171D"/>
    <w:rsid w:val="00C75960"/>
    <w:rsid w:val="00C8476F"/>
    <w:rsid w:val="00C90676"/>
    <w:rsid w:val="00C92BB2"/>
    <w:rsid w:val="00C93231"/>
    <w:rsid w:val="00C95D52"/>
    <w:rsid w:val="00CB30A3"/>
    <w:rsid w:val="00CB410D"/>
    <w:rsid w:val="00CB6BF2"/>
    <w:rsid w:val="00CB75AD"/>
    <w:rsid w:val="00CC0DA0"/>
    <w:rsid w:val="00CD46E3"/>
    <w:rsid w:val="00CD5CAB"/>
    <w:rsid w:val="00CE211E"/>
    <w:rsid w:val="00CE2386"/>
    <w:rsid w:val="00CE31FE"/>
    <w:rsid w:val="00CF5347"/>
    <w:rsid w:val="00D03316"/>
    <w:rsid w:val="00D10EF9"/>
    <w:rsid w:val="00D2139F"/>
    <w:rsid w:val="00D32593"/>
    <w:rsid w:val="00D3488D"/>
    <w:rsid w:val="00D44F17"/>
    <w:rsid w:val="00D4517A"/>
    <w:rsid w:val="00D527F5"/>
    <w:rsid w:val="00D619CB"/>
    <w:rsid w:val="00D736BD"/>
    <w:rsid w:val="00D760F2"/>
    <w:rsid w:val="00D80195"/>
    <w:rsid w:val="00D87020"/>
    <w:rsid w:val="00D87C9F"/>
    <w:rsid w:val="00D90DAA"/>
    <w:rsid w:val="00DA4577"/>
    <w:rsid w:val="00DA6AFB"/>
    <w:rsid w:val="00DA71F3"/>
    <w:rsid w:val="00DB6E19"/>
    <w:rsid w:val="00DC14E9"/>
    <w:rsid w:val="00DC2747"/>
    <w:rsid w:val="00DC2AE4"/>
    <w:rsid w:val="00DD07E0"/>
    <w:rsid w:val="00DD4BDF"/>
    <w:rsid w:val="00DE08E2"/>
    <w:rsid w:val="00DE62BC"/>
    <w:rsid w:val="00DE6A3E"/>
    <w:rsid w:val="00DE6FA9"/>
    <w:rsid w:val="00DF1FE5"/>
    <w:rsid w:val="00DF37A1"/>
    <w:rsid w:val="00E10778"/>
    <w:rsid w:val="00E212B7"/>
    <w:rsid w:val="00E24B60"/>
    <w:rsid w:val="00E25857"/>
    <w:rsid w:val="00E2681F"/>
    <w:rsid w:val="00E32408"/>
    <w:rsid w:val="00E32477"/>
    <w:rsid w:val="00E4056A"/>
    <w:rsid w:val="00E44930"/>
    <w:rsid w:val="00E544A5"/>
    <w:rsid w:val="00E55239"/>
    <w:rsid w:val="00E6798C"/>
    <w:rsid w:val="00E7514D"/>
    <w:rsid w:val="00E75F68"/>
    <w:rsid w:val="00E809E3"/>
    <w:rsid w:val="00E81C44"/>
    <w:rsid w:val="00E845D4"/>
    <w:rsid w:val="00E8499C"/>
    <w:rsid w:val="00E85445"/>
    <w:rsid w:val="00EA17AF"/>
    <w:rsid w:val="00EB595A"/>
    <w:rsid w:val="00EB5F32"/>
    <w:rsid w:val="00EC2094"/>
    <w:rsid w:val="00EC22CC"/>
    <w:rsid w:val="00EC3CEE"/>
    <w:rsid w:val="00EC69AF"/>
    <w:rsid w:val="00ED38E6"/>
    <w:rsid w:val="00ED6B69"/>
    <w:rsid w:val="00EE34F4"/>
    <w:rsid w:val="00EF22A4"/>
    <w:rsid w:val="00F002E3"/>
    <w:rsid w:val="00F02109"/>
    <w:rsid w:val="00F0700E"/>
    <w:rsid w:val="00F13CB7"/>
    <w:rsid w:val="00F20179"/>
    <w:rsid w:val="00F25544"/>
    <w:rsid w:val="00F3263A"/>
    <w:rsid w:val="00F35654"/>
    <w:rsid w:val="00F35C3A"/>
    <w:rsid w:val="00F44C93"/>
    <w:rsid w:val="00F471DE"/>
    <w:rsid w:val="00F4763F"/>
    <w:rsid w:val="00F54E47"/>
    <w:rsid w:val="00F54EA0"/>
    <w:rsid w:val="00F71CB6"/>
    <w:rsid w:val="00F81969"/>
    <w:rsid w:val="00F83CEC"/>
    <w:rsid w:val="00F83DEE"/>
    <w:rsid w:val="00F83E80"/>
    <w:rsid w:val="00F86008"/>
    <w:rsid w:val="00F86522"/>
    <w:rsid w:val="00F91B3E"/>
    <w:rsid w:val="00F91E1C"/>
    <w:rsid w:val="00F92F1D"/>
    <w:rsid w:val="00F933B7"/>
    <w:rsid w:val="00F96EE9"/>
    <w:rsid w:val="00FA42D2"/>
    <w:rsid w:val="00FA730B"/>
    <w:rsid w:val="00FA76F5"/>
    <w:rsid w:val="00FB5272"/>
    <w:rsid w:val="00FC3C09"/>
    <w:rsid w:val="00FC7EFE"/>
    <w:rsid w:val="00FD1D91"/>
    <w:rsid w:val="00FE285D"/>
    <w:rsid w:val="00FF1472"/>
    <w:rsid w:val="00FF3EEB"/>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docId w15:val="{D37FDE9D-514A-4847-8CE6-AD267D34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2">
    <w:name w:val="heading 2"/>
    <w:link w:val="Titre2Car"/>
    <w:uiPriority w:val="9"/>
    <w:unhideWhenUsed/>
    <w:qFormat/>
    <w:rsid w:val="00353BBA"/>
    <w:pPr>
      <w:spacing w:after="0" w:line="240" w:lineRule="auto"/>
      <w:outlineLvl w:val="1"/>
    </w:pPr>
    <w:rPr>
      <w:rFonts w:ascii="Calibri" w:eastAsia="Calibri" w:hAnsi="Calibri" w:cs="Calibri"/>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EA17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A57AE4"/>
    <w:pPr>
      <w:spacing w:after="0" w:line="240" w:lineRule="auto"/>
    </w:pPr>
  </w:style>
  <w:style w:type="paragraph" w:styleId="Textedebulles">
    <w:name w:val="Balloon Text"/>
    <w:basedOn w:val="Normal"/>
    <w:link w:val="TextedebullesCar"/>
    <w:uiPriority w:val="99"/>
    <w:semiHidden/>
    <w:unhideWhenUsed/>
    <w:rsid w:val="00FA73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30B"/>
    <w:rPr>
      <w:rFonts w:ascii="Tahoma" w:hAnsi="Tahoma" w:cs="Tahoma"/>
      <w:sz w:val="16"/>
      <w:szCs w:val="16"/>
    </w:rPr>
  </w:style>
  <w:style w:type="paragraph" w:customStyle="1" w:styleId="Default">
    <w:name w:val="Default"/>
    <w:rsid w:val="00812221"/>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iPriority w:val="99"/>
    <w:unhideWhenUsed/>
    <w:rsid w:val="001D055F"/>
    <w:rPr>
      <w:color w:val="0563C1" w:themeColor="hyperlink"/>
      <w:u w:val="single"/>
    </w:rPr>
  </w:style>
  <w:style w:type="character" w:styleId="Mentionnonrsolue">
    <w:name w:val="Unresolved Mention"/>
    <w:basedOn w:val="Policepardfaut"/>
    <w:uiPriority w:val="99"/>
    <w:semiHidden/>
    <w:unhideWhenUsed/>
    <w:rsid w:val="001D055F"/>
    <w:rPr>
      <w:color w:val="605E5C"/>
      <w:shd w:val="clear" w:color="auto" w:fill="E1DFDD"/>
    </w:rPr>
  </w:style>
  <w:style w:type="character" w:styleId="lev">
    <w:name w:val="Strong"/>
    <w:basedOn w:val="Policepardfaut"/>
    <w:uiPriority w:val="22"/>
    <w:qFormat/>
    <w:rsid w:val="00416AE5"/>
    <w:rPr>
      <w:b/>
      <w:bCs/>
    </w:rPr>
  </w:style>
  <w:style w:type="character" w:customStyle="1" w:styleId="Titre2Car">
    <w:name w:val="Titre 2 Car"/>
    <w:basedOn w:val="Policepardfaut"/>
    <w:link w:val="Titre2"/>
    <w:uiPriority w:val="9"/>
    <w:rsid w:val="00353BBA"/>
    <w:rPr>
      <w:rFonts w:ascii="Calibri" w:eastAsia="Calibri" w:hAnsi="Calibri" w:cs="Calibri"/>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5351">
      <w:bodyDiv w:val="1"/>
      <w:marLeft w:val="0"/>
      <w:marRight w:val="0"/>
      <w:marTop w:val="0"/>
      <w:marBottom w:val="0"/>
      <w:divBdr>
        <w:top w:val="none" w:sz="0" w:space="0" w:color="auto"/>
        <w:left w:val="none" w:sz="0" w:space="0" w:color="auto"/>
        <w:bottom w:val="none" w:sz="0" w:space="0" w:color="auto"/>
        <w:right w:val="none" w:sz="0" w:space="0" w:color="auto"/>
      </w:divBdr>
    </w:div>
    <w:div w:id="216549697">
      <w:bodyDiv w:val="1"/>
      <w:marLeft w:val="0"/>
      <w:marRight w:val="0"/>
      <w:marTop w:val="0"/>
      <w:marBottom w:val="0"/>
      <w:divBdr>
        <w:top w:val="none" w:sz="0" w:space="0" w:color="auto"/>
        <w:left w:val="none" w:sz="0" w:space="0" w:color="auto"/>
        <w:bottom w:val="none" w:sz="0" w:space="0" w:color="auto"/>
        <w:right w:val="none" w:sz="0" w:space="0" w:color="auto"/>
      </w:divBdr>
    </w:div>
    <w:div w:id="358043244">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390275077">
      <w:bodyDiv w:val="1"/>
      <w:marLeft w:val="0"/>
      <w:marRight w:val="0"/>
      <w:marTop w:val="0"/>
      <w:marBottom w:val="0"/>
      <w:divBdr>
        <w:top w:val="none" w:sz="0" w:space="0" w:color="auto"/>
        <w:left w:val="none" w:sz="0" w:space="0" w:color="auto"/>
        <w:bottom w:val="none" w:sz="0" w:space="0" w:color="auto"/>
        <w:right w:val="none" w:sz="0" w:space="0" w:color="auto"/>
      </w:divBdr>
    </w:div>
    <w:div w:id="398938479">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515579594">
      <w:bodyDiv w:val="1"/>
      <w:marLeft w:val="0"/>
      <w:marRight w:val="0"/>
      <w:marTop w:val="0"/>
      <w:marBottom w:val="0"/>
      <w:divBdr>
        <w:top w:val="none" w:sz="0" w:space="0" w:color="auto"/>
        <w:left w:val="none" w:sz="0" w:space="0" w:color="auto"/>
        <w:bottom w:val="none" w:sz="0" w:space="0" w:color="auto"/>
        <w:right w:val="none" w:sz="0" w:space="0" w:color="auto"/>
      </w:divBdr>
    </w:div>
    <w:div w:id="523446437">
      <w:bodyDiv w:val="1"/>
      <w:marLeft w:val="0"/>
      <w:marRight w:val="0"/>
      <w:marTop w:val="0"/>
      <w:marBottom w:val="0"/>
      <w:divBdr>
        <w:top w:val="none" w:sz="0" w:space="0" w:color="auto"/>
        <w:left w:val="none" w:sz="0" w:space="0" w:color="auto"/>
        <w:bottom w:val="none" w:sz="0" w:space="0" w:color="auto"/>
        <w:right w:val="none" w:sz="0" w:space="0" w:color="auto"/>
      </w:divBdr>
    </w:div>
    <w:div w:id="525220105">
      <w:bodyDiv w:val="1"/>
      <w:marLeft w:val="0"/>
      <w:marRight w:val="0"/>
      <w:marTop w:val="0"/>
      <w:marBottom w:val="0"/>
      <w:divBdr>
        <w:top w:val="none" w:sz="0" w:space="0" w:color="auto"/>
        <w:left w:val="none" w:sz="0" w:space="0" w:color="auto"/>
        <w:bottom w:val="none" w:sz="0" w:space="0" w:color="auto"/>
        <w:right w:val="none" w:sz="0" w:space="0" w:color="auto"/>
      </w:divBdr>
    </w:div>
    <w:div w:id="576323663">
      <w:bodyDiv w:val="1"/>
      <w:marLeft w:val="0"/>
      <w:marRight w:val="0"/>
      <w:marTop w:val="0"/>
      <w:marBottom w:val="0"/>
      <w:divBdr>
        <w:top w:val="none" w:sz="0" w:space="0" w:color="auto"/>
        <w:left w:val="none" w:sz="0" w:space="0" w:color="auto"/>
        <w:bottom w:val="none" w:sz="0" w:space="0" w:color="auto"/>
        <w:right w:val="none" w:sz="0" w:space="0" w:color="auto"/>
      </w:divBdr>
    </w:div>
    <w:div w:id="591553880">
      <w:bodyDiv w:val="1"/>
      <w:marLeft w:val="0"/>
      <w:marRight w:val="0"/>
      <w:marTop w:val="0"/>
      <w:marBottom w:val="0"/>
      <w:divBdr>
        <w:top w:val="none" w:sz="0" w:space="0" w:color="auto"/>
        <w:left w:val="none" w:sz="0" w:space="0" w:color="auto"/>
        <w:bottom w:val="none" w:sz="0" w:space="0" w:color="auto"/>
        <w:right w:val="none" w:sz="0" w:space="0" w:color="auto"/>
      </w:divBdr>
    </w:div>
    <w:div w:id="625088550">
      <w:bodyDiv w:val="1"/>
      <w:marLeft w:val="0"/>
      <w:marRight w:val="0"/>
      <w:marTop w:val="0"/>
      <w:marBottom w:val="0"/>
      <w:divBdr>
        <w:top w:val="none" w:sz="0" w:space="0" w:color="auto"/>
        <w:left w:val="none" w:sz="0" w:space="0" w:color="auto"/>
        <w:bottom w:val="none" w:sz="0" w:space="0" w:color="auto"/>
        <w:right w:val="none" w:sz="0" w:space="0" w:color="auto"/>
      </w:divBdr>
    </w:div>
    <w:div w:id="692002249">
      <w:bodyDiv w:val="1"/>
      <w:marLeft w:val="0"/>
      <w:marRight w:val="0"/>
      <w:marTop w:val="0"/>
      <w:marBottom w:val="0"/>
      <w:divBdr>
        <w:top w:val="none" w:sz="0" w:space="0" w:color="auto"/>
        <w:left w:val="none" w:sz="0" w:space="0" w:color="auto"/>
        <w:bottom w:val="none" w:sz="0" w:space="0" w:color="auto"/>
        <w:right w:val="none" w:sz="0" w:space="0" w:color="auto"/>
      </w:divBdr>
      <w:divsChild>
        <w:div w:id="1022979100">
          <w:marLeft w:val="0"/>
          <w:marRight w:val="0"/>
          <w:marTop w:val="0"/>
          <w:marBottom w:val="0"/>
          <w:divBdr>
            <w:top w:val="none" w:sz="0" w:space="0" w:color="auto"/>
            <w:left w:val="none" w:sz="0" w:space="0" w:color="auto"/>
            <w:bottom w:val="none" w:sz="0" w:space="0" w:color="auto"/>
            <w:right w:val="none" w:sz="0" w:space="0" w:color="auto"/>
          </w:divBdr>
          <w:divsChild>
            <w:div w:id="1311324989">
              <w:marLeft w:val="0"/>
              <w:marRight w:val="0"/>
              <w:marTop w:val="0"/>
              <w:marBottom w:val="0"/>
              <w:divBdr>
                <w:top w:val="none" w:sz="0" w:space="0" w:color="auto"/>
                <w:left w:val="none" w:sz="0" w:space="0" w:color="auto"/>
                <w:bottom w:val="none" w:sz="0" w:space="0" w:color="auto"/>
                <w:right w:val="none" w:sz="0" w:space="0" w:color="auto"/>
              </w:divBdr>
              <w:divsChild>
                <w:div w:id="1386829312">
                  <w:marLeft w:val="0"/>
                  <w:marRight w:val="0"/>
                  <w:marTop w:val="0"/>
                  <w:marBottom w:val="0"/>
                  <w:divBdr>
                    <w:top w:val="none" w:sz="0" w:space="0" w:color="auto"/>
                    <w:left w:val="none" w:sz="0" w:space="0" w:color="auto"/>
                    <w:bottom w:val="none" w:sz="0" w:space="0" w:color="auto"/>
                    <w:right w:val="none" w:sz="0" w:space="0" w:color="auto"/>
                  </w:divBdr>
                  <w:divsChild>
                    <w:div w:id="709185123">
                      <w:marLeft w:val="0"/>
                      <w:marRight w:val="0"/>
                      <w:marTop w:val="0"/>
                      <w:marBottom w:val="0"/>
                      <w:divBdr>
                        <w:top w:val="none" w:sz="0" w:space="0" w:color="auto"/>
                        <w:left w:val="none" w:sz="0" w:space="0" w:color="auto"/>
                        <w:bottom w:val="none" w:sz="0" w:space="0" w:color="auto"/>
                        <w:right w:val="none" w:sz="0" w:space="0" w:color="auto"/>
                      </w:divBdr>
                      <w:divsChild>
                        <w:div w:id="916868936">
                          <w:marLeft w:val="0"/>
                          <w:marRight w:val="0"/>
                          <w:marTop w:val="0"/>
                          <w:marBottom w:val="0"/>
                          <w:divBdr>
                            <w:top w:val="none" w:sz="0" w:space="0" w:color="auto"/>
                            <w:left w:val="none" w:sz="0" w:space="0" w:color="auto"/>
                            <w:bottom w:val="none" w:sz="0" w:space="0" w:color="auto"/>
                            <w:right w:val="none" w:sz="0" w:space="0" w:color="auto"/>
                          </w:divBdr>
                          <w:divsChild>
                            <w:div w:id="2974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06269">
      <w:bodyDiv w:val="1"/>
      <w:marLeft w:val="0"/>
      <w:marRight w:val="0"/>
      <w:marTop w:val="0"/>
      <w:marBottom w:val="0"/>
      <w:divBdr>
        <w:top w:val="none" w:sz="0" w:space="0" w:color="auto"/>
        <w:left w:val="none" w:sz="0" w:space="0" w:color="auto"/>
        <w:bottom w:val="none" w:sz="0" w:space="0" w:color="auto"/>
        <w:right w:val="none" w:sz="0" w:space="0" w:color="auto"/>
      </w:divBdr>
    </w:div>
    <w:div w:id="790828961">
      <w:bodyDiv w:val="1"/>
      <w:marLeft w:val="0"/>
      <w:marRight w:val="0"/>
      <w:marTop w:val="0"/>
      <w:marBottom w:val="0"/>
      <w:divBdr>
        <w:top w:val="none" w:sz="0" w:space="0" w:color="auto"/>
        <w:left w:val="none" w:sz="0" w:space="0" w:color="auto"/>
        <w:bottom w:val="none" w:sz="0" w:space="0" w:color="auto"/>
        <w:right w:val="none" w:sz="0" w:space="0" w:color="auto"/>
      </w:divBdr>
    </w:div>
    <w:div w:id="840973760">
      <w:bodyDiv w:val="1"/>
      <w:marLeft w:val="0"/>
      <w:marRight w:val="0"/>
      <w:marTop w:val="0"/>
      <w:marBottom w:val="0"/>
      <w:divBdr>
        <w:top w:val="none" w:sz="0" w:space="0" w:color="auto"/>
        <w:left w:val="none" w:sz="0" w:space="0" w:color="auto"/>
        <w:bottom w:val="none" w:sz="0" w:space="0" w:color="auto"/>
        <w:right w:val="none" w:sz="0" w:space="0" w:color="auto"/>
      </w:divBdr>
    </w:div>
    <w:div w:id="870727336">
      <w:bodyDiv w:val="1"/>
      <w:marLeft w:val="0"/>
      <w:marRight w:val="0"/>
      <w:marTop w:val="0"/>
      <w:marBottom w:val="0"/>
      <w:divBdr>
        <w:top w:val="none" w:sz="0" w:space="0" w:color="auto"/>
        <w:left w:val="none" w:sz="0" w:space="0" w:color="auto"/>
        <w:bottom w:val="none" w:sz="0" w:space="0" w:color="auto"/>
        <w:right w:val="none" w:sz="0" w:space="0" w:color="auto"/>
      </w:divBdr>
      <w:divsChild>
        <w:div w:id="1479608869">
          <w:marLeft w:val="0"/>
          <w:marRight w:val="0"/>
          <w:marTop w:val="0"/>
          <w:marBottom w:val="0"/>
          <w:divBdr>
            <w:top w:val="none" w:sz="0" w:space="0" w:color="auto"/>
            <w:left w:val="none" w:sz="0" w:space="0" w:color="auto"/>
            <w:bottom w:val="none" w:sz="0" w:space="0" w:color="auto"/>
            <w:right w:val="none" w:sz="0" w:space="0" w:color="auto"/>
          </w:divBdr>
          <w:divsChild>
            <w:div w:id="730349044">
              <w:marLeft w:val="0"/>
              <w:marRight w:val="0"/>
              <w:marTop w:val="0"/>
              <w:marBottom w:val="0"/>
              <w:divBdr>
                <w:top w:val="none" w:sz="0" w:space="0" w:color="auto"/>
                <w:left w:val="none" w:sz="0" w:space="0" w:color="auto"/>
                <w:bottom w:val="none" w:sz="0" w:space="0" w:color="auto"/>
                <w:right w:val="none" w:sz="0" w:space="0" w:color="auto"/>
              </w:divBdr>
              <w:divsChild>
                <w:div w:id="2118793264">
                  <w:marLeft w:val="0"/>
                  <w:marRight w:val="0"/>
                  <w:marTop w:val="0"/>
                  <w:marBottom w:val="0"/>
                  <w:divBdr>
                    <w:top w:val="none" w:sz="0" w:space="0" w:color="auto"/>
                    <w:left w:val="none" w:sz="0" w:space="0" w:color="auto"/>
                    <w:bottom w:val="none" w:sz="0" w:space="0" w:color="auto"/>
                    <w:right w:val="none" w:sz="0" w:space="0" w:color="auto"/>
                  </w:divBdr>
                  <w:divsChild>
                    <w:div w:id="1211697176">
                      <w:marLeft w:val="0"/>
                      <w:marRight w:val="0"/>
                      <w:marTop w:val="0"/>
                      <w:marBottom w:val="0"/>
                      <w:divBdr>
                        <w:top w:val="none" w:sz="0" w:space="0" w:color="auto"/>
                        <w:left w:val="none" w:sz="0" w:space="0" w:color="auto"/>
                        <w:bottom w:val="none" w:sz="0" w:space="0" w:color="auto"/>
                        <w:right w:val="none" w:sz="0" w:space="0" w:color="auto"/>
                      </w:divBdr>
                      <w:divsChild>
                        <w:div w:id="1449399272">
                          <w:marLeft w:val="0"/>
                          <w:marRight w:val="0"/>
                          <w:marTop w:val="0"/>
                          <w:marBottom w:val="0"/>
                          <w:divBdr>
                            <w:top w:val="none" w:sz="0" w:space="0" w:color="auto"/>
                            <w:left w:val="none" w:sz="0" w:space="0" w:color="auto"/>
                            <w:bottom w:val="none" w:sz="0" w:space="0" w:color="auto"/>
                            <w:right w:val="none" w:sz="0" w:space="0" w:color="auto"/>
                          </w:divBdr>
                          <w:divsChild>
                            <w:div w:id="658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23986">
      <w:bodyDiv w:val="1"/>
      <w:marLeft w:val="0"/>
      <w:marRight w:val="0"/>
      <w:marTop w:val="0"/>
      <w:marBottom w:val="0"/>
      <w:divBdr>
        <w:top w:val="none" w:sz="0" w:space="0" w:color="auto"/>
        <w:left w:val="none" w:sz="0" w:space="0" w:color="auto"/>
        <w:bottom w:val="none" w:sz="0" w:space="0" w:color="auto"/>
        <w:right w:val="none" w:sz="0" w:space="0" w:color="auto"/>
      </w:divBdr>
    </w:div>
    <w:div w:id="975916216">
      <w:bodyDiv w:val="1"/>
      <w:marLeft w:val="0"/>
      <w:marRight w:val="0"/>
      <w:marTop w:val="0"/>
      <w:marBottom w:val="0"/>
      <w:divBdr>
        <w:top w:val="none" w:sz="0" w:space="0" w:color="auto"/>
        <w:left w:val="none" w:sz="0" w:space="0" w:color="auto"/>
        <w:bottom w:val="none" w:sz="0" w:space="0" w:color="auto"/>
        <w:right w:val="none" w:sz="0" w:space="0" w:color="auto"/>
      </w:divBdr>
    </w:div>
    <w:div w:id="981617270">
      <w:bodyDiv w:val="1"/>
      <w:marLeft w:val="0"/>
      <w:marRight w:val="0"/>
      <w:marTop w:val="0"/>
      <w:marBottom w:val="0"/>
      <w:divBdr>
        <w:top w:val="none" w:sz="0" w:space="0" w:color="auto"/>
        <w:left w:val="none" w:sz="0" w:space="0" w:color="auto"/>
        <w:bottom w:val="none" w:sz="0" w:space="0" w:color="auto"/>
        <w:right w:val="none" w:sz="0" w:space="0" w:color="auto"/>
      </w:divBdr>
    </w:div>
    <w:div w:id="1005792088">
      <w:bodyDiv w:val="1"/>
      <w:marLeft w:val="0"/>
      <w:marRight w:val="0"/>
      <w:marTop w:val="0"/>
      <w:marBottom w:val="0"/>
      <w:divBdr>
        <w:top w:val="none" w:sz="0" w:space="0" w:color="auto"/>
        <w:left w:val="none" w:sz="0" w:space="0" w:color="auto"/>
        <w:bottom w:val="none" w:sz="0" w:space="0" w:color="auto"/>
        <w:right w:val="none" w:sz="0" w:space="0" w:color="auto"/>
      </w:divBdr>
    </w:div>
    <w:div w:id="1033192862">
      <w:bodyDiv w:val="1"/>
      <w:marLeft w:val="0"/>
      <w:marRight w:val="0"/>
      <w:marTop w:val="0"/>
      <w:marBottom w:val="0"/>
      <w:divBdr>
        <w:top w:val="none" w:sz="0" w:space="0" w:color="auto"/>
        <w:left w:val="none" w:sz="0" w:space="0" w:color="auto"/>
        <w:bottom w:val="none" w:sz="0" w:space="0" w:color="auto"/>
        <w:right w:val="none" w:sz="0" w:space="0" w:color="auto"/>
      </w:divBdr>
      <w:divsChild>
        <w:div w:id="1434476032">
          <w:marLeft w:val="0"/>
          <w:marRight w:val="0"/>
          <w:marTop w:val="0"/>
          <w:marBottom w:val="0"/>
          <w:divBdr>
            <w:top w:val="none" w:sz="0" w:space="0" w:color="auto"/>
            <w:left w:val="none" w:sz="0" w:space="0" w:color="auto"/>
            <w:bottom w:val="none" w:sz="0" w:space="0" w:color="auto"/>
            <w:right w:val="none" w:sz="0" w:space="0" w:color="auto"/>
          </w:divBdr>
          <w:divsChild>
            <w:div w:id="1908570626">
              <w:marLeft w:val="0"/>
              <w:marRight w:val="0"/>
              <w:marTop w:val="0"/>
              <w:marBottom w:val="0"/>
              <w:divBdr>
                <w:top w:val="none" w:sz="0" w:space="0" w:color="auto"/>
                <w:left w:val="none" w:sz="0" w:space="0" w:color="auto"/>
                <w:bottom w:val="none" w:sz="0" w:space="0" w:color="auto"/>
                <w:right w:val="none" w:sz="0" w:space="0" w:color="auto"/>
              </w:divBdr>
              <w:divsChild>
                <w:div w:id="1803502102">
                  <w:marLeft w:val="0"/>
                  <w:marRight w:val="0"/>
                  <w:marTop w:val="0"/>
                  <w:marBottom w:val="0"/>
                  <w:divBdr>
                    <w:top w:val="none" w:sz="0" w:space="0" w:color="auto"/>
                    <w:left w:val="none" w:sz="0" w:space="0" w:color="auto"/>
                    <w:bottom w:val="none" w:sz="0" w:space="0" w:color="auto"/>
                    <w:right w:val="none" w:sz="0" w:space="0" w:color="auto"/>
                  </w:divBdr>
                  <w:divsChild>
                    <w:div w:id="792944045">
                      <w:marLeft w:val="0"/>
                      <w:marRight w:val="0"/>
                      <w:marTop w:val="0"/>
                      <w:marBottom w:val="0"/>
                      <w:divBdr>
                        <w:top w:val="none" w:sz="0" w:space="0" w:color="auto"/>
                        <w:left w:val="none" w:sz="0" w:space="0" w:color="auto"/>
                        <w:bottom w:val="none" w:sz="0" w:space="0" w:color="auto"/>
                        <w:right w:val="none" w:sz="0" w:space="0" w:color="auto"/>
                      </w:divBdr>
                      <w:divsChild>
                        <w:div w:id="547449368">
                          <w:marLeft w:val="0"/>
                          <w:marRight w:val="0"/>
                          <w:marTop w:val="0"/>
                          <w:marBottom w:val="0"/>
                          <w:divBdr>
                            <w:top w:val="none" w:sz="0" w:space="0" w:color="auto"/>
                            <w:left w:val="none" w:sz="0" w:space="0" w:color="auto"/>
                            <w:bottom w:val="none" w:sz="0" w:space="0" w:color="auto"/>
                            <w:right w:val="none" w:sz="0" w:space="0" w:color="auto"/>
                          </w:divBdr>
                          <w:divsChild>
                            <w:div w:id="21163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692837">
      <w:bodyDiv w:val="1"/>
      <w:marLeft w:val="0"/>
      <w:marRight w:val="0"/>
      <w:marTop w:val="0"/>
      <w:marBottom w:val="0"/>
      <w:divBdr>
        <w:top w:val="none" w:sz="0" w:space="0" w:color="auto"/>
        <w:left w:val="none" w:sz="0" w:space="0" w:color="auto"/>
        <w:bottom w:val="none" w:sz="0" w:space="0" w:color="auto"/>
        <w:right w:val="none" w:sz="0" w:space="0" w:color="auto"/>
      </w:divBdr>
    </w:div>
    <w:div w:id="1080981403">
      <w:bodyDiv w:val="1"/>
      <w:marLeft w:val="0"/>
      <w:marRight w:val="0"/>
      <w:marTop w:val="0"/>
      <w:marBottom w:val="0"/>
      <w:divBdr>
        <w:top w:val="none" w:sz="0" w:space="0" w:color="auto"/>
        <w:left w:val="none" w:sz="0" w:space="0" w:color="auto"/>
        <w:bottom w:val="none" w:sz="0" w:space="0" w:color="auto"/>
        <w:right w:val="none" w:sz="0" w:space="0" w:color="auto"/>
      </w:divBdr>
    </w:div>
    <w:div w:id="1123230432">
      <w:bodyDiv w:val="1"/>
      <w:marLeft w:val="0"/>
      <w:marRight w:val="0"/>
      <w:marTop w:val="0"/>
      <w:marBottom w:val="0"/>
      <w:divBdr>
        <w:top w:val="none" w:sz="0" w:space="0" w:color="auto"/>
        <w:left w:val="none" w:sz="0" w:space="0" w:color="auto"/>
        <w:bottom w:val="none" w:sz="0" w:space="0" w:color="auto"/>
        <w:right w:val="none" w:sz="0" w:space="0" w:color="auto"/>
      </w:divBdr>
    </w:div>
    <w:div w:id="1129470484">
      <w:bodyDiv w:val="1"/>
      <w:marLeft w:val="0"/>
      <w:marRight w:val="0"/>
      <w:marTop w:val="0"/>
      <w:marBottom w:val="0"/>
      <w:divBdr>
        <w:top w:val="none" w:sz="0" w:space="0" w:color="auto"/>
        <w:left w:val="none" w:sz="0" w:space="0" w:color="auto"/>
        <w:bottom w:val="none" w:sz="0" w:space="0" w:color="auto"/>
        <w:right w:val="none" w:sz="0" w:space="0" w:color="auto"/>
      </w:divBdr>
      <w:divsChild>
        <w:div w:id="1007289820">
          <w:marLeft w:val="1973"/>
          <w:marRight w:val="0"/>
          <w:marTop w:val="0"/>
          <w:marBottom w:val="0"/>
          <w:divBdr>
            <w:top w:val="none" w:sz="0" w:space="0" w:color="auto"/>
            <w:left w:val="none" w:sz="0" w:space="0" w:color="auto"/>
            <w:bottom w:val="none" w:sz="0" w:space="0" w:color="auto"/>
            <w:right w:val="none" w:sz="0" w:space="0" w:color="auto"/>
          </w:divBdr>
        </w:div>
        <w:div w:id="1275016869">
          <w:marLeft w:val="1973"/>
          <w:marRight w:val="0"/>
          <w:marTop w:val="0"/>
          <w:marBottom w:val="0"/>
          <w:divBdr>
            <w:top w:val="none" w:sz="0" w:space="0" w:color="auto"/>
            <w:left w:val="none" w:sz="0" w:space="0" w:color="auto"/>
            <w:bottom w:val="none" w:sz="0" w:space="0" w:color="auto"/>
            <w:right w:val="none" w:sz="0" w:space="0" w:color="auto"/>
          </w:divBdr>
        </w:div>
      </w:divsChild>
    </w:div>
    <w:div w:id="1183934239">
      <w:bodyDiv w:val="1"/>
      <w:marLeft w:val="0"/>
      <w:marRight w:val="0"/>
      <w:marTop w:val="0"/>
      <w:marBottom w:val="0"/>
      <w:divBdr>
        <w:top w:val="none" w:sz="0" w:space="0" w:color="auto"/>
        <w:left w:val="none" w:sz="0" w:space="0" w:color="auto"/>
        <w:bottom w:val="none" w:sz="0" w:space="0" w:color="auto"/>
        <w:right w:val="none" w:sz="0" w:space="0" w:color="auto"/>
      </w:divBdr>
    </w:div>
    <w:div w:id="1220822458">
      <w:bodyDiv w:val="1"/>
      <w:marLeft w:val="0"/>
      <w:marRight w:val="0"/>
      <w:marTop w:val="0"/>
      <w:marBottom w:val="0"/>
      <w:divBdr>
        <w:top w:val="none" w:sz="0" w:space="0" w:color="auto"/>
        <w:left w:val="none" w:sz="0" w:space="0" w:color="auto"/>
        <w:bottom w:val="none" w:sz="0" w:space="0" w:color="auto"/>
        <w:right w:val="none" w:sz="0" w:space="0" w:color="auto"/>
      </w:divBdr>
    </w:div>
    <w:div w:id="1228685947">
      <w:bodyDiv w:val="1"/>
      <w:marLeft w:val="0"/>
      <w:marRight w:val="0"/>
      <w:marTop w:val="0"/>
      <w:marBottom w:val="0"/>
      <w:divBdr>
        <w:top w:val="none" w:sz="0" w:space="0" w:color="auto"/>
        <w:left w:val="none" w:sz="0" w:space="0" w:color="auto"/>
        <w:bottom w:val="none" w:sz="0" w:space="0" w:color="auto"/>
        <w:right w:val="none" w:sz="0" w:space="0" w:color="auto"/>
      </w:divBdr>
    </w:div>
    <w:div w:id="1233394219">
      <w:bodyDiv w:val="1"/>
      <w:marLeft w:val="0"/>
      <w:marRight w:val="0"/>
      <w:marTop w:val="0"/>
      <w:marBottom w:val="0"/>
      <w:divBdr>
        <w:top w:val="none" w:sz="0" w:space="0" w:color="auto"/>
        <w:left w:val="none" w:sz="0" w:space="0" w:color="auto"/>
        <w:bottom w:val="none" w:sz="0" w:space="0" w:color="auto"/>
        <w:right w:val="none" w:sz="0" w:space="0" w:color="auto"/>
      </w:divBdr>
    </w:div>
    <w:div w:id="1234126713">
      <w:bodyDiv w:val="1"/>
      <w:marLeft w:val="0"/>
      <w:marRight w:val="0"/>
      <w:marTop w:val="0"/>
      <w:marBottom w:val="0"/>
      <w:divBdr>
        <w:top w:val="none" w:sz="0" w:space="0" w:color="auto"/>
        <w:left w:val="none" w:sz="0" w:space="0" w:color="auto"/>
        <w:bottom w:val="none" w:sz="0" w:space="0" w:color="auto"/>
        <w:right w:val="none" w:sz="0" w:space="0" w:color="auto"/>
      </w:divBdr>
      <w:divsChild>
        <w:div w:id="162206126">
          <w:marLeft w:val="0"/>
          <w:marRight w:val="0"/>
          <w:marTop w:val="0"/>
          <w:marBottom w:val="0"/>
          <w:divBdr>
            <w:top w:val="none" w:sz="0" w:space="0" w:color="auto"/>
            <w:left w:val="none" w:sz="0" w:space="0" w:color="auto"/>
            <w:bottom w:val="none" w:sz="0" w:space="0" w:color="auto"/>
            <w:right w:val="none" w:sz="0" w:space="0" w:color="auto"/>
          </w:divBdr>
          <w:divsChild>
            <w:div w:id="2052880930">
              <w:marLeft w:val="0"/>
              <w:marRight w:val="0"/>
              <w:marTop w:val="0"/>
              <w:marBottom w:val="0"/>
              <w:divBdr>
                <w:top w:val="none" w:sz="0" w:space="0" w:color="auto"/>
                <w:left w:val="none" w:sz="0" w:space="0" w:color="auto"/>
                <w:bottom w:val="none" w:sz="0" w:space="0" w:color="auto"/>
                <w:right w:val="none" w:sz="0" w:space="0" w:color="auto"/>
              </w:divBdr>
              <w:divsChild>
                <w:div w:id="823085371">
                  <w:marLeft w:val="0"/>
                  <w:marRight w:val="0"/>
                  <w:marTop w:val="0"/>
                  <w:marBottom w:val="0"/>
                  <w:divBdr>
                    <w:top w:val="none" w:sz="0" w:space="0" w:color="auto"/>
                    <w:left w:val="none" w:sz="0" w:space="0" w:color="auto"/>
                    <w:bottom w:val="none" w:sz="0" w:space="0" w:color="auto"/>
                    <w:right w:val="none" w:sz="0" w:space="0" w:color="auto"/>
                  </w:divBdr>
                  <w:divsChild>
                    <w:div w:id="665136696">
                      <w:marLeft w:val="0"/>
                      <w:marRight w:val="0"/>
                      <w:marTop w:val="0"/>
                      <w:marBottom w:val="0"/>
                      <w:divBdr>
                        <w:top w:val="none" w:sz="0" w:space="0" w:color="auto"/>
                        <w:left w:val="none" w:sz="0" w:space="0" w:color="auto"/>
                        <w:bottom w:val="none" w:sz="0" w:space="0" w:color="auto"/>
                        <w:right w:val="none" w:sz="0" w:space="0" w:color="auto"/>
                      </w:divBdr>
                      <w:divsChild>
                        <w:div w:id="1552229493">
                          <w:marLeft w:val="0"/>
                          <w:marRight w:val="0"/>
                          <w:marTop w:val="0"/>
                          <w:marBottom w:val="0"/>
                          <w:divBdr>
                            <w:top w:val="none" w:sz="0" w:space="0" w:color="auto"/>
                            <w:left w:val="none" w:sz="0" w:space="0" w:color="auto"/>
                            <w:bottom w:val="none" w:sz="0" w:space="0" w:color="auto"/>
                            <w:right w:val="none" w:sz="0" w:space="0" w:color="auto"/>
                          </w:divBdr>
                          <w:divsChild>
                            <w:div w:id="14536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53791">
      <w:bodyDiv w:val="1"/>
      <w:marLeft w:val="0"/>
      <w:marRight w:val="0"/>
      <w:marTop w:val="0"/>
      <w:marBottom w:val="0"/>
      <w:divBdr>
        <w:top w:val="none" w:sz="0" w:space="0" w:color="auto"/>
        <w:left w:val="none" w:sz="0" w:space="0" w:color="auto"/>
        <w:bottom w:val="none" w:sz="0" w:space="0" w:color="auto"/>
        <w:right w:val="none" w:sz="0" w:space="0" w:color="auto"/>
      </w:divBdr>
    </w:div>
    <w:div w:id="1234896730">
      <w:bodyDiv w:val="1"/>
      <w:marLeft w:val="0"/>
      <w:marRight w:val="0"/>
      <w:marTop w:val="0"/>
      <w:marBottom w:val="0"/>
      <w:divBdr>
        <w:top w:val="none" w:sz="0" w:space="0" w:color="auto"/>
        <w:left w:val="none" w:sz="0" w:space="0" w:color="auto"/>
        <w:bottom w:val="none" w:sz="0" w:space="0" w:color="auto"/>
        <w:right w:val="none" w:sz="0" w:space="0" w:color="auto"/>
      </w:divBdr>
    </w:div>
    <w:div w:id="1250774549">
      <w:bodyDiv w:val="1"/>
      <w:marLeft w:val="0"/>
      <w:marRight w:val="0"/>
      <w:marTop w:val="0"/>
      <w:marBottom w:val="0"/>
      <w:divBdr>
        <w:top w:val="none" w:sz="0" w:space="0" w:color="auto"/>
        <w:left w:val="none" w:sz="0" w:space="0" w:color="auto"/>
        <w:bottom w:val="none" w:sz="0" w:space="0" w:color="auto"/>
        <w:right w:val="none" w:sz="0" w:space="0" w:color="auto"/>
      </w:divBdr>
    </w:div>
    <w:div w:id="1286815027">
      <w:bodyDiv w:val="1"/>
      <w:marLeft w:val="0"/>
      <w:marRight w:val="0"/>
      <w:marTop w:val="0"/>
      <w:marBottom w:val="0"/>
      <w:divBdr>
        <w:top w:val="none" w:sz="0" w:space="0" w:color="auto"/>
        <w:left w:val="none" w:sz="0" w:space="0" w:color="auto"/>
        <w:bottom w:val="none" w:sz="0" w:space="0" w:color="auto"/>
        <w:right w:val="none" w:sz="0" w:space="0" w:color="auto"/>
      </w:divBdr>
    </w:div>
    <w:div w:id="1306471585">
      <w:bodyDiv w:val="1"/>
      <w:marLeft w:val="0"/>
      <w:marRight w:val="0"/>
      <w:marTop w:val="0"/>
      <w:marBottom w:val="0"/>
      <w:divBdr>
        <w:top w:val="none" w:sz="0" w:space="0" w:color="auto"/>
        <w:left w:val="none" w:sz="0" w:space="0" w:color="auto"/>
        <w:bottom w:val="none" w:sz="0" w:space="0" w:color="auto"/>
        <w:right w:val="none" w:sz="0" w:space="0" w:color="auto"/>
      </w:divBdr>
    </w:div>
    <w:div w:id="1334071344">
      <w:bodyDiv w:val="1"/>
      <w:marLeft w:val="0"/>
      <w:marRight w:val="0"/>
      <w:marTop w:val="0"/>
      <w:marBottom w:val="0"/>
      <w:divBdr>
        <w:top w:val="none" w:sz="0" w:space="0" w:color="auto"/>
        <w:left w:val="none" w:sz="0" w:space="0" w:color="auto"/>
        <w:bottom w:val="none" w:sz="0" w:space="0" w:color="auto"/>
        <w:right w:val="none" w:sz="0" w:space="0" w:color="auto"/>
      </w:divBdr>
    </w:div>
    <w:div w:id="1394354305">
      <w:bodyDiv w:val="1"/>
      <w:marLeft w:val="0"/>
      <w:marRight w:val="0"/>
      <w:marTop w:val="0"/>
      <w:marBottom w:val="0"/>
      <w:divBdr>
        <w:top w:val="none" w:sz="0" w:space="0" w:color="auto"/>
        <w:left w:val="none" w:sz="0" w:space="0" w:color="auto"/>
        <w:bottom w:val="none" w:sz="0" w:space="0" w:color="auto"/>
        <w:right w:val="none" w:sz="0" w:space="0" w:color="auto"/>
      </w:divBdr>
    </w:div>
    <w:div w:id="1427270146">
      <w:bodyDiv w:val="1"/>
      <w:marLeft w:val="0"/>
      <w:marRight w:val="0"/>
      <w:marTop w:val="0"/>
      <w:marBottom w:val="0"/>
      <w:divBdr>
        <w:top w:val="none" w:sz="0" w:space="0" w:color="auto"/>
        <w:left w:val="none" w:sz="0" w:space="0" w:color="auto"/>
        <w:bottom w:val="none" w:sz="0" w:space="0" w:color="auto"/>
        <w:right w:val="none" w:sz="0" w:space="0" w:color="auto"/>
      </w:divBdr>
    </w:div>
    <w:div w:id="1427461110">
      <w:bodyDiv w:val="1"/>
      <w:marLeft w:val="0"/>
      <w:marRight w:val="0"/>
      <w:marTop w:val="0"/>
      <w:marBottom w:val="0"/>
      <w:divBdr>
        <w:top w:val="none" w:sz="0" w:space="0" w:color="auto"/>
        <w:left w:val="none" w:sz="0" w:space="0" w:color="auto"/>
        <w:bottom w:val="none" w:sz="0" w:space="0" w:color="auto"/>
        <w:right w:val="none" w:sz="0" w:space="0" w:color="auto"/>
      </w:divBdr>
    </w:div>
    <w:div w:id="1437559856">
      <w:bodyDiv w:val="1"/>
      <w:marLeft w:val="0"/>
      <w:marRight w:val="0"/>
      <w:marTop w:val="0"/>
      <w:marBottom w:val="0"/>
      <w:divBdr>
        <w:top w:val="none" w:sz="0" w:space="0" w:color="auto"/>
        <w:left w:val="none" w:sz="0" w:space="0" w:color="auto"/>
        <w:bottom w:val="none" w:sz="0" w:space="0" w:color="auto"/>
        <w:right w:val="none" w:sz="0" w:space="0" w:color="auto"/>
      </w:divBdr>
    </w:div>
    <w:div w:id="1444957498">
      <w:bodyDiv w:val="1"/>
      <w:marLeft w:val="0"/>
      <w:marRight w:val="0"/>
      <w:marTop w:val="0"/>
      <w:marBottom w:val="0"/>
      <w:divBdr>
        <w:top w:val="none" w:sz="0" w:space="0" w:color="auto"/>
        <w:left w:val="none" w:sz="0" w:space="0" w:color="auto"/>
        <w:bottom w:val="none" w:sz="0" w:space="0" w:color="auto"/>
        <w:right w:val="none" w:sz="0" w:space="0" w:color="auto"/>
      </w:divBdr>
    </w:div>
    <w:div w:id="1600791037">
      <w:bodyDiv w:val="1"/>
      <w:marLeft w:val="0"/>
      <w:marRight w:val="0"/>
      <w:marTop w:val="0"/>
      <w:marBottom w:val="0"/>
      <w:divBdr>
        <w:top w:val="none" w:sz="0" w:space="0" w:color="auto"/>
        <w:left w:val="none" w:sz="0" w:space="0" w:color="auto"/>
        <w:bottom w:val="none" w:sz="0" w:space="0" w:color="auto"/>
        <w:right w:val="none" w:sz="0" w:space="0" w:color="auto"/>
      </w:divBdr>
    </w:div>
    <w:div w:id="1607957413">
      <w:bodyDiv w:val="1"/>
      <w:marLeft w:val="0"/>
      <w:marRight w:val="0"/>
      <w:marTop w:val="0"/>
      <w:marBottom w:val="0"/>
      <w:divBdr>
        <w:top w:val="none" w:sz="0" w:space="0" w:color="auto"/>
        <w:left w:val="none" w:sz="0" w:space="0" w:color="auto"/>
        <w:bottom w:val="none" w:sz="0" w:space="0" w:color="auto"/>
        <w:right w:val="none" w:sz="0" w:space="0" w:color="auto"/>
      </w:divBdr>
    </w:div>
    <w:div w:id="1647583014">
      <w:bodyDiv w:val="1"/>
      <w:marLeft w:val="0"/>
      <w:marRight w:val="0"/>
      <w:marTop w:val="0"/>
      <w:marBottom w:val="0"/>
      <w:divBdr>
        <w:top w:val="none" w:sz="0" w:space="0" w:color="auto"/>
        <w:left w:val="none" w:sz="0" w:space="0" w:color="auto"/>
        <w:bottom w:val="none" w:sz="0" w:space="0" w:color="auto"/>
        <w:right w:val="none" w:sz="0" w:space="0" w:color="auto"/>
      </w:divBdr>
    </w:div>
    <w:div w:id="1708413589">
      <w:bodyDiv w:val="1"/>
      <w:marLeft w:val="0"/>
      <w:marRight w:val="0"/>
      <w:marTop w:val="0"/>
      <w:marBottom w:val="0"/>
      <w:divBdr>
        <w:top w:val="none" w:sz="0" w:space="0" w:color="auto"/>
        <w:left w:val="none" w:sz="0" w:space="0" w:color="auto"/>
        <w:bottom w:val="none" w:sz="0" w:space="0" w:color="auto"/>
        <w:right w:val="none" w:sz="0" w:space="0" w:color="auto"/>
      </w:divBdr>
    </w:div>
    <w:div w:id="1720781315">
      <w:bodyDiv w:val="1"/>
      <w:marLeft w:val="0"/>
      <w:marRight w:val="0"/>
      <w:marTop w:val="0"/>
      <w:marBottom w:val="0"/>
      <w:divBdr>
        <w:top w:val="none" w:sz="0" w:space="0" w:color="auto"/>
        <w:left w:val="none" w:sz="0" w:space="0" w:color="auto"/>
        <w:bottom w:val="none" w:sz="0" w:space="0" w:color="auto"/>
        <w:right w:val="none" w:sz="0" w:space="0" w:color="auto"/>
      </w:divBdr>
    </w:div>
    <w:div w:id="1844587149">
      <w:bodyDiv w:val="1"/>
      <w:marLeft w:val="0"/>
      <w:marRight w:val="0"/>
      <w:marTop w:val="0"/>
      <w:marBottom w:val="0"/>
      <w:divBdr>
        <w:top w:val="none" w:sz="0" w:space="0" w:color="auto"/>
        <w:left w:val="none" w:sz="0" w:space="0" w:color="auto"/>
        <w:bottom w:val="none" w:sz="0" w:space="0" w:color="auto"/>
        <w:right w:val="none" w:sz="0" w:space="0" w:color="auto"/>
      </w:divBdr>
    </w:div>
    <w:div w:id="1891527455">
      <w:bodyDiv w:val="1"/>
      <w:marLeft w:val="0"/>
      <w:marRight w:val="0"/>
      <w:marTop w:val="0"/>
      <w:marBottom w:val="0"/>
      <w:divBdr>
        <w:top w:val="none" w:sz="0" w:space="0" w:color="auto"/>
        <w:left w:val="none" w:sz="0" w:space="0" w:color="auto"/>
        <w:bottom w:val="none" w:sz="0" w:space="0" w:color="auto"/>
        <w:right w:val="none" w:sz="0" w:space="0" w:color="auto"/>
      </w:divBdr>
    </w:div>
    <w:div w:id="2003771323">
      <w:bodyDiv w:val="1"/>
      <w:marLeft w:val="0"/>
      <w:marRight w:val="0"/>
      <w:marTop w:val="0"/>
      <w:marBottom w:val="0"/>
      <w:divBdr>
        <w:top w:val="none" w:sz="0" w:space="0" w:color="auto"/>
        <w:left w:val="none" w:sz="0" w:space="0" w:color="auto"/>
        <w:bottom w:val="none" w:sz="0" w:space="0" w:color="auto"/>
        <w:right w:val="none" w:sz="0" w:space="0" w:color="auto"/>
      </w:divBdr>
    </w:div>
    <w:div w:id="2006277026">
      <w:bodyDiv w:val="1"/>
      <w:marLeft w:val="0"/>
      <w:marRight w:val="0"/>
      <w:marTop w:val="0"/>
      <w:marBottom w:val="0"/>
      <w:divBdr>
        <w:top w:val="none" w:sz="0" w:space="0" w:color="auto"/>
        <w:left w:val="none" w:sz="0" w:space="0" w:color="auto"/>
        <w:bottom w:val="none" w:sz="0" w:space="0" w:color="auto"/>
        <w:right w:val="none" w:sz="0" w:space="0" w:color="auto"/>
      </w:divBdr>
    </w:div>
    <w:div w:id="2040735584">
      <w:bodyDiv w:val="1"/>
      <w:marLeft w:val="0"/>
      <w:marRight w:val="0"/>
      <w:marTop w:val="0"/>
      <w:marBottom w:val="0"/>
      <w:divBdr>
        <w:top w:val="none" w:sz="0" w:space="0" w:color="auto"/>
        <w:left w:val="none" w:sz="0" w:space="0" w:color="auto"/>
        <w:bottom w:val="none" w:sz="0" w:space="0" w:color="auto"/>
        <w:right w:val="none" w:sz="0" w:space="0" w:color="auto"/>
      </w:divBdr>
    </w:div>
    <w:div w:id="2056615318">
      <w:bodyDiv w:val="1"/>
      <w:marLeft w:val="0"/>
      <w:marRight w:val="0"/>
      <w:marTop w:val="0"/>
      <w:marBottom w:val="0"/>
      <w:divBdr>
        <w:top w:val="none" w:sz="0" w:space="0" w:color="auto"/>
        <w:left w:val="none" w:sz="0" w:space="0" w:color="auto"/>
        <w:bottom w:val="none" w:sz="0" w:space="0" w:color="auto"/>
        <w:right w:val="none" w:sz="0" w:space="0" w:color="auto"/>
      </w:divBdr>
    </w:div>
    <w:div w:id="212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1305</Words>
  <Characters>7471</Characters>
  <Application>Microsoft Office Word</Application>
  <DocSecurity>0</DocSecurity>
  <Lines>135</Lines>
  <Paragraphs>45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2026-05-18T05:22:00Z</dcterms:created>
  <dcterms:modified xsi:type="dcterms:W3CDTF">2026-05-18T05:23:00Z</dcterms:modified>
</cp:coreProperties>
</file>