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0F0DA25" w:rsidR="00EC22CC" w:rsidRDefault="000772A0" w:rsidP="00854EEA">
            <w:pPr>
              <w:jc w:val="center"/>
              <w:rPr>
                <w:rFonts w:ascii="Verdana" w:hAnsi="Verdana"/>
                <w:b/>
                <w:bCs/>
                <w:sz w:val="20"/>
                <w:szCs w:val="20"/>
              </w:rPr>
            </w:pPr>
            <w:r w:rsidRPr="00B90DB3">
              <w:rPr>
                <w:rFonts w:ascii="Verdana" w:hAnsi="Verdana"/>
                <w:b/>
                <w:bCs/>
              </w:rPr>
              <w:t>Au</w:t>
            </w:r>
            <w:r w:rsidR="00BA41E2" w:rsidRPr="00B90DB3">
              <w:rPr>
                <w:rFonts w:ascii="Verdana" w:hAnsi="Verdana"/>
                <w:b/>
                <w:bCs/>
              </w:rPr>
              <w:t xml:space="preserve">dit interne </w:t>
            </w:r>
            <w:r w:rsidR="00614752" w:rsidRPr="00B90DB3">
              <w:rPr>
                <w:rFonts w:ascii="Verdana" w:hAnsi="Verdana"/>
                <w:b/>
                <w:bCs/>
              </w:rPr>
              <w:t>-</w:t>
            </w:r>
            <w:r w:rsidR="00BA41E2" w:rsidRPr="00B90DB3">
              <w:rPr>
                <w:rFonts w:ascii="Verdana" w:hAnsi="Verdana"/>
                <w:b/>
                <w:bCs/>
              </w:rPr>
              <w:t xml:space="preserve"> Comité d’audit et des risques</w:t>
            </w:r>
          </w:p>
        </w:tc>
      </w:tr>
      <w:tr w:rsidR="00DE6EF2" w14:paraId="7F1B63D2" w14:textId="77777777" w:rsidTr="002A0933">
        <w:tc>
          <w:tcPr>
            <w:tcW w:w="7225" w:type="dxa"/>
          </w:tcPr>
          <w:p w14:paraId="056D9B10" w14:textId="32D7EE2B" w:rsidR="00DE6EF2" w:rsidRPr="002A096E" w:rsidRDefault="00DE6EF2" w:rsidP="00DE6EF2">
            <w:pPr>
              <w:rPr>
                <w:rFonts w:ascii="Verdana" w:hAnsi="Verdana"/>
                <w:sz w:val="20"/>
                <w:szCs w:val="20"/>
              </w:rPr>
            </w:pPr>
            <w:r w:rsidRPr="00B46D7E">
              <w:rPr>
                <w:rFonts w:ascii="Verdana" w:hAnsi="Verdana"/>
                <w:sz w:val="20"/>
                <w:szCs w:val="20"/>
              </w:rPr>
              <w:t>C</w:t>
            </w:r>
            <w:r>
              <w:rPr>
                <w:rFonts w:ascii="Verdana" w:hAnsi="Verdana"/>
                <w:sz w:val="20"/>
                <w:szCs w:val="20"/>
              </w:rPr>
              <w:t xml:space="preserve">omité des </w:t>
            </w:r>
            <w:r w:rsidRPr="00B46D7E">
              <w:rPr>
                <w:rFonts w:ascii="Verdana" w:hAnsi="Verdana"/>
                <w:sz w:val="20"/>
                <w:szCs w:val="20"/>
              </w:rPr>
              <w:t xml:space="preserve">OPL </w:t>
            </w:r>
            <w:r>
              <w:rPr>
                <w:rFonts w:ascii="Verdana" w:hAnsi="Verdana"/>
                <w:sz w:val="20"/>
                <w:szCs w:val="20"/>
              </w:rPr>
              <w:t>0</w:t>
            </w:r>
            <w:r w:rsidR="00B66F22">
              <w:rPr>
                <w:rFonts w:ascii="Verdana" w:hAnsi="Verdana"/>
                <w:sz w:val="20"/>
                <w:szCs w:val="20"/>
              </w:rPr>
              <w:t>2</w:t>
            </w:r>
            <w:r>
              <w:rPr>
                <w:rFonts w:ascii="Verdana" w:hAnsi="Verdana"/>
                <w:sz w:val="20"/>
                <w:szCs w:val="20"/>
              </w:rPr>
              <w:t>/202</w:t>
            </w:r>
            <w:r w:rsidR="003D502A">
              <w:rPr>
                <w:rFonts w:ascii="Verdana" w:hAnsi="Verdana"/>
                <w:sz w:val="20"/>
                <w:szCs w:val="20"/>
              </w:rPr>
              <w:t>6</w:t>
            </w:r>
            <w:r>
              <w:rPr>
                <w:rFonts w:ascii="Verdana" w:hAnsi="Verdana"/>
                <w:sz w:val="20"/>
                <w:szCs w:val="20"/>
              </w:rPr>
              <w:t xml:space="preserve"> |</w:t>
            </w:r>
            <w:r w:rsidRPr="00B46D7E">
              <w:rPr>
                <w:rFonts w:ascii="Verdana" w:hAnsi="Verdana"/>
                <w:sz w:val="20"/>
                <w:szCs w:val="20"/>
              </w:rPr>
              <w:t xml:space="preserve"> </w:t>
            </w:r>
            <w:r w:rsidR="000F6DB3">
              <w:rPr>
                <w:rFonts w:ascii="Verdana" w:hAnsi="Verdana"/>
                <w:sz w:val="20"/>
                <w:szCs w:val="20"/>
              </w:rPr>
              <w:t>05-06-07</w:t>
            </w:r>
            <w:r w:rsidR="003D502A">
              <w:rPr>
                <w:rFonts w:ascii="Verdana" w:hAnsi="Verdana"/>
                <w:sz w:val="20"/>
                <w:szCs w:val="20"/>
              </w:rPr>
              <w:t xml:space="preserve"> </w:t>
            </w:r>
            <w:r w:rsidR="009D769B">
              <w:rPr>
                <w:rFonts w:ascii="Verdana" w:hAnsi="Verdana"/>
                <w:sz w:val="20"/>
                <w:szCs w:val="20"/>
              </w:rPr>
              <w:t>mai</w:t>
            </w:r>
            <w:r w:rsidRPr="00B46D7E">
              <w:rPr>
                <w:rFonts w:ascii="Verdana" w:hAnsi="Verdana"/>
                <w:sz w:val="20"/>
                <w:szCs w:val="20"/>
              </w:rPr>
              <w:t xml:space="preserve"> 202</w:t>
            </w:r>
            <w:r w:rsidR="009D769B">
              <w:rPr>
                <w:rFonts w:ascii="Verdana" w:hAnsi="Verdana"/>
                <w:sz w:val="20"/>
                <w:szCs w:val="20"/>
              </w:rPr>
              <w:t>6</w:t>
            </w:r>
          </w:p>
        </w:tc>
        <w:tc>
          <w:tcPr>
            <w:tcW w:w="1837" w:type="dxa"/>
          </w:tcPr>
          <w:p w14:paraId="58E25D1F" w14:textId="0F96EA32" w:rsidR="00DE6EF2" w:rsidRPr="002A0933" w:rsidRDefault="00DE6EF2" w:rsidP="00DE6EF2">
            <w:pPr>
              <w:jc w:val="center"/>
              <w:rPr>
                <w:rFonts w:ascii="Verdana" w:hAnsi="Verdana"/>
                <w:sz w:val="20"/>
                <w:szCs w:val="20"/>
              </w:rPr>
            </w:pPr>
            <w:r w:rsidRPr="002A0933">
              <w:rPr>
                <w:rFonts w:ascii="Verdana" w:hAnsi="Verdana"/>
                <w:sz w:val="20"/>
                <w:szCs w:val="20"/>
              </w:rPr>
              <w:t xml:space="preserve">Point </w:t>
            </w:r>
            <w:r w:rsidR="00BC55B5">
              <w:rPr>
                <w:rFonts w:ascii="Verdana" w:hAnsi="Verdana"/>
                <w:sz w:val="20"/>
                <w:szCs w:val="20"/>
              </w:rPr>
              <w:t>3.</w:t>
            </w:r>
            <w:r w:rsidR="0083239E">
              <w:rPr>
                <w:rFonts w:ascii="Verdana" w:hAnsi="Verdana"/>
                <w:sz w:val="20"/>
                <w:szCs w:val="20"/>
              </w:rPr>
              <w:t>6</w:t>
            </w:r>
          </w:p>
        </w:tc>
      </w:tr>
      <w:tr w:rsidR="00DE6EF2" w14:paraId="537D1DE5" w14:textId="77777777" w:rsidTr="002A0933">
        <w:tc>
          <w:tcPr>
            <w:tcW w:w="7225" w:type="dxa"/>
          </w:tcPr>
          <w:p w14:paraId="43DEF09E" w14:textId="71BFB740" w:rsidR="00DE6EF2" w:rsidRPr="00A37C9F" w:rsidRDefault="00DE6EF2" w:rsidP="00DE6EF2">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sz w:val="20"/>
                <w:szCs w:val="20"/>
              </w:rPr>
              <w:t>Nirina RAZAFINTSALAMA</w:t>
            </w:r>
            <w:r w:rsidR="000D7BFD">
              <w:rPr>
                <w:rFonts w:ascii="Verdana" w:hAnsi="Verdana"/>
                <w:sz w:val="20"/>
                <w:szCs w:val="20"/>
              </w:rPr>
              <w:t>, Auditeur interne</w:t>
            </w:r>
          </w:p>
        </w:tc>
        <w:tc>
          <w:tcPr>
            <w:tcW w:w="1837" w:type="dxa"/>
          </w:tcPr>
          <w:p w14:paraId="5AC1AFAB" w14:textId="2CE1624C" w:rsidR="00DE6EF2" w:rsidRPr="002A0933" w:rsidRDefault="000D7BFD" w:rsidP="00DE6EF2">
            <w:pPr>
              <w:jc w:val="center"/>
              <w:rPr>
                <w:rFonts w:ascii="Verdana" w:hAnsi="Verdana"/>
                <w:sz w:val="20"/>
                <w:szCs w:val="20"/>
              </w:rPr>
            </w:pPr>
            <w:r>
              <w:rPr>
                <w:rFonts w:ascii="Verdana" w:hAnsi="Verdana"/>
                <w:sz w:val="20"/>
                <w:szCs w:val="20"/>
              </w:rPr>
              <w:t>Décision</w:t>
            </w:r>
          </w:p>
        </w:tc>
      </w:tr>
      <w:tr w:rsidR="00DE6EF2" w14:paraId="6896DB30" w14:textId="77777777" w:rsidTr="009F5233">
        <w:tc>
          <w:tcPr>
            <w:tcW w:w="9062" w:type="dxa"/>
            <w:gridSpan w:val="2"/>
          </w:tcPr>
          <w:p w14:paraId="0495241B" w14:textId="61A31ED6" w:rsidR="00DE6EF2" w:rsidRDefault="00DE6EF2" w:rsidP="00DE6EF2">
            <w:pPr>
              <w:rPr>
                <w:rFonts w:ascii="Verdana" w:hAnsi="Verdana"/>
                <w:sz w:val="20"/>
                <w:szCs w:val="20"/>
              </w:rPr>
            </w:pPr>
            <w:r>
              <w:rPr>
                <w:rFonts w:ascii="Verdana" w:hAnsi="Verdana"/>
                <w:i/>
                <w:iCs/>
                <w:sz w:val="20"/>
                <w:szCs w:val="20"/>
              </w:rPr>
              <w:t xml:space="preserve">Version du </w:t>
            </w:r>
            <w:r w:rsidR="003D502A">
              <w:rPr>
                <w:rFonts w:ascii="Verdana" w:hAnsi="Verdana"/>
                <w:i/>
                <w:iCs/>
                <w:sz w:val="20"/>
                <w:szCs w:val="20"/>
              </w:rPr>
              <w:t>06</w:t>
            </w:r>
            <w:r w:rsidR="00BB707B">
              <w:rPr>
                <w:rFonts w:ascii="Verdana" w:hAnsi="Verdana"/>
                <w:i/>
                <w:iCs/>
                <w:sz w:val="20"/>
                <w:szCs w:val="20"/>
              </w:rPr>
              <w:t>.</w:t>
            </w:r>
            <w:r w:rsidR="0060798D">
              <w:rPr>
                <w:rFonts w:ascii="Verdana" w:hAnsi="Verdana"/>
                <w:i/>
                <w:iCs/>
                <w:sz w:val="20"/>
                <w:szCs w:val="20"/>
              </w:rPr>
              <w:t>0</w:t>
            </w:r>
            <w:r w:rsidR="003D502A">
              <w:rPr>
                <w:rFonts w:ascii="Verdana" w:hAnsi="Verdana"/>
                <w:i/>
                <w:iCs/>
                <w:sz w:val="20"/>
                <w:szCs w:val="20"/>
              </w:rPr>
              <w:t>5</w:t>
            </w:r>
            <w:r w:rsidR="00BB707B">
              <w:rPr>
                <w:rFonts w:ascii="Verdana" w:hAnsi="Verdana"/>
                <w:i/>
                <w:iCs/>
                <w:sz w:val="20"/>
                <w:szCs w:val="20"/>
              </w:rPr>
              <w:t>.202</w:t>
            </w:r>
            <w:r w:rsidR="0060798D">
              <w:rPr>
                <w:rFonts w:ascii="Verdana" w:hAnsi="Verdana"/>
                <w:i/>
                <w:iCs/>
                <w:sz w:val="20"/>
                <w:szCs w:val="20"/>
              </w:rPr>
              <w:t>6</w:t>
            </w:r>
            <w:r>
              <w:rPr>
                <w:rFonts w:ascii="Verdana" w:hAnsi="Verdana"/>
                <w:i/>
                <w:iCs/>
                <w:sz w:val="20"/>
                <w:szCs w:val="20"/>
              </w:rPr>
              <w:t xml:space="preserve"> </w:t>
            </w:r>
          </w:p>
        </w:tc>
      </w:tr>
    </w:tbl>
    <w:p w14:paraId="678F0DFC" w14:textId="3923B394" w:rsidR="00854EEA" w:rsidRPr="0008468B" w:rsidRDefault="00955BB3" w:rsidP="007F765A">
      <w:pPr>
        <w:pStyle w:val="Titrepartie"/>
        <w:spacing w:after="120"/>
        <w:ind w:left="714" w:hanging="357"/>
      </w:pPr>
      <w:bookmarkStart w:id="0" w:name="_Hlk24535240"/>
      <w:r w:rsidRPr="0008468B">
        <w:t>Résumé</w:t>
      </w:r>
    </w:p>
    <w:p w14:paraId="0A4201B6" w14:textId="35643AD2" w:rsidR="006F2A65" w:rsidRPr="006F2719" w:rsidRDefault="006F2A65" w:rsidP="45173C81">
      <w:pPr>
        <w:pStyle w:val="Paragraphe"/>
        <w:spacing w:after="120"/>
        <w:jc w:val="left"/>
      </w:pPr>
      <w:r w:rsidRPr="006F2719">
        <w:t>Le Service d’Audit Interne</w:t>
      </w:r>
      <w:r w:rsidR="00CE1A76" w:rsidRPr="006F2719">
        <w:t xml:space="preserve"> (SAI)</w:t>
      </w:r>
      <w:r w:rsidRPr="006F2719">
        <w:t xml:space="preserve"> a atteint ses objectifs opérationnels (85 % du plan 2025 réalisé ; 44 % du plan 2026 à date)</w:t>
      </w:r>
      <w:r w:rsidR="00FA7A09" w:rsidRPr="006F2719">
        <w:t xml:space="preserve"> et l</w:t>
      </w:r>
      <w:r w:rsidRPr="006F2719">
        <w:t xml:space="preserve">e taux de mise en œuvre des recommandations progresse à </w:t>
      </w:r>
      <w:r w:rsidRPr="006F2719">
        <w:rPr>
          <w:b/>
          <w:bCs/>
        </w:rPr>
        <w:t>71 %</w:t>
      </w:r>
      <w:r w:rsidRPr="006F2719">
        <w:t>.</w:t>
      </w:r>
    </w:p>
    <w:p w14:paraId="66DFA10A" w14:textId="168DFD15" w:rsidR="006310FA" w:rsidRDefault="00FA7A09" w:rsidP="003B322E">
      <w:pPr>
        <w:pStyle w:val="Paragraphe"/>
        <w:spacing w:after="0"/>
      </w:pPr>
      <w:r>
        <w:t>Il a contribué à :</w:t>
      </w:r>
    </w:p>
    <w:p w14:paraId="7A6CF96A" w14:textId="21B153E7" w:rsidR="004260E8" w:rsidRPr="006F2719" w:rsidRDefault="004260E8" w:rsidP="00474EC7">
      <w:pPr>
        <w:pStyle w:val="Paragraphe"/>
        <w:numPr>
          <w:ilvl w:val="0"/>
          <w:numId w:val="8"/>
        </w:numPr>
        <w:spacing w:after="0" w:line="276" w:lineRule="auto"/>
      </w:pPr>
      <w:proofErr w:type="gramStart"/>
      <w:r w:rsidRPr="006F2719">
        <w:t>renforcer</w:t>
      </w:r>
      <w:proofErr w:type="gramEnd"/>
      <w:r w:rsidRPr="006F2719">
        <w:t xml:space="preserve"> la </w:t>
      </w:r>
      <w:r w:rsidRPr="006F2719">
        <w:rPr>
          <w:b/>
          <w:bCs/>
        </w:rPr>
        <w:t xml:space="preserve">fiabilité du </w:t>
      </w:r>
      <w:r w:rsidR="00A54B3B" w:rsidRPr="006F2719">
        <w:rPr>
          <w:b/>
          <w:bCs/>
        </w:rPr>
        <w:t>rapport</w:t>
      </w:r>
      <w:r w:rsidRPr="006F2719">
        <w:rPr>
          <w:b/>
          <w:bCs/>
        </w:rPr>
        <w:t xml:space="preserve"> financier</w:t>
      </w:r>
      <w:r w:rsidR="00421104" w:rsidRPr="006F2719">
        <w:rPr>
          <w:b/>
          <w:bCs/>
        </w:rPr>
        <w:t xml:space="preserve"> au niveau des</w:t>
      </w:r>
      <w:r w:rsidR="00033145" w:rsidRPr="006F2719">
        <w:rPr>
          <w:b/>
          <w:bCs/>
        </w:rPr>
        <w:t xml:space="preserve"> projets audités</w:t>
      </w:r>
      <w:r w:rsidRPr="006F2719">
        <w:t xml:space="preserve"> et l’éligibilité des dépenses ; </w:t>
      </w:r>
    </w:p>
    <w:p w14:paraId="41A96353" w14:textId="4CF2F8F5" w:rsidR="004260E8" w:rsidRPr="004260E8" w:rsidRDefault="004260E8" w:rsidP="00474EC7">
      <w:pPr>
        <w:pStyle w:val="Paragraphe"/>
        <w:numPr>
          <w:ilvl w:val="0"/>
          <w:numId w:val="8"/>
        </w:numPr>
        <w:spacing w:after="0" w:line="276" w:lineRule="auto"/>
      </w:pPr>
      <w:proofErr w:type="gramStart"/>
      <w:r w:rsidRPr="004260E8">
        <w:t>améliorer</w:t>
      </w:r>
      <w:proofErr w:type="gramEnd"/>
      <w:r w:rsidRPr="004260E8">
        <w:t xml:space="preserve"> la </w:t>
      </w:r>
      <w:r w:rsidRPr="004260E8">
        <w:rPr>
          <w:b/>
        </w:rPr>
        <w:t>maîtrise des processus critiques</w:t>
      </w:r>
      <w:r w:rsidR="004A4AA6">
        <w:t xml:space="preserve">, </w:t>
      </w:r>
      <w:r w:rsidR="004A4AA6" w:rsidRPr="004A4AA6">
        <w:t>notamment en matière de passation des marchés, de gestion des subventions et de clôture financière</w:t>
      </w:r>
      <w:r w:rsidR="004A4AA6">
        <w:t xml:space="preserve"> </w:t>
      </w:r>
      <w:r w:rsidRPr="004260E8">
        <w:t xml:space="preserve">; </w:t>
      </w:r>
    </w:p>
    <w:p w14:paraId="2CFDA591" w14:textId="6BB5FA23" w:rsidR="004260E8" w:rsidRPr="006F2719" w:rsidRDefault="004260E8" w:rsidP="00474EC7">
      <w:pPr>
        <w:pStyle w:val="Paragraphe"/>
        <w:numPr>
          <w:ilvl w:val="0"/>
          <w:numId w:val="8"/>
        </w:numPr>
        <w:spacing w:line="276" w:lineRule="auto"/>
      </w:pPr>
      <w:proofErr w:type="gramStart"/>
      <w:r w:rsidRPr="006F2719">
        <w:t>promouvoir</w:t>
      </w:r>
      <w:proofErr w:type="gramEnd"/>
      <w:r w:rsidRPr="006F2719">
        <w:t xml:space="preserve"> une </w:t>
      </w:r>
      <w:r w:rsidRPr="006F2719">
        <w:rPr>
          <w:b/>
          <w:bCs/>
        </w:rPr>
        <w:t>culture d’éthique</w:t>
      </w:r>
      <w:r w:rsidR="004A4AA6" w:rsidRPr="006F2719">
        <w:rPr>
          <w:b/>
          <w:bCs/>
        </w:rPr>
        <w:t xml:space="preserve">, </w:t>
      </w:r>
      <w:r w:rsidRPr="006F2719">
        <w:rPr>
          <w:b/>
          <w:bCs/>
        </w:rPr>
        <w:t>de contrôle interne</w:t>
      </w:r>
      <w:r w:rsidR="004A4AA6" w:rsidRPr="006F2719">
        <w:t xml:space="preserve"> et de </w:t>
      </w:r>
      <w:r w:rsidR="004A4AA6" w:rsidRPr="006F2719">
        <w:rPr>
          <w:b/>
          <w:bCs/>
        </w:rPr>
        <w:t>gestion des risque</w:t>
      </w:r>
      <w:r w:rsidR="00873C5D" w:rsidRPr="006F2719">
        <w:rPr>
          <w:b/>
          <w:bCs/>
        </w:rPr>
        <w:t>s</w:t>
      </w:r>
      <w:r w:rsidR="004A4AA6" w:rsidRPr="006F2719">
        <w:t xml:space="preserve"> au sein de l’organisation.</w:t>
      </w:r>
    </w:p>
    <w:p w14:paraId="6F50C8FA" w14:textId="77777777" w:rsidR="00A10FB0" w:rsidRDefault="004A4AA6" w:rsidP="00255EFC">
      <w:pPr>
        <w:pStyle w:val="Paragraphe"/>
      </w:pPr>
      <w:r>
        <w:t xml:space="preserve">Toutefois, </w:t>
      </w:r>
      <w:r w:rsidR="00A10FB0" w:rsidRPr="00A10FB0">
        <w:t xml:space="preserve">les travaux d’audit mettent en évidence des </w:t>
      </w:r>
      <w:r w:rsidR="00A10FB0" w:rsidRPr="00A10FB0">
        <w:rPr>
          <w:b/>
          <w:bCs/>
        </w:rPr>
        <w:t>enjeux structurants pour la gouvernance</w:t>
      </w:r>
      <w:r w:rsidR="00A10FB0" w:rsidRPr="00A10FB0">
        <w:t>, nécessitant une accélération des efforts de mise en conformité.</w:t>
      </w:r>
    </w:p>
    <w:p w14:paraId="49B7CA31" w14:textId="3B49511A" w:rsidR="00255EFC" w:rsidRPr="00761CF8" w:rsidRDefault="00A10FB0" w:rsidP="00255EFC">
      <w:pPr>
        <w:pStyle w:val="Paragraphe"/>
      </w:pPr>
      <w:r>
        <w:t>A</w:t>
      </w:r>
      <w:r w:rsidR="006651C3" w:rsidRPr="006651C3">
        <w:t xml:space="preserve">u regard </w:t>
      </w:r>
      <w:r>
        <w:t>de ces</w:t>
      </w:r>
      <w:r w:rsidR="006651C3" w:rsidRPr="006651C3">
        <w:t xml:space="preserve"> enjeux</w:t>
      </w:r>
      <w:r w:rsidR="00CE1A76">
        <w:t xml:space="preserve">, </w:t>
      </w:r>
      <w:r w:rsidR="00033CE7" w:rsidRPr="006651C3">
        <w:rPr>
          <w:b/>
        </w:rPr>
        <w:t xml:space="preserve">les capacités actuelles du </w:t>
      </w:r>
      <w:r w:rsidR="00CE1A76">
        <w:rPr>
          <w:b/>
        </w:rPr>
        <w:t>SAI</w:t>
      </w:r>
      <w:r w:rsidR="00033CE7" w:rsidRPr="006651C3">
        <w:rPr>
          <w:b/>
        </w:rPr>
        <w:t xml:space="preserve"> atteignent leurs limites</w:t>
      </w:r>
      <w:r w:rsidR="00873C5D">
        <w:t xml:space="preserve">. </w:t>
      </w:r>
      <w:r w:rsidR="00761CF8">
        <w:t xml:space="preserve"> Un </w:t>
      </w:r>
      <w:r w:rsidR="007C1082" w:rsidRPr="007C1082">
        <w:rPr>
          <w:b/>
          <w:bCs/>
        </w:rPr>
        <w:t>renforcement des ressources du SAI apparaît indispensable</w:t>
      </w:r>
      <w:r w:rsidR="007C1082" w:rsidRPr="007C1082">
        <w:t xml:space="preserve">, tant sur le plan </w:t>
      </w:r>
      <w:r w:rsidR="00255EFC" w:rsidRPr="00255EFC">
        <w:t>:</w:t>
      </w:r>
    </w:p>
    <w:p w14:paraId="20875679" w14:textId="7E5BE1EC" w:rsidR="007C1082" w:rsidRPr="006F2719" w:rsidRDefault="007C1082" w:rsidP="00474EC7">
      <w:pPr>
        <w:pStyle w:val="Paragraphe"/>
        <w:numPr>
          <w:ilvl w:val="0"/>
          <w:numId w:val="10"/>
        </w:numPr>
        <w:spacing w:after="0"/>
      </w:pPr>
      <w:proofErr w:type="gramStart"/>
      <w:r w:rsidRPr="006F2719">
        <w:rPr>
          <w:b/>
          <w:bCs/>
        </w:rPr>
        <w:t>financier</w:t>
      </w:r>
      <w:proofErr w:type="gramEnd"/>
      <w:r w:rsidRPr="006F2719">
        <w:t xml:space="preserve">, pour assurer une couverture adéquate des risques prioritaires et recourir, si nécessaire, à des expertises spécialisées (notamment en IT et cybersécurité) ; </w:t>
      </w:r>
    </w:p>
    <w:p w14:paraId="36D7DBC5" w14:textId="4536377F" w:rsidR="00255EFC" w:rsidRPr="00255EFC" w:rsidRDefault="007C1082" w:rsidP="00474EC7">
      <w:pPr>
        <w:pStyle w:val="Paragraphe"/>
        <w:numPr>
          <w:ilvl w:val="0"/>
          <w:numId w:val="10"/>
        </w:numPr>
      </w:pPr>
      <w:proofErr w:type="gramStart"/>
      <w:r w:rsidRPr="007C1082">
        <w:t>que</w:t>
      </w:r>
      <w:proofErr w:type="gramEnd"/>
      <w:r w:rsidRPr="007C1082">
        <w:t xml:space="preserve"> sur le plan des </w:t>
      </w:r>
      <w:r w:rsidRPr="007C1082">
        <w:rPr>
          <w:b/>
        </w:rPr>
        <w:t>capacités techniques et humaines</w:t>
      </w:r>
      <w:r w:rsidRPr="007C1082">
        <w:t xml:space="preserve">, </w:t>
      </w:r>
      <w:r w:rsidR="00260246" w:rsidRPr="00260246">
        <w:t xml:space="preserve">à travers des </w:t>
      </w:r>
      <w:r w:rsidR="00260246" w:rsidRPr="00260246">
        <w:rPr>
          <w:b/>
          <w:bCs/>
        </w:rPr>
        <w:t>actions de formation ciblées</w:t>
      </w:r>
      <w:r w:rsidR="00260246" w:rsidRPr="00260246">
        <w:t>, afin d’accompagner la montée en compétence des équipes et la maturité du dispositif</w:t>
      </w:r>
      <w:r w:rsidR="00255EFC" w:rsidRPr="00255EFC">
        <w:t>.</w:t>
      </w:r>
    </w:p>
    <w:p w14:paraId="64F4F988" w14:textId="6290696F" w:rsidR="00954E2D" w:rsidRDefault="00C71C8E" w:rsidP="003B322E">
      <w:pPr>
        <w:pStyle w:val="Titrepartie"/>
        <w:ind w:left="714" w:hanging="357"/>
      </w:pPr>
      <w:r>
        <w:t>Etat d’avancement</w:t>
      </w:r>
    </w:p>
    <w:p w14:paraId="7490DE2C" w14:textId="795C4CA3" w:rsidR="00542329" w:rsidRDefault="00BD5652" w:rsidP="00C71C8E">
      <w:pPr>
        <w:pStyle w:val="Sous-partie2"/>
      </w:pPr>
      <w:r>
        <w:t>Principaux risques et faiblesses</w:t>
      </w:r>
      <w:r w:rsidR="00F230BF">
        <w:t xml:space="preserve"> constatés par les auditeurs</w:t>
      </w:r>
    </w:p>
    <w:p w14:paraId="594E5A32" w14:textId="0AC7C768" w:rsidR="00542329" w:rsidRPr="00542329" w:rsidRDefault="00542329" w:rsidP="00474EC7">
      <w:pPr>
        <w:pStyle w:val="Titrepartie"/>
        <w:numPr>
          <w:ilvl w:val="0"/>
          <w:numId w:val="6"/>
        </w:numPr>
        <w:spacing w:before="240" w:after="0"/>
        <w:ind w:left="714" w:hanging="357"/>
        <w:contextualSpacing w:val="0"/>
        <w:rPr>
          <w:b w:val="0"/>
          <w:color w:val="auto"/>
          <w:sz w:val="20"/>
        </w:rPr>
      </w:pPr>
      <w:r w:rsidRPr="00542329">
        <w:rPr>
          <w:b w:val="0"/>
          <w:color w:val="auto"/>
          <w:sz w:val="20"/>
        </w:rPr>
        <w:t>Non-conformité partielle du système de contrôle interne et du système comptable (exigences bailleurs)</w:t>
      </w:r>
    </w:p>
    <w:p w14:paraId="2DE721FB" w14:textId="3F9BD717" w:rsidR="00542329" w:rsidRPr="00542329" w:rsidRDefault="00542329" w:rsidP="00474EC7">
      <w:pPr>
        <w:pStyle w:val="Titrepartie"/>
        <w:numPr>
          <w:ilvl w:val="0"/>
          <w:numId w:val="6"/>
        </w:numPr>
        <w:spacing w:after="0"/>
        <w:rPr>
          <w:b w:val="0"/>
          <w:color w:val="auto"/>
          <w:sz w:val="20"/>
        </w:rPr>
      </w:pPr>
      <w:r w:rsidRPr="00542329">
        <w:rPr>
          <w:b w:val="0"/>
          <w:color w:val="auto"/>
          <w:sz w:val="20"/>
        </w:rPr>
        <w:t>Risque élevé IT et cybersécurité (continuité, sécurité des données, dépendance prestataire)</w:t>
      </w:r>
    </w:p>
    <w:p w14:paraId="170F70A7" w14:textId="21C71DF5" w:rsidR="00542329" w:rsidRPr="00542329" w:rsidRDefault="00542329" w:rsidP="00474EC7">
      <w:pPr>
        <w:pStyle w:val="Titrepartie"/>
        <w:numPr>
          <w:ilvl w:val="0"/>
          <w:numId w:val="6"/>
        </w:numPr>
        <w:spacing w:after="0"/>
        <w:rPr>
          <w:b w:val="0"/>
          <w:color w:val="auto"/>
          <w:sz w:val="20"/>
        </w:rPr>
      </w:pPr>
      <w:r w:rsidRPr="00542329">
        <w:rPr>
          <w:b w:val="0"/>
          <w:color w:val="auto"/>
          <w:sz w:val="20"/>
        </w:rPr>
        <w:t>Fiabilité financière à renforcer (consolidation SG + projets, clôture)</w:t>
      </w:r>
    </w:p>
    <w:p w14:paraId="466181AC" w14:textId="1E0610AE" w:rsidR="00542329" w:rsidRPr="00542329" w:rsidRDefault="00542329" w:rsidP="00474EC7">
      <w:pPr>
        <w:pStyle w:val="Titrepartie"/>
        <w:numPr>
          <w:ilvl w:val="0"/>
          <w:numId w:val="6"/>
        </w:numPr>
        <w:spacing w:after="0"/>
        <w:rPr>
          <w:b w:val="0"/>
          <w:color w:val="auto"/>
          <w:sz w:val="20"/>
        </w:rPr>
      </w:pPr>
      <w:r w:rsidRPr="00542329">
        <w:rPr>
          <w:b w:val="0"/>
          <w:color w:val="auto"/>
          <w:sz w:val="20"/>
        </w:rPr>
        <w:t>Faiblesses persistantes :</w:t>
      </w:r>
    </w:p>
    <w:p w14:paraId="25B87682" w14:textId="77777777" w:rsidR="00542329" w:rsidRPr="00542329" w:rsidRDefault="00542329" w:rsidP="00474EC7">
      <w:pPr>
        <w:pStyle w:val="Titrepartie"/>
        <w:numPr>
          <w:ilvl w:val="0"/>
          <w:numId w:val="7"/>
        </w:numPr>
        <w:spacing w:after="120"/>
        <w:rPr>
          <w:b w:val="0"/>
          <w:color w:val="auto"/>
          <w:sz w:val="20"/>
        </w:rPr>
      </w:pPr>
      <w:proofErr w:type="gramStart"/>
      <w:r w:rsidRPr="00542329">
        <w:rPr>
          <w:b w:val="0"/>
          <w:color w:val="auto"/>
          <w:sz w:val="20"/>
        </w:rPr>
        <w:t>passation</w:t>
      </w:r>
      <w:proofErr w:type="gramEnd"/>
      <w:r w:rsidRPr="00542329">
        <w:rPr>
          <w:b w:val="0"/>
          <w:color w:val="auto"/>
          <w:sz w:val="20"/>
        </w:rPr>
        <w:t xml:space="preserve"> des marchés</w:t>
      </w:r>
    </w:p>
    <w:p w14:paraId="30A71698" w14:textId="77777777" w:rsidR="00542329" w:rsidRPr="00542329" w:rsidRDefault="00542329" w:rsidP="00474EC7">
      <w:pPr>
        <w:pStyle w:val="Titrepartie"/>
        <w:numPr>
          <w:ilvl w:val="0"/>
          <w:numId w:val="7"/>
        </w:numPr>
        <w:spacing w:after="120"/>
        <w:rPr>
          <w:b w:val="0"/>
          <w:color w:val="auto"/>
          <w:sz w:val="20"/>
        </w:rPr>
      </w:pPr>
      <w:proofErr w:type="gramStart"/>
      <w:r w:rsidRPr="00542329">
        <w:rPr>
          <w:b w:val="0"/>
          <w:color w:val="auto"/>
          <w:sz w:val="20"/>
        </w:rPr>
        <w:t>gestion</w:t>
      </w:r>
      <w:proofErr w:type="gramEnd"/>
      <w:r w:rsidRPr="00542329">
        <w:rPr>
          <w:b w:val="0"/>
          <w:color w:val="auto"/>
          <w:sz w:val="20"/>
        </w:rPr>
        <w:t xml:space="preserve"> des subventions</w:t>
      </w:r>
    </w:p>
    <w:p w14:paraId="75AB8614" w14:textId="151A95FF" w:rsidR="00542329" w:rsidRPr="00542329" w:rsidRDefault="00542329" w:rsidP="00474EC7">
      <w:pPr>
        <w:pStyle w:val="Titrepartie"/>
        <w:numPr>
          <w:ilvl w:val="0"/>
          <w:numId w:val="7"/>
        </w:numPr>
        <w:spacing w:after="120"/>
        <w:ind w:left="1775" w:hanging="357"/>
        <w:contextualSpacing w:val="0"/>
        <w:rPr>
          <w:b w:val="0"/>
          <w:color w:val="auto"/>
          <w:sz w:val="20"/>
        </w:rPr>
      </w:pPr>
      <w:proofErr w:type="gramStart"/>
      <w:r w:rsidRPr="00542329">
        <w:rPr>
          <w:b w:val="0"/>
          <w:color w:val="auto"/>
          <w:sz w:val="20"/>
        </w:rPr>
        <w:t>suivi</w:t>
      </w:r>
      <w:proofErr w:type="gramEnd"/>
      <w:r w:rsidRPr="00542329">
        <w:rPr>
          <w:b w:val="0"/>
          <w:color w:val="auto"/>
          <w:sz w:val="20"/>
        </w:rPr>
        <w:t>-évaluation et gestion des risques</w:t>
      </w:r>
    </w:p>
    <w:p w14:paraId="4143624C" w14:textId="46602329" w:rsidR="00AB3436" w:rsidRDefault="00D36680" w:rsidP="00954E2D">
      <w:pPr>
        <w:pStyle w:val="Sous-partie2"/>
      </w:pPr>
      <w:r>
        <w:t>Suivi des recommandations</w:t>
      </w:r>
      <w:r w:rsidR="00F230BF">
        <w:t xml:space="preserve"> d’audit</w:t>
      </w:r>
    </w:p>
    <w:p w14:paraId="4BD304C5" w14:textId="77777777" w:rsidR="005732CC" w:rsidRPr="002C7D1B" w:rsidRDefault="005732CC" w:rsidP="005732CC">
      <w:pPr>
        <w:pStyle w:val="Paragraphe"/>
        <w:spacing w:after="120"/>
      </w:pPr>
      <w:r w:rsidRPr="002C7D1B">
        <w:t xml:space="preserve">Le dispositif de contrôle interne est </w:t>
      </w:r>
      <w:r w:rsidRPr="002C7D1B">
        <w:rPr>
          <w:b/>
        </w:rPr>
        <w:t>en amélioration mais encore hétérogène</w:t>
      </w:r>
      <w:r w:rsidRPr="002C7D1B">
        <w:t>, avec :</w:t>
      </w:r>
    </w:p>
    <w:p w14:paraId="796AC65D" w14:textId="77777777" w:rsidR="005732CC" w:rsidRPr="002C7D1B" w:rsidRDefault="005732CC" w:rsidP="00474EC7">
      <w:pPr>
        <w:pStyle w:val="Paragraphe"/>
        <w:numPr>
          <w:ilvl w:val="0"/>
          <w:numId w:val="6"/>
        </w:numPr>
        <w:spacing w:after="0"/>
      </w:pPr>
      <w:proofErr w:type="gramStart"/>
      <w:r w:rsidRPr="002C7D1B">
        <w:t>des</w:t>
      </w:r>
      <w:proofErr w:type="gramEnd"/>
      <w:r w:rsidRPr="002C7D1B">
        <w:t xml:space="preserve"> domaines bien maîtrisés (finance, dépenses) </w:t>
      </w:r>
    </w:p>
    <w:p w14:paraId="1048E4F6" w14:textId="77777777" w:rsidR="005732CC" w:rsidRPr="002C7D1B" w:rsidRDefault="005732CC" w:rsidP="00474EC7">
      <w:pPr>
        <w:pStyle w:val="Paragraphe"/>
        <w:numPr>
          <w:ilvl w:val="0"/>
          <w:numId w:val="6"/>
        </w:numPr>
        <w:spacing w:after="0"/>
      </w:pPr>
      <w:proofErr w:type="gramStart"/>
      <w:r w:rsidRPr="002C7D1B">
        <w:t>des</w:t>
      </w:r>
      <w:proofErr w:type="gramEnd"/>
      <w:r w:rsidRPr="002C7D1B">
        <w:t xml:space="preserve"> domaines à risque élevé (IT, gouvernance des données)</w:t>
      </w:r>
    </w:p>
    <w:p w14:paraId="447C9835" w14:textId="34A30592" w:rsidR="00230267" w:rsidRPr="00D36680" w:rsidRDefault="00370741" w:rsidP="003B322E">
      <w:pPr>
        <w:spacing w:after="0" w:line="240" w:lineRule="auto"/>
        <w:rPr>
          <w:rFonts w:ascii="Verdana" w:hAnsi="Verdana" w:cs="Calibri"/>
          <w:sz w:val="20"/>
          <w:szCs w:val="20"/>
        </w:rPr>
      </w:pPr>
      <w:r>
        <w:rPr>
          <w:rFonts w:ascii="Verdana" w:hAnsi="Verdana" w:cs="Calibri"/>
          <w:b/>
          <w:sz w:val="20"/>
          <w:szCs w:val="20"/>
        </w:rPr>
        <w:t>Points d’attention :</w:t>
      </w:r>
    </w:p>
    <w:p w14:paraId="714EF9FE" w14:textId="16141D78" w:rsidR="005732CC" w:rsidRPr="00D36680" w:rsidRDefault="005732CC" w:rsidP="00474EC7">
      <w:pPr>
        <w:pStyle w:val="Titrepartie"/>
        <w:numPr>
          <w:ilvl w:val="0"/>
          <w:numId w:val="6"/>
        </w:numPr>
        <w:rPr>
          <w:b w:val="0"/>
          <w:color w:val="auto"/>
          <w:sz w:val="20"/>
        </w:rPr>
      </w:pPr>
      <w:r w:rsidRPr="00D36680">
        <w:rPr>
          <w:b w:val="0"/>
          <w:color w:val="auto"/>
          <w:sz w:val="20"/>
        </w:rPr>
        <w:t xml:space="preserve">29 % des recommandations restent ouvertes </w:t>
      </w:r>
    </w:p>
    <w:p w14:paraId="1E1C2CEE" w14:textId="77777777" w:rsidR="00AD7FE1" w:rsidRDefault="005732CC" w:rsidP="00474EC7">
      <w:pPr>
        <w:pStyle w:val="Titrepartie"/>
        <w:numPr>
          <w:ilvl w:val="0"/>
          <w:numId w:val="6"/>
        </w:numPr>
        <w:rPr>
          <w:b w:val="0"/>
          <w:color w:val="auto"/>
          <w:sz w:val="20"/>
        </w:rPr>
      </w:pPr>
      <w:r w:rsidRPr="00D36680">
        <w:rPr>
          <w:b w:val="0"/>
          <w:color w:val="auto"/>
          <w:sz w:val="20"/>
        </w:rPr>
        <w:t>Retards sur des sujets structurants (IT, comptabilité, systèmes)</w:t>
      </w:r>
    </w:p>
    <w:p w14:paraId="5DB53868" w14:textId="77777777" w:rsidR="00E41B67" w:rsidRDefault="00825120" w:rsidP="00474EC7">
      <w:pPr>
        <w:pStyle w:val="Titrepartie"/>
        <w:numPr>
          <w:ilvl w:val="0"/>
          <w:numId w:val="6"/>
        </w:numPr>
        <w:rPr>
          <w:b w:val="0"/>
          <w:color w:val="auto"/>
          <w:sz w:val="20"/>
        </w:rPr>
      </w:pPr>
      <w:r w:rsidRPr="00DD182A">
        <w:rPr>
          <w:b w:val="0"/>
          <w:bCs w:val="0"/>
          <w:noProof/>
          <w:color w:val="auto"/>
          <w:sz w:val="20"/>
        </w:rPr>
        <w:t>registre des risques encore peu utilisé comme outil de pilotage</w:t>
      </w:r>
    </w:p>
    <w:p w14:paraId="01CAD0D4" w14:textId="747C4021" w:rsidR="00CC1653" w:rsidRPr="00E41B67" w:rsidRDefault="00E41B67" w:rsidP="00E41B67">
      <w:pPr>
        <w:pStyle w:val="Titrepartie"/>
        <w:numPr>
          <w:ilvl w:val="0"/>
          <w:numId w:val="0"/>
        </w:numPr>
        <w:ind w:left="720"/>
        <w:rPr>
          <w:b w:val="0"/>
          <w:color w:val="auto"/>
          <w:sz w:val="20"/>
        </w:rPr>
      </w:pPr>
      <w:r>
        <w:rPr>
          <w:noProof/>
        </w:rPr>
        <w:lastRenderedPageBreak/>
        <w:drawing>
          <wp:anchor distT="0" distB="0" distL="114300" distR="114300" simplePos="0" relativeHeight="251658240" behindDoc="1" locked="0" layoutInCell="1" allowOverlap="1" wp14:anchorId="4CB8E934" wp14:editId="12683C95">
            <wp:simplePos x="0" y="0"/>
            <wp:positionH relativeFrom="margin">
              <wp:posOffset>484505</wp:posOffset>
            </wp:positionH>
            <wp:positionV relativeFrom="margin">
              <wp:posOffset>184785</wp:posOffset>
            </wp:positionV>
            <wp:extent cx="5308600" cy="2343150"/>
            <wp:effectExtent l="0" t="0" r="6350" b="0"/>
            <wp:wrapSquare wrapText="bothSides"/>
            <wp:docPr id="1774493521" name="Graphique 1">
              <a:extLst xmlns:a="http://schemas.openxmlformats.org/drawingml/2006/main">
                <a:ext uri="{FF2B5EF4-FFF2-40B4-BE49-F238E27FC236}">
                  <a16:creationId xmlns:a16="http://schemas.microsoft.com/office/drawing/2014/main" id="{35FC805B-3CE5-4789-983C-985E6D82E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11EF87C3" w14:textId="0DE045E6" w:rsidR="00463F0E" w:rsidRDefault="00463F0E" w:rsidP="00A431F9">
      <w:pPr>
        <w:pStyle w:val="Paragraphe"/>
        <w:spacing w:after="120"/>
      </w:pPr>
    </w:p>
    <w:p w14:paraId="2E479CFF" w14:textId="045FA155" w:rsidR="004061DE" w:rsidRDefault="00811744" w:rsidP="00954E2D">
      <w:pPr>
        <w:pStyle w:val="Sous-partie2"/>
      </w:pPr>
      <w:r>
        <w:t>Rapport du commissaire aux comptes sur les Etats financiers du SG-COI</w:t>
      </w:r>
    </w:p>
    <w:p w14:paraId="0B1E9223" w14:textId="14C13BBF" w:rsidR="00CA1A2E" w:rsidRPr="00CA1A2E" w:rsidRDefault="00CA1A2E" w:rsidP="0027702F">
      <w:pPr>
        <w:pStyle w:val="Titrepartie"/>
        <w:numPr>
          <w:ilvl w:val="0"/>
          <w:numId w:val="0"/>
        </w:numPr>
        <w:spacing w:after="120"/>
        <w:contextualSpacing w:val="0"/>
        <w:rPr>
          <w:b w:val="0"/>
          <w:bCs w:val="0"/>
          <w:color w:val="000000" w:themeColor="text1"/>
          <w:sz w:val="20"/>
        </w:rPr>
      </w:pPr>
      <w:r w:rsidRPr="00CA1A2E">
        <w:rPr>
          <w:b w:val="0"/>
          <w:bCs w:val="0"/>
          <w:color w:val="000000" w:themeColor="text1"/>
          <w:sz w:val="20"/>
        </w:rPr>
        <w:t>Sur le plan financier, la situation de la COI est globalement saine.</w:t>
      </w:r>
    </w:p>
    <w:p w14:paraId="573E1F3A" w14:textId="67DEF651" w:rsidR="00CA1A2E" w:rsidRPr="00CA1A2E" w:rsidRDefault="00CA1A2E" w:rsidP="00474EC7">
      <w:pPr>
        <w:pStyle w:val="Titrepartie"/>
        <w:numPr>
          <w:ilvl w:val="0"/>
          <w:numId w:val="9"/>
        </w:numPr>
        <w:spacing w:after="120"/>
        <w:rPr>
          <w:b w:val="0"/>
          <w:bCs w:val="0"/>
          <w:color w:val="000000" w:themeColor="text1"/>
          <w:sz w:val="20"/>
        </w:rPr>
      </w:pPr>
      <w:r w:rsidRPr="00CA1A2E">
        <w:rPr>
          <w:b w:val="0"/>
          <w:bCs w:val="0"/>
          <w:color w:val="000000" w:themeColor="text1"/>
          <w:sz w:val="20"/>
        </w:rPr>
        <w:t>L’exercice 2025 se clôture avec un résultat positif de 157 000 euros environ, en baisse par rapport à 2024 mais restant excédentaire</w:t>
      </w:r>
      <w:r w:rsidR="00A141ED">
        <w:rPr>
          <w:b w:val="0"/>
          <w:bCs w:val="0"/>
          <w:color w:val="000000" w:themeColor="text1"/>
          <w:sz w:val="20"/>
        </w:rPr>
        <w:t>.</w:t>
      </w:r>
    </w:p>
    <w:p w14:paraId="7028101B" w14:textId="6A44AE48" w:rsidR="00CA1A2E" w:rsidRDefault="00CA1A2E" w:rsidP="00474EC7">
      <w:pPr>
        <w:pStyle w:val="Titrepartie"/>
        <w:numPr>
          <w:ilvl w:val="0"/>
          <w:numId w:val="9"/>
        </w:numPr>
        <w:spacing w:after="120"/>
        <w:rPr>
          <w:b w:val="0"/>
          <w:bCs w:val="0"/>
          <w:color w:val="000000" w:themeColor="text1"/>
          <w:sz w:val="20"/>
        </w:rPr>
      </w:pPr>
      <w:r w:rsidRPr="00CA1A2E">
        <w:rPr>
          <w:b w:val="0"/>
          <w:bCs w:val="0"/>
          <w:color w:val="000000" w:themeColor="text1"/>
          <w:sz w:val="20"/>
        </w:rPr>
        <w:t>La trésorerie est en nette progression, atteignant environ 1,9 million d’euros, ce qui renforce la capacité de l’organisation à faire face à ses engagements</w:t>
      </w:r>
      <w:r w:rsidR="00A141ED">
        <w:rPr>
          <w:b w:val="0"/>
          <w:bCs w:val="0"/>
          <w:color w:val="000000" w:themeColor="text1"/>
          <w:sz w:val="20"/>
        </w:rPr>
        <w:t>.</w:t>
      </w:r>
    </w:p>
    <w:p w14:paraId="69459A91" w14:textId="6F9C6C6C" w:rsidR="004061DE" w:rsidRDefault="00CA1A2E" w:rsidP="00474EC7">
      <w:pPr>
        <w:pStyle w:val="Titrepartie"/>
        <w:numPr>
          <w:ilvl w:val="0"/>
          <w:numId w:val="9"/>
        </w:numPr>
        <w:spacing w:after="120"/>
        <w:ind w:left="714" w:hanging="357"/>
        <w:contextualSpacing w:val="0"/>
        <w:rPr>
          <w:b w:val="0"/>
          <w:bCs w:val="0"/>
          <w:color w:val="000000" w:themeColor="text1"/>
          <w:sz w:val="20"/>
        </w:rPr>
      </w:pPr>
      <w:r w:rsidRPr="00CA1A2E">
        <w:rPr>
          <w:b w:val="0"/>
          <w:bCs w:val="0"/>
          <w:color w:val="000000" w:themeColor="text1"/>
          <w:sz w:val="20"/>
        </w:rPr>
        <w:t>Les capitaux propres augmentent, traduisant une consolidation progressive de la situation financièr</w:t>
      </w:r>
      <w:r>
        <w:rPr>
          <w:b w:val="0"/>
          <w:bCs w:val="0"/>
          <w:color w:val="000000" w:themeColor="text1"/>
          <w:sz w:val="20"/>
        </w:rPr>
        <w:t>e</w:t>
      </w:r>
      <w:r w:rsidR="00A141ED">
        <w:rPr>
          <w:b w:val="0"/>
          <w:bCs w:val="0"/>
          <w:color w:val="000000" w:themeColor="text1"/>
          <w:sz w:val="20"/>
        </w:rPr>
        <w:t>.</w:t>
      </w:r>
    </w:p>
    <w:p w14:paraId="2362B186" w14:textId="39B73C59" w:rsidR="00CA1A2E" w:rsidRDefault="00626929" w:rsidP="00CA1A2E">
      <w:pPr>
        <w:pStyle w:val="Titrepartie"/>
        <w:numPr>
          <w:ilvl w:val="0"/>
          <w:numId w:val="0"/>
        </w:numPr>
        <w:spacing w:after="120"/>
        <w:rPr>
          <w:b w:val="0"/>
          <w:bCs w:val="0"/>
          <w:color w:val="000000" w:themeColor="text1"/>
          <w:sz w:val="20"/>
        </w:rPr>
      </w:pPr>
      <w:r>
        <w:rPr>
          <w:b w:val="0"/>
          <w:bCs w:val="0"/>
          <w:color w:val="000000" w:themeColor="text1"/>
          <w:sz w:val="20"/>
        </w:rPr>
        <w:t xml:space="preserve">Le Commissaire aux comptes émet une opinion </w:t>
      </w:r>
      <w:r w:rsidRPr="00885564">
        <w:rPr>
          <w:color w:val="000000" w:themeColor="text1"/>
          <w:sz w:val="20"/>
        </w:rPr>
        <w:t>sans réserve</w:t>
      </w:r>
      <w:r w:rsidR="0051163F">
        <w:rPr>
          <w:b w:val="0"/>
          <w:bCs w:val="0"/>
          <w:color w:val="000000" w:themeColor="text1"/>
          <w:sz w:val="20"/>
        </w:rPr>
        <w:t xml:space="preserve"> signifiant que </w:t>
      </w:r>
      <w:r w:rsidR="0051163F" w:rsidRPr="00885564">
        <w:rPr>
          <w:color w:val="000000" w:themeColor="text1"/>
          <w:sz w:val="20"/>
        </w:rPr>
        <w:t>les états financiers donnent une image fidèle de la situation financière</w:t>
      </w:r>
      <w:r w:rsidR="0051163F">
        <w:rPr>
          <w:b w:val="0"/>
          <w:bCs w:val="0"/>
          <w:color w:val="000000" w:themeColor="text1"/>
          <w:sz w:val="20"/>
        </w:rPr>
        <w:t xml:space="preserve"> et </w:t>
      </w:r>
      <w:r w:rsidR="00757D60">
        <w:rPr>
          <w:b w:val="0"/>
          <w:bCs w:val="0"/>
          <w:color w:val="000000" w:themeColor="text1"/>
          <w:sz w:val="20"/>
        </w:rPr>
        <w:t>sont conformes aux normes IFRS.</w:t>
      </w:r>
    </w:p>
    <w:p w14:paraId="40224445" w14:textId="590F292B" w:rsidR="00CA1A2E" w:rsidRPr="00CA1A2E" w:rsidRDefault="00757D60" w:rsidP="00CA1A2E">
      <w:pPr>
        <w:pStyle w:val="Titrepartie"/>
        <w:numPr>
          <w:ilvl w:val="0"/>
          <w:numId w:val="0"/>
        </w:numPr>
        <w:spacing w:after="120"/>
        <w:rPr>
          <w:b w:val="0"/>
          <w:bCs w:val="0"/>
          <w:color w:val="000000" w:themeColor="text1"/>
          <w:sz w:val="20"/>
        </w:rPr>
      </w:pPr>
      <w:r>
        <w:rPr>
          <w:b w:val="0"/>
          <w:bCs w:val="0"/>
          <w:color w:val="000000" w:themeColor="text1"/>
          <w:sz w:val="20"/>
        </w:rPr>
        <w:t xml:space="preserve">Toutefois, </w:t>
      </w:r>
      <w:r w:rsidR="00057CED">
        <w:rPr>
          <w:b w:val="0"/>
          <w:bCs w:val="0"/>
          <w:color w:val="000000" w:themeColor="text1"/>
          <w:sz w:val="20"/>
        </w:rPr>
        <w:t xml:space="preserve">le </w:t>
      </w:r>
      <w:r w:rsidR="003230F8">
        <w:rPr>
          <w:b w:val="0"/>
          <w:bCs w:val="0"/>
          <w:color w:val="000000" w:themeColor="text1"/>
          <w:sz w:val="20"/>
        </w:rPr>
        <w:t>« </w:t>
      </w:r>
      <w:r w:rsidR="00057CED">
        <w:rPr>
          <w:b w:val="0"/>
          <w:bCs w:val="0"/>
          <w:color w:val="000000" w:themeColor="text1"/>
          <w:sz w:val="20"/>
        </w:rPr>
        <w:t xml:space="preserve">management </w:t>
      </w:r>
      <w:proofErr w:type="spellStart"/>
      <w:r w:rsidR="00057CED">
        <w:rPr>
          <w:b w:val="0"/>
          <w:bCs w:val="0"/>
          <w:color w:val="000000" w:themeColor="text1"/>
          <w:sz w:val="20"/>
        </w:rPr>
        <w:t>letter</w:t>
      </w:r>
      <w:proofErr w:type="spellEnd"/>
      <w:r w:rsidR="003230F8">
        <w:rPr>
          <w:b w:val="0"/>
          <w:bCs w:val="0"/>
          <w:color w:val="000000" w:themeColor="text1"/>
          <w:sz w:val="20"/>
        </w:rPr>
        <w:t> »</w:t>
      </w:r>
      <w:r w:rsidR="00057CED">
        <w:rPr>
          <w:b w:val="0"/>
          <w:bCs w:val="0"/>
          <w:color w:val="000000" w:themeColor="text1"/>
          <w:sz w:val="20"/>
        </w:rPr>
        <w:t xml:space="preserve"> attire l’attention de la COI </w:t>
      </w:r>
      <w:r w:rsidR="00030C24">
        <w:rPr>
          <w:b w:val="0"/>
          <w:bCs w:val="0"/>
          <w:color w:val="000000" w:themeColor="text1"/>
          <w:sz w:val="20"/>
        </w:rPr>
        <w:t>au</w:t>
      </w:r>
      <w:r w:rsidR="00057CED">
        <w:rPr>
          <w:b w:val="0"/>
          <w:bCs w:val="0"/>
          <w:color w:val="000000" w:themeColor="text1"/>
          <w:sz w:val="20"/>
        </w:rPr>
        <w:t xml:space="preserve"> </w:t>
      </w:r>
      <w:r w:rsidR="00915D67">
        <w:rPr>
          <w:b w:val="0"/>
          <w:bCs w:val="0"/>
          <w:color w:val="000000" w:themeColor="text1"/>
          <w:sz w:val="20"/>
        </w:rPr>
        <w:t>renforcement</w:t>
      </w:r>
      <w:r w:rsidR="00057CED">
        <w:rPr>
          <w:b w:val="0"/>
          <w:bCs w:val="0"/>
          <w:color w:val="000000" w:themeColor="text1"/>
          <w:sz w:val="20"/>
        </w:rPr>
        <w:t xml:space="preserve"> d</w:t>
      </w:r>
      <w:r w:rsidR="003230F8">
        <w:rPr>
          <w:b w:val="0"/>
          <w:bCs w:val="0"/>
          <w:color w:val="000000" w:themeColor="text1"/>
          <w:sz w:val="20"/>
        </w:rPr>
        <w:t>u contrôle interne et de la gouvernance</w:t>
      </w:r>
      <w:r w:rsidR="00030C24">
        <w:rPr>
          <w:b w:val="0"/>
          <w:bCs w:val="0"/>
          <w:color w:val="000000" w:themeColor="text1"/>
          <w:sz w:val="20"/>
        </w:rPr>
        <w:t>, notamment les marchés, les règles internes et l’</w:t>
      </w:r>
      <w:r w:rsidR="00915D67">
        <w:rPr>
          <w:b w:val="0"/>
          <w:bCs w:val="0"/>
          <w:color w:val="000000" w:themeColor="text1"/>
          <w:sz w:val="20"/>
        </w:rPr>
        <w:t>organisation</w:t>
      </w:r>
      <w:r w:rsidR="00030C24">
        <w:rPr>
          <w:b w:val="0"/>
          <w:bCs w:val="0"/>
          <w:color w:val="000000" w:themeColor="text1"/>
          <w:sz w:val="20"/>
        </w:rPr>
        <w:t xml:space="preserve"> des fonctions de contrôle.</w:t>
      </w:r>
    </w:p>
    <w:p w14:paraId="4B422E3C" w14:textId="472ED5DB" w:rsidR="00954E2D" w:rsidRDefault="00954E2D" w:rsidP="00954E2D">
      <w:pPr>
        <w:pStyle w:val="Sous-partie2"/>
      </w:pPr>
      <w:r>
        <w:t>Comité d’audit et des risques</w:t>
      </w:r>
      <w:r w:rsidR="00D21193">
        <w:t xml:space="preserve"> (CAR)</w:t>
      </w:r>
    </w:p>
    <w:p w14:paraId="08D1821F" w14:textId="529A33D8" w:rsidR="003C1885" w:rsidRDefault="00132921" w:rsidP="00AB235C">
      <w:pPr>
        <w:pStyle w:val="Titrepartie"/>
        <w:numPr>
          <w:ilvl w:val="0"/>
          <w:numId w:val="0"/>
        </w:numPr>
        <w:spacing w:after="120"/>
        <w:contextualSpacing w:val="0"/>
        <w:rPr>
          <w:b w:val="0"/>
          <w:bCs w:val="0"/>
          <w:color w:val="000000" w:themeColor="text1"/>
          <w:sz w:val="20"/>
        </w:rPr>
      </w:pPr>
      <w:r>
        <w:rPr>
          <w:b w:val="0"/>
          <w:bCs w:val="0"/>
          <w:color w:val="000000" w:themeColor="text1"/>
          <w:sz w:val="20"/>
        </w:rPr>
        <w:t xml:space="preserve">Sur la base des travaux menés lors de sa réunion, le CAR formule les </w:t>
      </w:r>
      <w:r w:rsidR="003C1885">
        <w:rPr>
          <w:b w:val="0"/>
          <w:bCs w:val="0"/>
          <w:color w:val="000000" w:themeColor="text1"/>
          <w:sz w:val="20"/>
        </w:rPr>
        <w:t>recommandations</w:t>
      </w:r>
      <w:r>
        <w:rPr>
          <w:b w:val="0"/>
          <w:bCs w:val="0"/>
          <w:color w:val="000000" w:themeColor="text1"/>
          <w:sz w:val="20"/>
        </w:rPr>
        <w:t xml:space="preserve"> suivantes, structurées autour des principaux axes de renforcement de la gouvernance, de la gestion des risques et de la performance de l’organisation </w:t>
      </w:r>
      <w:r w:rsidR="0027702F">
        <w:rPr>
          <w:b w:val="0"/>
          <w:bCs w:val="0"/>
          <w:color w:val="000000" w:themeColor="text1"/>
          <w:sz w:val="20"/>
        </w:rPr>
        <w:t>:</w:t>
      </w:r>
    </w:p>
    <w:p w14:paraId="55F1F0D7" w14:textId="77777777" w:rsidR="003C1885" w:rsidRPr="003C1885" w:rsidRDefault="003C1885" w:rsidP="003C1885">
      <w:pPr>
        <w:pStyle w:val="Titrepartie"/>
        <w:numPr>
          <w:ilvl w:val="0"/>
          <w:numId w:val="0"/>
        </w:numPr>
        <w:spacing w:after="120"/>
        <w:rPr>
          <w:color w:val="000000" w:themeColor="text1"/>
          <w:sz w:val="20"/>
          <w:lang/>
        </w:rPr>
      </w:pPr>
      <w:r w:rsidRPr="003C1885">
        <w:rPr>
          <w:color w:val="000000" w:themeColor="text1"/>
          <w:sz w:val="20"/>
          <w:lang/>
        </w:rPr>
        <w:t>Gouvernance, gestion des risques et pilotage</w:t>
      </w:r>
    </w:p>
    <w:p w14:paraId="3DB13AE7" w14:textId="77777777" w:rsidR="003C1885" w:rsidRPr="003C1885" w:rsidRDefault="003C1885" w:rsidP="003C1885">
      <w:pPr>
        <w:pStyle w:val="Titrepartie"/>
        <w:numPr>
          <w:ilvl w:val="0"/>
          <w:numId w:val="12"/>
        </w:numPr>
        <w:spacing w:after="120"/>
        <w:rPr>
          <w:b w:val="0"/>
          <w:bCs w:val="0"/>
          <w:color w:val="000000" w:themeColor="text1"/>
          <w:sz w:val="20"/>
          <w:lang/>
        </w:rPr>
      </w:pPr>
      <w:r w:rsidRPr="003C1885">
        <w:rPr>
          <w:b w:val="0"/>
          <w:bCs w:val="0"/>
          <w:color w:val="000000" w:themeColor="text1"/>
          <w:sz w:val="20"/>
          <w:lang/>
        </w:rPr>
        <w:t xml:space="preserve">Rendre pleinement opérationnels les dispositifs de gestion des risques et de suivi-évaluation. </w:t>
      </w:r>
    </w:p>
    <w:p w14:paraId="532D7EBE" w14:textId="77777777" w:rsidR="003C1885" w:rsidRPr="003C1885" w:rsidRDefault="003C1885" w:rsidP="003C1885">
      <w:pPr>
        <w:pStyle w:val="Titrepartie"/>
        <w:numPr>
          <w:ilvl w:val="0"/>
          <w:numId w:val="12"/>
        </w:numPr>
        <w:spacing w:after="120"/>
        <w:rPr>
          <w:b w:val="0"/>
          <w:bCs w:val="0"/>
          <w:color w:val="000000" w:themeColor="text1"/>
          <w:sz w:val="20"/>
          <w:lang/>
        </w:rPr>
      </w:pPr>
      <w:r w:rsidRPr="003C1885">
        <w:rPr>
          <w:b w:val="0"/>
          <w:bCs w:val="0"/>
          <w:color w:val="000000" w:themeColor="text1"/>
          <w:sz w:val="20"/>
          <w:lang/>
        </w:rPr>
        <w:t xml:space="preserve">Prioriser, dès 2026, les audits sur les domaines à haut risque (systèmes d’information, cybersécurité, passation de marchés, suivi-évaluation, gestion des subventions) et renforcer leur pilotage à travers un reporting régulier au CAR. </w:t>
      </w:r>
    </w:p>
    <w:p w14:paraId="13641C2A" w14:textId="77777777" w:rsidR="003C1885" w:rsidRPr="003C1885" w:rsidRDefault="003C1885" w:rsidP="003C1885">
      <w:pPr>
        <w:pStyle w:val="Titrepartie"/>
        <w:numPr>
          <w:ilvl w:val="0"/>
          <w:numId w:val="12"/>
        </w:numPr>
        <w:spacing w:after="120"/>
        <w:rPr>
          <w:b w:val="0"/>
          <w:bCs w:val="0"/>
          <w:color w:val="000000" w:themeColor="text1"/>
          <w:sz w:val="20"/>
          <w:lang/>
        </w:rPr>
      </w:pPr>
      <w:r w:rsidRPr="003C1885">
        <w:rPr>
          <w:b w:val="0"/>
          <w:bCs w:val="0"/>
          <w:color w:val="000000" w:themeColor="text1"/>
          <w:sz w:val="20"/>
          <w:lang/>
        </w:rPr>
        <w:t xml:space="preserve">Ajuster, en tant que de besoin, le plan annuel d’audit afin d’intégrer les risques identifiés, notamment issus du registre des alertes. </w:t>
      </w:r>
    </w:p>
    <w:p w14:paraId="02992245" w14:textId="77777777" w:rsidR="003C1885" w:rsidRPr="003C1885" w:rsidRDefault="003C1885" w:rsidP="003C1885">
      <w:pPr>
        <w:pStyle w:val="Titrepartie"/>
        <w:numPr>
          <w:ilvl w:val="0"/>
          <w:numId w:val="12"/>
        </w:numPr>
        <w:spacing w:after="120"/>
        <w:rPr>
          <w:b w:val="0"/>
          <w:bCs w:val="0"/>
          <w:color w:val="000000" w:themeColor="text1"/>
          <w:sz w:val="20"/>
          <w:lang/>
        </w:rPr>
      </w:pPr>
      <w:r w:rsidRPr="003C1885">
        <w:rPr>
          <w:b w:val="0"/>
          <w:bCs w:val="0"/>
          <w:color w:val="000000" w:themeColor="text1"/>
          <w:sz w:val="20"/>
          <w:lang/>
        </w:rPr>
        <w:t xml:space="preserve">Accélérer la mise en œuvre des recommandations d’audit et en renforcer le suivi. </w:t>
      </w:r>
    </w:p>
    <w:p w14:paraId="779E6055" w14:textId="77777777" w:rsidR="005833F1" w:rsidRPr="005833F1" w:rsidRDefault="005833F1" w:rsidP="005833F1">
      <w:pPr>
        <w:pStyle w:val="Titrepartie"/>
        <w:numPr>
          <w:ilvl w:val="0"/>
          <w:numId w:val="0"/>
        </w:numPr>
        <w:spacing w:after="120"/>
        <w:rPr>
          <w:color w:val="000000" w:themeColor="text1"/>
          <w:sz w:val="20"/>
          <w:lang/>
        </w:rPr>
      </w:pPr>
      <w:r w:rsidRPr="005833F1">
        <w:rPr>
          <w:color w:val="000000" w:themeColor="text1"/>
          <w:sz w:val="20"/>
          <w:lang/>
        </w:rPr>
        <w:t>Audit interne et capacités institutionnelles</w:t>
      </w:r>
    </w:p>
    <w:p w14:paraId="11E2A6C0" w14:textId="799AA721" w:rsidR="005833F1" w:rsidRPr="005833F1" w:rsidRDefault="00810520" w:rsidP="005833F1">
      <w:pPr>
        <w:pStyle w:val="Titrepartie"/>
        <w:numPr>
          <w:ilvl w:val="0"/>
          <w:numId w:val="14"/>
        </w:numPr>
        <w:spacing w:after="120"/>
        <w:rPr>
          <w:b w:val="0"/>
          <w:bCs w:val="0"/>
          <w:color w:val="000000" w:themeColor="text1"/>
          <w:sz w:val="20"/>
          <w:lang/>
        </w:rPr>
      </w:pPr>
      <w:r w:rsidRPr="00810520">
        <w:rPr>
          <w:b w:val="0"/>
          <w:bCs w:val="0"/>
          <w:color w:val="000000" w:themeColor="text1"/>
          <w:sz w:val="20"/>
        </w:rPr>
        <w:t>Renforcer les ressources et les capacités du Service d’audit interne, notamment en expertise technique, tout en garantissant son indépendance</w:t>
      </w:r>
      <w:r w:rsidR="005833F1" w:rsidRPr="005833F1">
        <w:rPr>
          <w:b w:val="0"/>
          <w:bCs w:val="0"/>
          <w:color w:val="000000" w:themeColor="text1"/>
          <w:sz w:val="20"/>
          <w:lang/>
        </w:rPr>
        <w:t xml:space="preserve">. </w:t>
      </w:r>
    </w:p>
    <w:p w14:paraId="3F23CF9E" w14:textId="31D5CFE1" w:rsidR="005833F1" w:rsidRPr="005833F1" w:rsidRDefault="005833F1" w:rsidP="005833F1">
      <w:pPr>
        <w:pStyle w:val="Titrepartie"/>
        <w:numPr>
          <w:ilvl w:val="0"/>
          <w:numId w:val="14"/>
        </w:numPr>
        <w:spacing w:after="120"/>
        <w:rPr>
          <w:b w:val="0"/>
          <w:bCs w:val="0"/>
          <w:color w:val="000000" w:themeColor="text1"/>
          <w:sz w:val="20"/>
          <w:lang/>
        </w:rPr>
      </w:pPr>
      <w:r w:rsidRPr="005833F1">
        <w:rPr>
          <w:b w:val="0"/>
          <w:bCs w:val="0"/>
          <w:color w:val="000000" w:themeColor="text1"/>
          <w:sz w:val="20"/>
          <w:lang/>
        </w:rPr>
        <w:t xml:space="preserve">Étudier la mobilisation du financement Horizon 2030 afin de soutenir le Service d’audit interne </w:t>
      </w:r>
      <w:r w:rsidR="00B6265C">
        <w:rPr>
          <w:b w:val="0"/>
          <w:bCs w:val="0"/>
          <w:color w:val="000000" w:themeColor="text1"/>
          <w:sz w:val="20"/>
          <w:lang/>
        </w:rPr>
        <w:t xml:space="preserve">à </w:t>
      </w:r>
      <w:r w:rsidR="00FD3975">
        <w:rPr>
          <w:b w:val="0"/>
          <w:bCs w:val="0"/>
          <w:color w:val="000000" w:themeColor="text1"/>
          <w:sz w:val="20"/>
          <w:lang/>
        </w:rPr>
        <w:t>couvrir auprès des</w:t>
      </w:r>
      <w:r w:rsidR="00B6265C">
        <w:rPr>
          <w:b w:val="0"/>
          <w:bCs w:val="0"/>
          <w:color w:val="000000" w:themeColor="text1"/>
          <w:sz w:val="20"/>
          <w:lang/>
        </w:rPr>
        <w:t xml:space="preserve"> zones à risques résiduels élevé</w:t>
      </w:r>
      <w:r w:rsidR="00FD3975">
        <w:rPr>
          <w:b w:val="0"/>
          <w:bCs w:val="0"/>
          <w:color w:val="000000" w:themeColor="text1"/>
          <w:sz w:val="20"/>
          <w:lang/>
        </w:rPr>
        <w:t>s</w:t>
      </w:r>
      <w:r w:rsidRPr="005833F1">
        <w:rPr>
          <w:b w:val="0"/>
          <w:bCs w:val="0"/>
          <w:color w:val="000000" w:themeColor="text1"/>
          <w:sz w:val="20"/>
          <w:lang/>
        </w:rPr>
        <w:t xml:space="preserve">. </w:t>
      </w:r>
    </w:p>
    <w:p w14:paraId="5BE0BF42" w14:textId="63FF63E6" w:rsidR="005833F1" w:rsidRDefault="005833F1" w:rsidP="005833F1">
      <w:pPr>
        <w:pStyle w:val="Titrepartie"/>
        <w:numPr>
          <w:ilvl w:val="0"/>
          <w:numId w:val="14"/>
        </w:numPr>
        <w:spacing w:after="120"/>
        <w:rPr>
          <w:b w:val="0"/>
          <w:bCs w:val="0"/>
          <w:color w:val="000000" w:themeColor="text1"/>
          <w:sz w:val="20"/>
          <w:lang/>
        </w:rPr>
      </w:pPr>
      <w:r w:rsidRPr="005833F1">
        <w:rPr>
          <w:b w:val="0"/>
          <w:bCs w:val="0"/>
          <w:color w:val="000000" w:themeColor="text1"/>
          <w:sz w:val="20"/>
          <w:lang/>
        </w:rPr>
        <w:t>Poursuivre la mise en conformité du Service d’audit interne avec les normes internationales, notamment à travers la mise à jour des outils, des indicateurs, des procédures et la réalisation d</w:t>
      </w:r>
      <w:r w:rsidR="003D1283">
        <w:rPr>
          <w:b w:val="0"/>
          <w:bCs w:val="0"/>
          <w:color w:val="000000" w:themeColor="text1"/>
          <w:sz w:val="20"/>
          <w:lang/>
        </w:rPr>
        <w:t>e la validat</w:t>
      </w:r>
      <w:r w:rsidR="00714958">
        <w:rPr>
          <w:b w:val="0"/>
          <w:bCs w:val="0"/>
          <w:color w:val="000000" w:themeColor="text1"/>
          <w:sz w:val="20"/>
          <w:lang/>
        </w:rPr>
        <w:t>ion externe de l’auto-évaluation de la qualité du Service d’audit interne</w:t>
      </w:r>
      <w:r w:rsidRPr="005833F1">
        <w:rPr>
          <w:b w:val="0"/>
          <w:bCs w:val="0"/>
          <w:color w:val="000000" w:themeColor="text1"/>
          <w:sz w:val="20"/>
          <w:lang/>
        </w:rPr>
        <w:t>.</w:t>
      </w:r>
    </w:p>
    <w:p w14:paraId="2E5771C0" w14:textId="77777777" w:rsidR="00691E4A" w:rsidRPr="00691E4A" w:rsidRDefault="00691E4A" w:rsidP="00691E4A">
      <w:pPr>
        <w:pStyle w:val="Titrepartie"/>
        <w:numPr>
          <w:ilvl w:val="0"/>
          <w:numId w:val="0"/>
        </w:numPr>
        <w:spacing w:after="120"/>
        <w:rPr>
          <w:color w:val="000000" w:themeColor="text1"/>
          <w:sz w:val="20"/>
          <w:lang/>
        </w:rPr>
      </w:pPr>
      <w:r w:rsidRPr="00691E4A">
        <w:rPr>
          <w:color w:val="000000" w:themeColor="text1"/>
          <w:sz w:val="20"/>
          <w:lang/>
        </w:rPr>
        <w:t>Gestion financière et conformité</w:t>
      </w:r>
    </w:p>
    <w:p w14:paraId="6BB39A9B" w14:textId="77777777" w:rsidR="00691E4A" w:rsidRPr="00691E4A" w:rsidRDefault="00691E4A" w:rsidP="00691E4A">
      <w:pPr>
        <w:pStyle w:val="Titrepartie"/>
        <w:numPr>
          <w:ilvl w:val="0"/>
          <w:numId w:val="16"/>
        </w:numPr>
        <w:spacing w:after="120"/>
        <w:rPr>
          <w:b w:val="0"/>
          <w:bCs w:val="0"/>
          <w:color w:val="000000" w:themeColor="text1"/>
          <w:sz w:val="20"/>
          <w:lang/>
        </w:rPr>
      </w:pPr>
      <w:r w:rsidRPr="00691E4A">
        <w:rPr>
          <w:b w:val="0"/>
          <w:bCs w:val="0"/>
          <w:color w:val="000000" w:themeColor="text1"/>
          <w:sz w:val="20"/>
          <w:lang/>
        </w:rPr>
        <w:t>Mettre en œuvre les recommandations du Commissaire aux comptes, notamment en matière de consolidation des états financiers et de traitement des dépenses inéligibles.</w:t>
      </w:r>
    </w:p>
    <w:p w14:paraId="643F0D90" w14:textId="77777777" w:rsidR="00691E4A" w:rsidRPr="00691E4A" w:rsidRDefault="00691E4A" w:rsidP="00691E4A">
      <w:pPr>
        <w:pStyle w:val="Titrepartie"/>
        <w:numPr>
          <w:ilvl w:val="0"/>
          <w:numId w:val="16"/>
        </w:numPr>
        <w:spacing w:after="120"/>
        <w:rPr>
          <w:b w:val="0"/>
          <w:bCs w:val="0"/>
          <w:color w:val="000000" w:themeColor="text1"/>
          <w:sz w:val="20"/>
          <w:lang/>
        </w:rPr>
      </w:pPr>
      <w:r w:rsidRPr="00691E4A">
        <w:rPr>
          <w:b w:val="0"/>
          <w:bCs w:val="0"/>
          <w:color w:val="000000" w:themeColor="text1"/>
          <w:sz w:val="20"/>
          <w:lang/>
        </w:rPr>
        <w:t>Améliorer la qualité du reporting financier, en particulier à travers la consolidation des états financiers et le renforcement des procédures de clôture.</w:t>
      </w:r>
    </w:p>
    <w:p w14:paraId="5BE92224" w14:textId="61F844D2" w:rsidR="00691E4A" w:rsidRPr="005833F1" w:rsidRDefault="00691E4A" w:rsidP="00691E4A">
      <w:pPr>
        <w:pStyle w:val="Titrepartie"/>
        <w:numPr>
          <w:ilvl w:val="0"/>
          <w:numId w:val="16"/>
        </w:numPr>
        <w:spacing w:after="120"/>
        <w:rPr>
          <w:b w:val="0"/>
          <w:bCs w:val="0"/>
          <w:color w:val="000000" w:themeColor="text1"/>
          <w:sz w:val="20"/>
          <w:lang/>
        </w:rPr>
      </w:pPr>
      <w:r w:rsidRPr="00691E4A">
        <w:rPr>
          <w:b w:val="0"/>
          <w:bCs w:val="0"/>
          <w:color w:val="000000" w:themeColor="text1"/>
          <w:sz w:val="20"/>
          <w:lang/>
        </w:rPr>
        <w:t>Formaliser, dans le règlement financier, les modalités de répartition des réserves en cas de cessation d’activités de la COI.</w:t>
      </w:r>
    </w:p>
    <w:p w14:paraId="66E0CD74" w14:textId="77777777" w:rsidR="008E2959" w:rsidRPr="008E2959" w:rsidRDefault="008E2959" w:rsidP="008E2959">
      <w:pPr>
        <w:pStyle w:val="Titrepartie"/>
        <w:numPr>
          <w:ilvl w:val="0"/>
          <w:numId w:val="0"/>
        </w:numPr>
        <w:spacing w:after="120"/>
        <w:rPr>
          <w:color w:val="000000" w:themeColor="text1"/>
          <w:sz w:val="20"/>
          <w:lang/>
        </w:rPr>
      </w:pPr>
      <w:r w:rsidRPr="008E2959">
        <w:rPr>
          <w:color w:val="000000" w:themeColor="text1"/>
          <w:sz w:val="20"/>
          <w:lang/>
        </w:rPr>
        <w:t>Contrôle interne et procédures</w:t>
      </w:r>
    </w:p>
    <w:p w14:paraId="5936BB46" w14:textId="77777777" w:rsidR="008E2959" w:rsidRPr="008E2959" w:rsidRDefault="008E2959" w:rsidP="008E2959">
      <w:pPr>
        <w:pStyle w:val="Titrepartie"/>
        <w:numPr>
          <w:ilvl w:val="0"/>
          <w:numId w:val="19"/>
        </w:numPr>
        <w:spacing w:after="120"/>
        <w:rPr>
          <w:b w:val="0"/>
          <w:bCs w:val="0"/>
          <w:color w:val="000000" w:themeColor="text1"/>
          <w:sz w:val="20"/>
          <w:lang/>
        </w:rPr>
      </w:pPr>
      <w:r w:rsidRPr="008E2959">
        <w:rPr>
          <w:b w:val="0"/>
          <w:bCs w:val="0"/>
          <w:color w:val="000000" w:themeColor="text1"/>
          <w:sz w:val="20"/>
          <w:lang/>
        </w:rPr>
        <w:t xml:space="preserve">Appliquer de manière effective les manuels de procédures afin de renforcer la conformité et le contrôle interne. </w:t>
      </w:r>
    </w:p>
    <w:p w14:paraId="23BB47FE" w14:textId="77777777" w:rsidR="008E2959" w:rsidRPr="008E2959" w:rsidRDefault="008E2959" w:rsidP="008E2959">
      <w:pPr>
        <w:pStyle w:val="Titrepartie"/>
        <w:numPr>
          <w:ilvl w:val="0"/>
          <w:numId w:val="19"/>
        </w:numPr>
        <w:spacing w:after="120"/>
        <w:rPr>
          <w:b w:val="0"/>
          <w:bCs w:val="0"/>
          <w:color w:val="000000" w:themeColor="text1"/>
          <w:sz w:val="20"/>
          <w:lang/>
        </w:rPr>
      </w:pPr>
      <w:r w:rsidRPr="008E2959">
        <w:rPr>
          <w:b w:val="0"/>
          <w:bCs w:val="0"/>
          <w:color w:val="000000" w:themeColor="text1"/>
          <w:sz w:val="20"/>
          <w:lang/>
        </w:rPr>
        <w:t>Rediscuter avec les services concernés les modalités de mise en œuvre du dispositif de “screening” des personnels externes intervenant au sein de la COI.</w:t>
      </w:r>
    </w:p>
    <w:p w14:paraId="095AF8FA" w14:textId="77777777" w:rsidR="00FC597C" w:rsidRPr="00FC597C" w:rsidRDefault="00FC597C" w:rsidP="00FC597C">
      <w:pPr>
        <w:pStyle w:val="Titrepartie"/>
        <w:numPr>
          <w:ilvl w:val="0"/>
          <w:numId w:val="0"/>
        </w:numPr>
        <w:spacing w:after="120"/>
        <w:rPr>
          <w:color w:val="000000" w:themeColor="text1"/>
          <w:sz w:val="20"/>
          <w:lang/>
        </w:rPr>
      </w:pPr>
      <w:r w:rsidRPr="00FC597C">
        <w:rPr>
          <w:color w:val="000000" w:themeColor="text1"/>
          <w:sz w:val="20"/>
          <w:lang/>
        </w:rPr>
        <w:t>Systèmes d’information et sécurité</w:t>
      </w:r>
    </w:p>
    <w:p w14:paraId="020E3CAE" w14:textId="77777777" w:rsidR="00FC597C" w:rsidRPr="00FC597C" w:rsidRDefault="00FC597C" w:rsidP="00FC597C">
      <w:pPr>
        <w:pStyle w:val="Titrepartie"/>
        <w:numPr>
          <w:ilvl w:val="0"/>
          <w:numId w:val="19"/>
        </w:numPr>
        <w:spacing w:after="120"/>
        <w:rPr>
          <w:b w:val="0"/>
          <w:bCs w:val="0"/>
          <w:color w:val="000000" w:themeColor="text1"/>
          <w:sz w:val="20"/>
          <w:lang/>
        </w:rPr>
      </w:pPr>
      <w:r w:rsidRPr="00FC597C">
        <w:rPr>
          <w:b w:val="0"/>
          <w:bCs w:val="0"/>
          <w:color w:val="000000" w:themeColor="text1"/>
          <w:sz w:val="20"/>
          <w:lang/>
        </w:rPr>
        <w:t>Renforcer en priorité la sécurité des systèmes d’information, la gestion des données et les dispositifs de continuité des activités.</w:t>
      </w:r>
    </w:p>
    <w:p w14:paraId="3ACBD6FB" w14:textId="77777777" w:rsidR="00C53744" w:rsidRPr="0027702F" w:rsidRDefault="00C53744" w:rsidP="00FC597C">
      <w:pPr>
        <w:pStyle w:val="Titrepartie"/>
        <w:numPr>
          <w:ilvl w:val="0"/>
          <w:numId w:val="0"/>
        </w:numPr>
        <w:spacing w:after="120"/>
        <w:rPr>
          <w:b w:val="0"/>
          <w:bCs w:val="0"/>
          <w:color w:val="000000" w:themeColor="text1"/>
          <w:sz w:val="20"/>
        </w:rPr>
      </w:pPr>
    </w:p>
    <w:p w14:paraId="2F7F5914" w14:textId="6525D31E" w:rsidR="00955BB3" w:rsidRPr="0008468B" w:rsidRDefault="00955BB3" w:rsidP="008377BB">
      <w:pPr>
        <w:pStyle w:val="Titrepartie"/>
        <w:spacing w:after="120"/>
        <w:ind w:left="714" w:hanging="357"/>
      </w:pPr>
      <w:r w:rsidRPr="0008468B">
        <w:t>Proposition de décision</w:t>
      </w:r>
    </w:p>
    <w:p w14:paraId="05F1F967" w14:textId="4B04CCDB" w:rsidR="0008468B" w:rsidRPr="00A0200E" w:rsidRDefault="0008468B" w:rsidP="005B33EE">
      <w:pPr>
        <w:pStyle w:val="Paragraphe"/>
        <w:spacing w:after="120"/>
        <w:rPr>
          <w:color w:val="000000" w:themeColor="text1"/>
        </w:rPr>
      </w:pPr>
      <w:r w:rsidRPr="00A0200E">
        <w:rPr>
          <w:color w:val="000000" w:themeColor="text1"/>
        </w:rPr>
        <w:t>Le Comité des OPL</w:t>
      </w:r>
      <w:r w:rsidR="00A76B07" w:rsidRPr="00A0200E">
        <w:rPr>
          <w:color w:val="000000" w:themeColor="text1"/>
        </w:rPr>
        <w:t> :</w:t>
      </w:r>
    </w:p>
    <w:p w14:paraId="5138BE17" w14:textId="6EFC8AEE" w:rsidR="000168C4" w:rsidRDefault="0075029B" w:rsidP="00474EC7">
      <w:pPr>
        <w:pStyle w:val="Paragraphe"/>
        <w:numPr>
          <w:ilvl w:val="0"/>
          <w:numId w:val="2"/>
        </w:numPr>
        <w:spacing w:after="120"/>
        <w:rPr>
          <w:color w:val="000000" w:themeColor="text1"/>
        </w:rPr>
      </w:pPr>
      <w:r>
        <w:rPr>
          <w:color w:val="000000" w:themeColor="text1"/>
        </w:rPr>
        <w:t>Félicite</w:t>
      </w:r>
      <w:r w:rsidR="002A796A">
        <w:rPr>
          <w:color w:val="000000" w:themeColor="text1"/>
        </w:rPr>
        <w:t xml:space="preserve"> le Secrétariat général de la COI pour la qualité de la gestion financière et les progrès réalisés en matière de gouvernance, de contrôle </w:t>
      </w:r>
      <w:r w:rsidR="00885564">
        <w:rPr>
          <w:color w:val="000000" w:themeColor="text1"/>
        </w:rPr>
        <w:t>interne</w:t>
      </w:r>
      <w:r w:rsidR="002A796A">
        <w:rPr>
          <w:color w:val="000000" w:themeColor="text1"/>
        </w:rPr>
        <w:t xml:space="preserve"> et de </w:t>
      </w:r>
      <w:r w:rsidR="007958F4">
        <w:rPr>
          <w:color w:val="000000" w:themeColor="text1"/>
        </w:rPr>
        <w:t xml:space="preserve">suivi de </w:t>
      </w:r>
      <w:r w:rsidR="002A796A">
        <w:rPr>
          <w:color w:val="000000" w:themeColor="text1"/>
        </w:rPr>
        <w:t>mise en œuvre des recommandations d’audit ;</w:t>
      </w:r>
    </w:p>
    <w:p w14:paraId="4BAEB606" w14:textId="29DC8AF6" w:rsidR="00D56512" w:rsidRDefault="00D56512" w:rsidP="00474EC7">
      <w:pPr>
        <w:pStyle w:val="Paragraphe"/>
        <w:numPr>
          <w:ilvl w:val="0"/>
          <w:numId w:val="2"/>
        </w:numPr>
        <w:spacing w:after="120"/>
        <w:rPr>
          <w:color w:val="000000" w:themeColor="text1"/>
        </w:rPr>
      </w:pPr>
      <w:r>
        <w:rPr>
          <w:color w:val="000000" w:themeColor="text1"/>
        </w:rPr>
        <w:t>Prend bonne note de l’opinion sans réserve du Commissaire aux comptes sur les états financiers de l’exercice 2025 ;</w:t>
      </w:r>
    </w:p>
    <w:p w14:paraId="26854460" w14:textId="0E751233" w:rsidR="003B3DE5" w:rsidRDefault="009226C3" w:rsidP="00474EC7">
      <w:pPr>
        <w:pStyle w:val="Paragraphe"/>
        <w:numPr>
          <w:ilvl w:val="0"/>
          <w:numId w:val="2"/>
        </w:numPr>
        <w:spacing w:after="120" w:line="256" w:lineRule="auto"/>
        <w:rPr>
          <w:color w:val="000000" w:themeColor="text1"/>
        </w:rPr>
      </w:pPr>
      <w:r>
        <w:rPr>
          <w:color w:val="000000" w:themeColor="text1"/>
        </w:rPr>
        <w:t>Demande au Secr</w:t>
      </w:r>
      <w:r w:rsidR="006F2719">
        <w:rPr>
          <w:color w:val="000000" w:themeColor="text1"/>
        </w:rPr>
        <w:t>é</w:t>
      </w:r>
      <w:r>
        <w:rPr>
          <w:color w:val="000000" w:themeColor="text1"/>
        </w:rPr>
        <w:t xml:space="preserve">tariat général de mettre en œuvre les </w:t>
      </w:r>
      <w:r w:rsidR="00A33638">
        <w:rPr>
          <w:color w:val="000000" w:themeColor="text1"/>
        </w:rPr>
        <w:t>recommandations</w:t>
      </w:r>
      <w:r>
        <w:rPr>
          <w:color w:val="000000" w:themeColor="text1"/>
        </w:rPr>
        <w:t xml:space="preserve"> </w:t>
      </w:r>
      <w:r w:rsidR="001D174E">
        <w:rPr>
          <w:color w:val="000000" w:themeColor="text1"/>
        </w:rPr>
        <w:t>formul</w:t>
      </w:r>
      <w:r w:rsidR="0069031B">
        <w:rPr>
          <w:color w:val="000000" w:themeColor="text1"/>
        </w:rPr>
        <w:t>ées par le comité d’audit et des risques</w:t>
      </w:r>
      <w:r w:rsidR="001D174E">
        <w:rPr>
          <w:color w:val="000000" w:themeColor="text1"/>
        </w:rPr>
        <w:t xml:space="preserve"> suivant l’examen du « management </w:t>
      </w:r>
      <w:proofErr w:type="spellStart"/>
      <w:r w:rsidR="001D174E">
        <w:rPr>
          <w:color w:val="000000" w:themeColor="text1"/>
        </w:rPr>
        <w:t>letter</w:t>
      </w:r>
      <w:proofErr w:type="spellEnd"/>
      <w:r w:rsidR="001D174E">
        <w:rPr>
          <w:color w:val="000000" w:themeColor="text1"/>
        </w:rPr>
        <w:t> » du Commissaire aux comptes</w:t>
      </w:r>
      <w:r w:rsidR="00040AA0">
        <w:rPr>
          <w:color w:val="000000" w:themeColor="text1"/>
        </w:rPr>
        <w:t xml:space="preserve"> </w:t>
      </w:r>
      <w:r w:rsidR="007356FB">
        <w:rPr>
          <w:color w:val="000000" w:themeColor="text1"/>
        </w:rPr>
        <w:t>;</w:t>
      </w:r>
    </w:p>
    <w:p w14:paraId="7F803381" w14:textId="77777777" w:rsidR="006F2719" w:rsidRDefault="00040AA0" w:rsidP="006F2719">
      <w:pPr>
        <w:pStyle w:val="Paragraphe"/>
        <w:numPr>
          <w:ilvl w:val="0"/>
          <w:numId w:val="2"/>
        </w:numPr>
        <w:spacing w:after="120" w:line="256" w:lineRule="auto"/>
        <w:rPr>
          <w:color w:val="000000" w:themeColor="text1"/>
        </w:rPr>
      </w:pPr>
      <w:r>
        <w:rPr>
          <w:color w:val="000000" w:themeColor="text1"/>
        </w:rPr>
        <w:t>Instrui</w:t>
      </w:r>
      <w:r w:rsidR="001B3AB8">
        <w:rPr>
          <w:color w:val="000000" w:themeColor="text1"/>
        </w:rPr>
        <w:t>t</w:t>
      </w:r>
      <w:r w:rsidR="00766EDB">
        <w:rPr>
          <w:color w:val="000000" w:themeColor="text1"/>
        </w:rPr>
        <w:t xml:space="preserve"> </w:t>
      </w:r>
      <w:r w:rsidR="001B3AB8">
        <w:rPr>
          <w:color w:val="000000" w:themeColor="text1"/>
        </w:rPr>
        <w:t>le S</w:t>
      </w:r>
      <w:r w:rsidR="00766EDB">
        <w:rPr>
          <w:color w:val="000000" w:themeColor="text1"/>
        </w:rPr>
        <w:t>ecrétariat</w:t>
      </w:r>
      <w:r w:rsidR="00617A16">
        <w:rPr>
          <w:color w:val="000000" w:themeColor="text1"/>
        </w:rPr>
        <w:t xml:space="preserve"> général de soutenir</w:t>
      </w:r>
      <w:r w:rsidR="000168C4">
        <w:rPr>
          <w:color w:val="000000" w:themeColor="text1"/>
        </w:rPr>
        <w:t xml:space="preserve"> durable</w:t>
      </w:r>
      <w:r w:rsidR="00617A16">
        <w:rPr>
          <w:color w:val="000000" w:themeColor="text1"/>
        </w:rPr>
        <w:t>ment</w:t>
      </w:r>
      <w:r w:rsidR="000168C4">
        <w:rPr>
          <w:color w:val="000000" w:themeColor="text1"/>
        </w:rPr>
        <w:t xml:space="preserve"> </w:t>
      </w:r>
      <w:r w:rsidR="00617A16">
        <w:rPr>
          <w:color w:val="000000" w:themeColor="text1"/>
        </w:rPr>
        <w:t>le</w:t>
      </w:r>
      <w:r w:rsidR="000168C4">
        <w:rPr>
          <w:color w:val="000000" w:themeColor="text1"/>
        </w:rPr>
        <w:t xml:space="preserve"> Service d’audit interne, notamment </w:t>
      </w:r>
      <w:r w:rsidR="00915D67">
        <w:rPr>
          <w:color w:val="000000" w:themeColor="text1"/>
        </w:rPr>
        <w:t>en termes de</w:t>
      </w:r>
      <w:r w:rsidR="0082788D">
        <w:rPr>
          <w:color w:val="000000" w:themeColor="text1"/>
        </w:rPr>
        <w:t xml:space="preserve"> ressources financières et </w:t>
      </w:r>
      <w:r w:rsidR="00A060C4">
        <w:rPr>
          <w:color w:val="000000" w:themeColor="text1"/>
        </w:rPr>
        <w:t>de capacité</w:t>
      </w:r>
      <w:r w:rsidR="00036DA2">
        <w:rPr>
          <w:color w:val="000000" w:themeColor="text1"/>
        </w:rPr>
        <w:t>s</w:t>
      </w:r>
      <w:r w:rsidR="00A060C4">
        <w:rPr>
          <w:color w:val="000000" w:themeColor="text1"/>
        </w:rPr>
        <w:t xml:space="preserve"> </w:t>
      </w:r>
      <w:r w:rsidR="0082788D">
        <w:rPr>
          <w:color w:val="000000" w:themeColor="text1"/>
        </w:rPr>
        <w:t>techniques</w:t>
      </w:r>
      <w:r>
        <w:rPr>
          <w:color w:val="000000" w:themeColor="text1"/>
        </w:rPr>
        <w:t xml:space="preserve">, afin </w:t>
      </w:r>
      <w:r w:rsidR="00755706">
        <w:rPr>
          <w:color w:val="000000" w:themeColor="text1"/>
        </w:rPr>
        <w:t>de lui permettre de</w:t>
      </w:r>
      <w:r w:rsidR="00B65404">
        <w:rPr>
          <w:color w:val="000000" w:themeColor="text1"/>
        </w:rPr>
        <w:t xml:space="preserve"> couvrir les</w:t>
      </w:r>
      <w:r w:rsidR="00755706">
        <w:rPr>
          <w:color w:val="000000" w:themeColor="text1"/>
        </w:rPr>
        <w:t xml:space="preserve"> zones à</w:t>
      </w:r>
      <w:r w:rsidR="00B65404">
        <w:rPr>
          <w:color w:val="000000" w:themeColor="text1"/>
        </w:rPr>
        <w:t xml:space="preserve"> risques résiduels </w:t>
      </w:r>
      <w:r w:rsidR="00755706">
        <w:rPr>
          <w:color w:val="000000" w:themeColor="text1"/>
        </w:rPr>
        <w:t xml:space="preserve">élevés </w:t>
      </w:r>
      <w:r w:rsidR="00B65404">
        <w:rPr>
          <w:color w:val="000000" w:themeColor="text1"/>
        </w:rPr>
        <w:t xml:space="preserve">et </w:t>
      </w:r>
      <w:r w:rsidR="00755706">
        <w:rPr>
          <w:color w:val="000000" w:themeColor="text1"/>
        </w:rPr>
        <w:t xml:space="preserve">de </w:t>
      </w:r>
      <w:r w:rsidR="00B65404">
        <w:rPr>
          <w:color w:val="000000" w:themeColor="text1"/>
        </w:rPr>
        <w:t xml:space="preserve">compléter </w:t>
      </w:r>
      <w:r w:rsidR="00755706">
        <w:rPr>
          <w:color w:val="000000" w:themeColor="text1"/>
        </w:rPr>
        <w:t xml:space="preserve">la mise en </w:t>
      </w:r>
      <w:r w:rsidR="00812F15">
        <w:rPr>
          <w:color w:val="000000" w:themeColor="text1"/>
        </w:rPr>
        <w:t>œuvre de son</w:t>
      </w:r>
      <w:r w:rsidR="00B65404">
        <w:rPr>
          <w:color w:val="000000" w:themeColor="text1"/>
        </w:rPr>
        <w:t xml:space="preserve"> plan annuel</w:t>
      </w:r>
      <w:r w:rsidR="006F2719">
        <w:rPr>
          <w:color w:val="000000" w:themeColor="text1"/>
        </w:rPr>
        <w:t xml:space="preserve"> ; </w:t>
      </w:r>
    </w:p>
    <w:p w14:paraId="006F16DC" w14:textId="139D2294" w:rsidR="006F2719" w:rsidRDefault="006F2719" w:rsidP="006F2719">
      <w:pPr>
        <w:pStyle w:val="Paragraphe"/>
        <w:numPr>
          <w:ilvl w:val="0"/>
          <w:numId w:val="2"/>
        </w:numPr>
        <w:spacing w:after="120" w:line="256" w:lineRule="auto"/>
        <w:rPr>
          <w:color w:val="000000" w:themeColor="text1"/>
        </w:rPr>
      </w:pPr>
      <w:r>
        <w:rPr>
          <w:color w:val="000000" w:themeColor="text1"/>
        </w:rPr>
        <w:t>Propose au Conseil de la COI d’accorder quitus au Secrétaire général sur les états financiers de l’exercice 2025, tels qu’examinés et validés par le CAR lors de sa réunion du 06 mai 2026</w:t>
      </w:r>
      <w:r>
        <w:rPr>
          <w:color w:val="000000" w:themeColor="text1"/>
        </w:rPr>
        <w:t>.</w:t>
      </w:r>
    </w:p>
    <w:p w14:paraId="435D3706" w14:textId="40CCAF2B" w:rsidR="00A44C99" w:rsidRPr="006F2719" w:rsidRDefault="00A44C99" w:rsidP="006F2719">
      <w:pPr>
        <w:pStyle w:val="Paragraphe"/>
        <w:spacing w:after="120"/>
        <w:ind w:left="720"/>
        <w:rPr>
          <w:color w:val="000000" w:themeColor="text1"/>
          <w:sz w:val="10"/>
          <w:szCs w:val="10"/>
        </w:rPr>
      </w:pPr>
    </w:p>
    <w:p w14:paraId="5FE9E9D5" w14:textId="77777777" w:rsidR="00000BDB" w:rsidRPr="00000BDB" w:rsidRDefault="00552EE4" w:rsidP="00000BDB">
      <w:pPr>
        <w:pStyle w:val="Titrepartie"/>
        <w:spacing w:after="120"/>
        <w:ind w:left="714" w:hanging="357"/>
      </w:pPr>
      <w:r w:rsidRPr="00000BDB">
        <w:t xml:space="preserve"> </w:t>
      </w:r>
      <w:r w:rsidR="00000BDB" w:rsidRPr="00000BDB">
        <w:t>Rappel des décisions antérieures</w:t>
      </w:r>
    </w:p>
    <w:p w14:paraId="0752B662" w14:textId="6C5DFED7" w:rsidR="00521FEE" w:rsidRPr="00EB72C5" w:rsidRDefault="009B2293" w:rsidP="007318F5">
      <w:pPr>
        <w:pStyle w:val="Paragraphe"/>
        <w:spacing w:after="120"/>
        <w:ind w:left="360"/>
        <w:rPr>
          <w:color w:val="000000" w:themeColor="text1"/>
        </w:rPr>
      </w:pPr>
      <w:r>
        <w:rPr>
          <w:color w:val="000000" w:themeColor="text1"/>
        </w:rPr>
        <w:t xml:space="preserve">Lors du </w:t>
      </w:r>
      <w:r w:rsidR="00EB72C5" w:rsidRPr="00EB72C5">
        <w:rPr>
          <w:color w:val="000000" w:themeColor="text1"/>
        </w:rPr>
        <w:t>39</w:t>
      </w:r>
      <w:r w:rsidR="00EB72C5" w:rsidRPr="00EB72C5">
        <w:rPr>
          <w:color w:val="000000" w:themeColor="text1"/>
          <w:vertAlign w:val="superscript"/>
        </w:rPr>
        <w:t>ème</w:t>
      </w:r>
      <w:r w:rsidR="00EB72C5" w:rsidRPr="00EB72C5">
        <w:rPr>
          <w:color w:val="000000" w:themeColor="text1"/>
        </w:rPr>
        <w:t xml:space="preserve"> conseil des ministres de la COI</w:t>
      </w:r>
      <w:r>
        <w:rPr>
          <w:color w:val="000000" w:themeColor="text1"/>
        </w:rPr>
        <w:t xml:space="preserve">, le conseil des ministres : </w:t>
      </w:r>
    </w:p>
    <w:p w14:paraId="7C403976" w14:textId="50ED0BE2" w:rsidR="00EB72C5" w:rsidRPr="00D26287" w:rsidRDefault="00EB72C5" w:rsidP="00474EC7">
      <w:pPr>
        <w:pStyle w:val="Paragraphe"/>
        <w:numPr>
          <w:ilvl w:val="0"/>
          <w:numId w:val="4"/>
        </w:numPr>
        <w:spacing w:after="0" w:line="240" w:lineRule="auto"/>
      </w:pPr>
      <w:r w:rsidRPr="00D26287">
        <w:t>Prend note du procès-verbal et des recommandations de la réunion du Comité d’Audit et des Risques (CAR), tenue les 25-26 mars 2025 et demande au Secrétariat général d’observer ces recommandations.</w:t>
      </w:r>
    </w:p>
    <w:p w14:paraId="6BA99B47" w14:textId="7FEE234B" w:rsidR="00EB72C5" w:rsidRPr="00D26287" w:rsidRDefault="0004392C" w:rsidP="00EB72C5">
      <w:pPr>
        <w:pStyle w:val="Corpsdetexte"/>
        <w:ind w:left="229"/>
        <w:jc w:val="both"/>
      </w:pPr>
      <w:r w:rsidRPr="00D26287">
        <w:t>(...)</w:t>
      </w:r>
    </w:p>
    <w:p w14:paraId="221403B6" w14:textId="546B86B2" w:rsidR="00EB72C5" w:rsidRDefault="0004392C" w:rsidP="00863D21">
      <w:pPr>
        <w:pStyle w:val="Paragraphe"/>
        <w:spacing w:line="240" w:lineRule="auto"/>
        <w:ind w:left="360"/>
        <w:rPr>
          <w:color w:val="000000" w:themeColor="text1"/>
        </w:rPr>
      </w:pPr>
      <w:r w:rsidRPr="00D26287">
        <w:t xml:space="preserve">d) </w:t>
      </w:r>
      <w:r w:rsidR="00EB72C5" w:rsidRPr="00D26287">
        <w:t>Demande au Secrétariat général et aux projets de la COI d’intégrer systématiquement dans leurs prévisions financières une ligne budgétaire spécifique dédiée aux missions d’audit interne, conformément aux normes internationales, afin de garantir l’indépendance et l’efficacité du service</w:t>
      </w:r>
    </w:p>
    <w:bookmarkEnd w:id="0"/>
    <w:p w14:paraId="1D6F1669" w14:textId="72833CAD" w:rsidR="00417683" w:rsidRPr="0008468B" w:rsidRDefault="00417683" w:rsidP="008377BB">
      <w:pPr>
        <w:pStyle w:val="Titrepartie"/>
        <w:spacing w:after="120"/>
        <w:ind w:left="714" w:hanging="357"/>
      </w:pPr>
      <w:r w:rsidRPr="0008468B">
        <w:t>Annexe</w:t>
      </w:r>
      <w:r w:rsidR="008F173C" w:rsidRPr="0008468B">
        <w:t>s</w:t>
      </w:r>
      <w:r w:rsidRPr="0008468B">
        <w:t> :</w:t>
      </w:r>
    </w:p>
    <w:p w14:paraId="19834016" w14:textId="748CDEBB" w:rsidR="007228BF" w:rsidRDefault="007228BF" w:rsidP="00474EC7">
      <w:pPr>
        <w:pStyle w:val="Paragraphe"/>
        <w:numPr>
          <w:ilvl w:val="0"/>
          <w:numId w:val="3"/>
        </w:numPr>
        <w:spacing w:after="0"/>
        <w:rPr>
          <w:color w:val="000000" w:themeColor="text1"/>
        </w:rPr>
      </w:pPr>
      <w:r w:rsidRPr="00A0200E">
        <w:rPr>
          <w:color w:val="000000" w:themeColor="text1"/>
        </w:rPr>
        <w:t xml:space="preserve">Annexe </w:t>
      </w:r>
      <w:r>
        <w:rPr>
          <w:color w:val="000000" w:themeColor="text1"/>
        </w:rPr>
        <w:t>1</w:t>
      </w:r>
      <w:r w:rsidRPr="00A0200E">
        <w:rPr>
          <w:color w:val="000000" w:themeColor="text1"/>
        </w:rPr>
        <w:t xml:space="preserve"> : Procès-verbal de la réunion du CAR </w:t>
      </w:r>
      <w:r w:rsidR="007A34B7">
        <w:rPr>
          <w:color w:val="000000" w:themeColor="text1"/>
        </w:rPr>
        <w:t>22 janvier 2026</w:t>
      </w:r>
    </w:p>
    <w:p w14:paraId="527BB808" w14:textId="1990DFCD" w:rsidR="005337A5" w:rsidRPr="002D3945" w:rsidRDefault="005337A5" w:rsidP="00474EC7">
      <w:pPr>
        <w:pStyle w:val="Paragraphe"/>
        <w:numPr>
          <w:ilvl w:val="0"/>
          <w:numId w:val="3"/>
        </w:numPr>
        <w:spacing w:after="0"/>
        <w:rPr>
          <w:color w:val="000000" w:themeColor="text1"/>
        </w:rPr>
      </w:pPr>
      <w:r>
        <w:rPr>
          <w:color w:val="000000" w:themeColor="text1"/>
        </w:rPr>
        <w:t xml:space="preserve">Annexe 2 : Procès-verbal de la réunion du CAR </w:t>
      </w:r>
      <w:r w:rsidR="007A34B7">
        <w:rPr>
          <w:color w:val="000000" w:themeColor="text1"/>
        </w:rPr>
        <w:t>06 – 07 mai 2026</w:t>
      </w:r>
    </w:p>
    <w:p w14:paraId="45ED97D3" w14:textId="063C123B" w:rsidR="003740F7" w:rsidRDefault="003740F7" w:rsidP="00474EC7">
      <w:pPr>
        <w:pStyle w:val="Paragraphe"/>
        <w:numPr>
          <w:ilvl w:val="0"/>
          <w:numId w:val="3"/>
        </w:numPr>
        <w:spacing w:after="0" w:line="256" w:lineRule="auto"/>
        <w:rPr>
          <w:color w:val="000000" w:themeColor="text1"/>
        </w:rPr>
      </w:pPr>
      <w:r>
        <w:rPr>
          <w:color w:val="000000" w:themeColor="text1"/>
        </w:rPr>
        <w:t xml:space="preserve">Annexe </w:t>
      </w:r>
      <w:r w:rsidR="00E7680F">
        <w:rPr>
          <w:color w:val="000000" w:themeColor="text1"/>
        </w:rPr>
        <w:t>3</w:t>
      </w:r>
      <w:r>
        <w:rPr>
          <w:color w:val="000000" w:themeColor="text1"/>
        </w:rPr>
        <w:t> : Etat financier du SG-COI pour 202</w:t>
      </w:r>
      <w:r w:rsidR="00E7680F">
        <w:rPr>
          <w:color w:val="000000" w:themeColor="text1"/>
        </w:rPr>
        <w:t>5</w:t>
      </w:r>
      <w:r>
        <w:rPr>
          <w:color w:val="000000" w:themeColor="text1"/>
        </w:rPr>
        <w:t xml:space="preserve"> et le Rapport de l’audit externe</w:t>
      </w:r>
    </w:p>
    <w:p w14:paraId="73667700" w14:textId="504F27B0" w:rsidR="00792416" w:rsidRPr="003740F7" w:rsidRDefault="003740F7" w:rsidP="00474EC7">
      <w:pPr>
        <w:pStyle w:val="Paragraphe"/>
        <w:numPr>
          <w:ilvl w:val="0"/>
          <w:numId w:val="3"/>
        </w:numPr>
        <w:spacing w:after="0" w:line="256" w:lineRule="auto"/>
        <w:rPr>
          <w:color w:val="000000" w:themeColor="text1"/>
        </w:rPr>
      </w:pPr>
      <w:r>
        <w:rPr>
          <w:color w:val="000000" w:themeColor="text1"/>
        </w:rPr>
        <w:t xml:space="preserve">Annexe </w:t>
      </w:r>
      <w:r w:rsidR="00E7680F">
        <w:rPr>
          <w:color w:val="000000" w:themeColor="text1"/>
        </w:rPr>
        <w:t>4</w:t>
      </w:r>
      <w:r>
        <w:rPr>
          <w:color w:val="000000" w:themeColor="text1"/>
        </w:rPr>
        <w:t xml:space="preserve"> : Management </w:t>
      </w:r>
      <w:proofErr w:type="spellStart"/>
      <w:r>
        <w:rPr>
          <w:color w:val="000000" w:themeColor="text1"/>
        </w:rPr>
        <w:t>letter</w:t>
      </w:r>
      <w:proofErr w:type="spellEnd"/>
      <w:r>
        <w:rPr>
          <w:color w:val="000000" w:themeColor="text1"/>
        </w:rPr>
        <w:t xml:space="preserve"> pour l’exercice 2025</w:t>
      </w:r>
    </w:p>
    <w:sectPr w:rsidR="00792416" w:rsidRPr="003740F7" w:rsidSect="00CC1653">
      <w:headerReference w:type="default" r:id="rId8"/>
      <w:footerReference w:type="default" r:id="rId9"/>
      <w:pgSz w:w="11906" w:h="16838"/>
      <w:pgMar w:top="1276" w:right="1417" w:bottom="993"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D23D" w14:textId="77777777" w:rsidR="00243052" w:rsidRDefault="00243052">
      <w:pPr>
        <w:spacing w:after="0" w:line="240" w:lineRule="auto"/>
      </w:pPr>
      <w:r>
        <w:separator/>
      </w:r>
    </w:p>
  </w:endnote>
  <w:endnote w:type="continuationSeparator" w:id="0">
    <w:p w14:paraId="1BE5D98C" w14:textId="77777777" w:rsidR="00243052" w:rsidRDefault="0024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0BE8" w14:textId="77777777" w:rsidR="00243052" w:rsidRDefault="00243052">
      <w:pPr>
        <w:spacing w:after="0" w:line="240" w:lineRule="auto"/>
      </w:pPr>
      <w:r>
        <w:separator/>
      </w:r>
    </w:p>
  </w:footnote>
  <w:footnote w:type="continuationSeparator" w:id="0">
    <w:p w14:paraId="3A90B902" w14:textId="77777777" w:rsidR="00243052" w:rsidRDefault="00243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70F50189"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962499615" name="Image 962499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C55B5">
      <w:rPr>
        <w:rFonts w:ascii="Verdana" w:hAnsi="Verdana"/>
        <w:b/>
        <w:bCs/>
        <w:sz w:val="20"/>
        <w:szCs w:val="20"/>
      </w:rPr>
      <w:t>3.</w:t>
    </w:r>
    <w:r w:rsidR="0083239E">
      <w:rPr>
        <w:rFonts w:ascii="Verdana" w:hAnsi="Verdana"/>
        <w:b/>
        <w:bCs/>
        <w:sz w:val="20"/>
        <w:szCs w:val="20"/>
      </w:rPr>
      <w:t>6</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BA5"/>
    <w:multiLevelType w:val="hybridMultilevel"/>
    <w:tmpl w:val="16564170"/>
    <w:lvl w:ilvl="0" w:tplc="1722C522">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C07A15"/>
    <w:multiLevelType w:val="hybridMultilevel"/>
    <w:tmpl w:val="945C12E8"/>
    <w:lvl w:ilvl="0" w:tplc="982EA628">
      <w:start w:val="1"/>
      <w:numFmt w:val="bullet"/>
      <w:lvlText w:val=""/>
      <w:lvlJc w:val="left"/>
      <w:pPr>
        <w:ind w:left="1776" w:hanging="360"/>
      </w:pPr>
      <w:rPr>
        <w:rFonts w:ascii="Wingdings" w:hAnsi="Wingdings" w:hint="default"/>
      </w:rPr>
    </w:lvl>
    <w:lvl w:ilvl="1" w:tplc="20000003" w:tentative="1">
      <w:start w:val="1"/>
      <w:numFmt w:val="bullet"/>
      <w:lvlText w:val="o"/>
      <w:lvlJc w:val="left"/>
      <w:pPr>
        <w:ind w:left="2496" w:hanging="360"/>
      </w:pPr>
      <w:rPr>
        <w:rFonts w:ascii="Courier New" w:hAnsi="Courier New" w:cs="Courier New" w:hint="default"/>
      </w:rPr>
    </w:lvl>
    <w:lvl w:ilvl="2" w:tplc="20000005" w:tentative="1">
      <w:start w:val="1"/>
      <w:numFmt w:val="bullet"/>
      <w:lvlText w:val=""/>
      <w:lvlJc w:val="left"/>
      <w:pPr>
        <w:ind w:left="3216" w:hanging="360"/>
      </w:pPr>
      <w:rPr>
        <w:rFonts w:ascii="Wingdings" w:hAnsi="Wingdings" w:hint="default"/>
      </w:rPr>
    </w:lvl>
    <w:lvl w:ilvl="3" w:tplc="20000001" w:tentative="1">
      <w:start w:val="1"/>
      <w:numFmt w:val="bullet"/>
      <w:lvlText w:val=""/>
      <w:lvlJc w:val="left"/>
      <w:pPr>
        <w:ind w:left="3936" w:hanging="360"/>
      </w:pPr>
      <w:rPr>
        <w:rFonts w:ascii="Symbol" w:hAnsi="Symbol" w:hint="default"/>
      </w:rPr>
    </w:lvl>
    <w:lvl w:ilvl="4" w:tplc="20000003" w:tentative="1">
      <w:start w:val="1"/>
      <w:numFmt w:val="bullet"/>
      <w:lvlText w:val="o"/>
      <w:lvlJc w:val="left"/>
      <w:pPr>
        <w:ind w:left="4656" w:hanging="360"/>
      </w:pPr>
      <w:rPr>
        <w:rFonts w:ascii="Courier New" w:hAnsi="Courier New" w:cs="Courier New" w:hint="default"/>
      </w:rPr>
    </w:lvl>
    <w:lvl w:ilvl="5" w:tplc="20000005" w:tentative="1">
      <w:start w:val="1"/>
      <w:numFmt w:val="bullet"/>
      <w:lvlText w:val=""/>
      <w:lvlJc w:val="left"/>
      <w:pPr>
        <w:ind w:left="5376" w:hanging="360"/>
      </w:pPr>
      <w:rPr>
        <w:rFonts w:ascii="Wingdings" w:hAnsi="Wingdings" w:hint="default"/>
      </w:rPr>
    </w:lvl>
    <w:lvl w:ilvl="6" w:tplc="20000001" w:tentative="1">
      <w:start w:val="1"/>
      <w:numFmt w:val="bullet"/>
      <w:lvlText w:val=""/>
      <w:lvlJc w:val="left"/>
      <w:pPr>
        <w:ind w:left="6096" w:hanging="360"/>
      </w:pPr>
      <w:rPr>
        <w:rFonts w:ascii="Symbol" w:hAnsi="Symbol" w:hint="default"/>
      </w:rPr>
    </w:lvl>
    <w:lvl w:ilvl="7" w:tplc="20000003" w:tentative="1">
      <w:start w:val="1"/>
      <w:numFmt w:val="bullet"/>
      <w:lvlText w:val="o"/>
      <w:lvlJc w:val="left"/>
      <w:pPr>
        <w:ind w:left="6816" w:hanging="360"/>
      </w:pPr>
      <w:rPr>
        <w:rFonts w:ascii="Courier New" w:hAnsi="Courier New" w:cs="Courier New" w:hint="default"/>
      </w:rPr>
    </w:lvl>
    <w:lvl w:ilvl="8" w:tplc="20000005" w:tentative="1">
      <w:start w:val="1"/>
      <w:numFmt w:val="bullet"/>
      <w:lvlText w:val=""/>
      <w:lvlJc w:val="left"/>
      <w:pPr>
        <w:ind w:left="7536" w:hanging="360"/>
      </w:pPr>
      <w:rPr>
        <w:rFonts w:ascii="Wingdings" w:hAnsi="Wingdings" w:hint="default"/>
      </w:rPr>
    </w:lvl>
  </w:abstractNum>
  <w:abstractNum w:abstractNumId="4" w15:restartNumberingAfterBreak="0">
    <w:nsid w:val="25AA21C2"/>
    <w:multiLevelType w:val="multilevel"/>
    <w:tmpl w:val="7724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C19A9"/>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BE1C39"/>
    <w:multiLevelType w:val="multilevel"/>
    <w:tmpl w:val="97C4BE0C"/>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B2906"/>
    <w:multiLevelType w:val="multilevel"/>
    <w:tmpl w:val="79F8A3AE"/>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32CF4"/>
    <w:multiLevelType w:val="hybridMultilevel"/>
    <w:tmpl w:val="DA4A0AAE"/>
    <w:lvl w:ilvl="0" w:tplc="A856994E">
      <w:numFmt w:val="bullet"/>
      <w:lvlText w:val="-"/>
      <w:lvlJc w:val="left"/>
      <w:pPr>
        <w:ind w:left="720" w:hanging="360"/>
      </w:pPr>
      <w:rPr>
        <w:rFonts w:ascii="Verdana" w:eastAsiaTheme="minorHAnsi" w:hAnsi="Verdana"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757061D"/>
    <w:multiLevelType w:val="multilevel"/>
    <w:tmpl w:val="6C3E1B34"/>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D61CE"/>
    <w:multiLevelType w:val="multilevel"/>
    <w:tmpl w:val="DDBC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1209B"/>
    <w:multiLevelType w:val="hybridMultilevel"/>
    <w:tmpl w:val="DF426842"/>
    <w:lvl w:ilvl="0" w:tplc="0A048B5E">
      <w:start w:val="1"/>
      <w:numFmt w:val="lowerLetter"/>
      <w:lvlText w:val="%1)"/>
      <w:lvlJc w:val="left"/>
      <w:pPr>
        <w:ind w:left="720" w:hanging="360"/>
      </w:pPr>
      <w:rPr>
        <w:rFonts w:ascii="Verdana" w:eastAsiaTheme="minorHAnsi" w:hAnsi="Verdana"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DD26F6"/>
    <w:multiLevelType w:val="multilevel"/>
    <w:tmpl w:val="0BC00BCE"/>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C43E26"/>
    <w:multiLevelType w:val="multilevel"/>
    <w:tmpl w:val="D6A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0404EA"/>
    <w:multiLevelType w:val="multilevel"/>
    <w:tmpl w:val="A1D05254"/>
    <w:lvl w:ilvl="0">
      <w:numFmt w:val="bullet"/>
      <w:lvlText w:val="-"/>
      <w:lvlJc w:val="left"/>
      <w:pPr>
        <w:ind w:left="720" w:hanging="360"/>
      </w:pPr>
      <w:rPr>
        <w:rFonts w:ascii="Calibri" w:eastAsiaTheme="minorHAnsi" w:hAnsi="Calibr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AEC33A8"/>
    <w:multiLevelType w:val="multilevel"/>
    <w:tmpl w:val="E7E4B506"/>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D03CD"/>
    <w:multiLevelType w:val="hybridMultilevel"/>
    <w:tmpl w:val="AFD28460"/>
    <w:lvl w:ilvl="0" w:tplc="16F06666">
      <w:start w:val="19"/>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954B0C"/>
    <w:multiLevelType w:val="multilevel"/>
    <w:tmpl w:val="AAE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16555">
    <w:abstractNumId w:val="1"/>
  </w:num>
  <w:num w:numId="2" w16cid:durableId="334579643">
    <w:abstractNumId w:val="2"/>
  </w:num>
  <w:num w:numId="3" w16cid:durableId="30110556">
    <w:abstractNumId w:val="16"/>
  </w:num>
  <w:num w:numId="4" w16cid:durableId="1543400058">
    <w:abstractNumId w:val="11"/>
  </w:num>
  <w:num w:numId="5" w16cid:durableId="556403959">
    <w:abstractNumId w:val="5"/>
  </w:num>
  <w:num w:numId="6" w16cid:durableId="134379419">
    <w:abstractNumId w:val="8"/>
  </w:num>
  <w:num w:numId="7" w16cid:durableId="1130513259">
    <w:abstractNumId w:val="3"/>
  </w:num>
  <w:num w:numId="8" w16cid:durableId="2018262807">
    <w:abstractNumId w:val="12"/>
  </w:num>
  <w:num w:numId="9" w16cid:durableId="1177161196">
    <w:abstractNumId w:val="14"/>
  </w:num>
  <w:num w:numId="10" w16cid:durableId="1750230248">
    <w:abstractNumId w:val="15"/>
  </w:num>
  <w:num w:numId="11" w16cid:durableId="838422636">
    <w:abstractNumId w:val="13"/>
  </w:num>
  <w:num w:numId="12" w16cid:durableId="2131119090">
    <w:abstractNumId w:val="7"/>
  </w:num>
  <w:num w:numId="13" w16cid:durableId="1470517635">
    <w:abstractNumId w:val="17"/>
  </w:num>
  <w:num w:numId="14" w16cid:durableId="1223369848">
    <w:abstractNumId w:val="9"/>
  </w:num>
  <w:num w:numId="15" w16cid:durableId="996761333">
    <w:abstractNumId w:val="1"/>
  </w:num>
  <w:num w:numId="16" w16cid:durableId="1376852272">
    <w:abstractNumId w:val="0"/>
  </w:num>
  <w:num w:numId="17" w16cid:durableId="323363630">
    <w:abstractNumId w:val="4"/>
  </w:num>
  <w:num w:numId="18" w16cid:durableId="832797236">
    <w:abstractNumId w:val="1"/>
  </w:num>
  <w:num w:numId="19" w16cid:durableId="1573194166">
    <w:abstractNumId w:val="6"/>
  </w:num>
  <w:num w:numId="20" w16cid:durableId="503666317">
    <w:abstractNumId w:val="10"/>
  </w:num>
  <w:num w:numId="21" w16cid:durableId="172359995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BDB"/>
    <w:rsid w:val="00002BE3"/>
    <w:rsid w:val="00012D77"/>
    <w:rsid w:val="000147BC"/>
    <w:rsid w:val="00014DBF"/>
    <w:rsid w:val="000168C4"/>
    <w:rsid w:val="00017998"/>
    <w:rsid w:val="00030C24"/>
    <w:rsid w:val="00033145"/>
    <w:rsid w:val="00033CE7"/>
    <w:rsid w:val="00034A67"/>
    <w:rsid w:val="00036DA2"/>
    <w:rsid w:val="000373B2"/>
    <w:rsid w:val="00040AA0"/>
    <w:rsid w:val="00042CF5"/>
    <w:rsid w:val="0004392C"/>
    <w:rsid w:val="0005219E"/>
    <w:rsid w:val="00057CED"/>
    <w:rsid w:val="00060CA0"/>
    <w:rsid w:val="00061E86"/>
    <w:rsid w:val="00063A26"/>
    <w:rsid w:val="000702E0"/>
    <w:rsid w:val="00076E5F"/>
    <w:rsid w:val="000772A0"/>
    <w:rsid w:val="0008468B"/>
    <w:rsid w:val="00085C12"/>
    <w:rsid w:val="000A079C"/>
    <w:rsid w:val="000A468A"/>
    <w:rsid w:val="000B0FBD"/>
    <w:rsid w:val="000B2F46"/>
    <w:rsid w:val="000B3249"/>
    <w:rsid w:val="000C15C4"/>
    <w:rsid w:val="000D7BFD"/>
    <w:rsid w:val="000E10B8"/>
    <w:rsid w:val="000F0948"/>
    <w:rsid w:val="000F38B6"/>
    <w:rsid w:val="000F4728"/>
    <w:rsid w:val="000F4A68"/>
    <w:rsid w:val="000F6DB3"/>
    <w:rsid w:val="00107D9D"/>
    <w:rsid w:val="0011229F"/>
    <w:rsid w:val="001148D2"/>
    <w:rsid w:val="0011589E"/>
    <w:rsid w:val="00132921"/>
    <w:rsid w:val="00143FED"/>
    <w:rsid w:val="001469E5"/>
    <w:rsid w:val="00147376"/>
    <w:rsid w:val="00155FCA"/>
    <w:rsid w:val="001677E0"/>
    <w:rsid w:val="0017205F"/>
    <w:rsid w:val="0017578C"/>
    <w:rsid w:val="001768AB"/>
    <w:rsid w:val="00181E7B"/>
    <w:rsid w:val="0018252D"/>
    <w:rsid w:val="00182C60"/>
    <w:rsid w:val="001939B1"/>
    <w:rsid w:val="00197B73"/>
    <w:rsid w:val="001A56F1"/>
    <w:rsid w:val="001B3AB8"/>
    <w:rsid w:val="001B3C0D"/>
    <w:rsid w:val="001B417E"/>
    <w:rsid w:val="001B451E"/>
    <w:rsid w:val="001B4738"/>
    <w:rsid w:val="001C5D33"/>
    <w:rsid w:val="001D174E"/>
    <w:rsid w:val="001E0F1E"/>
    <w:rsid w:val="001E7C67"/>
    <w:rsid w:val="001F30AE"/>
    <w:rsid w:val="002027E9"/>
    <w:rsid w:val="002061D9"/>
    <w:rsid w:val="00207C8D"/>
    <w:rsid w:val="0021448B"/>
    <w:rsid w:val="0021517D"/>
    <w:rsid w:val="00216190"/>
    <w:rsid w:val="00225915"/>
    <w:rsid w:val="0022757F"/>
    <w:rsid w:val="00230267"/>
    <w:rsid w:val="0023387F"/>
    <w:rsid w:val="00243052"/>
    <w:rsid w:val="00255EFC"/>
    <w:rsid w:val="00260246"/>
    <w:rsid w:val="002618D9"/>
    <w:rsid w:val="00263E13"/>
    <w:rsid w:val="002648FD"/>
    <w:rsid w:val="00264920"/>
    <w:rsid w:val="00265C8C"/>
    <w:rsid w:val="002677E7"/>
    <w:rsid w:val="002679AB"/>
    <w:rsid w:val="00276DB2"/>
    <w:rsid w:val="0027702F"/>
    <w:rsid w:val="00280B7A"/>
    <w:rsid w:val="002819B5"/>
    <w:rsid w:val="00292E52"/>
    <w:rsid w:val="002A0124"/>
    <w:rsid w:val="002A0933"/>
    <w:rsid w:val="002A096E"/>
    <w:rsid w:val="002A2A51"/>
    <w:rsid w:val="002A796A"/>
    <w:rsid w:val="002B6163"/>
    <w:rsid w:val="002C3451"/>
    <w:rsid w:val="002C56ED"/>
    <w:rsid w:val="002C7D1B"/>
    <w:rsid w:val="002D3945"/>
    <w:rsid w:val="002D67D3"/>
    <w:rsid w:val="002E2D1B"/>
    <w:rsid w:val="002E62FB"/>
    <w:rsid w:val="002E7563"/>
    <w:rsid w:val="002E7862"/>
    <w:rsid w:val="002F4218"/>
    <w:rsid w:val="002F4C8F"/>
    <w:rsid w:val="002F7D65"/>
    <w:rsid w:val="00306EDC"/>
    <w:rsid w:val="00314A12"/>
    <w:rsid w:val="003230F8"/>
    <w:rsid w:val="00324F7E"/>
    <w:rsid w:val="00332431"/>
    <w:rsid w:val="00344266"/>
    <w:rsid w:val="0034545D"/>
    <w:rsid w:val="003500AF"/>
    <w:rsid w:val="00352DCE"/>
    <w:rsid w:val="00353089"/>
    <w:rsid w:val="00353ABF"/>
    <w:rsid w:val="003604B9"/>
    <w:rsid w:val="0036109C"/>
    <w:rsid w:val="00365947"/>
    <w:rsid w:val="003672D5"/>
    <w:rsid w:val="00370741"/>
    <w:rsid w:val="003740F7"/>
    <w:rsid w:val="003772FB"/>
    <w:rsid w:val="00380129"/>
    <w:rsid w:val="0038639A"/>
    <w:rsid w:val="00391152"/>
    <w:rsid w:val="00393214"/>
    <w:rsid w:val="003A39CA"/>
    <w:rsid w:val="003B322E"/>
    <w:rsid w:val="003B3DE5"/>
    <w:rsid w:val="003C1885"/>
    <w:rsid w:val="003C2538"/>
    <w:rsid w:val="003C296F"/>
    <w:rsid w:val="003C47BC"/>
    <w:rsid w:val="003C537B"/>
    <w:rsid w:val="003C5B06"/>
    <w:rsid w:val="003D008A"/>
    <w:rsid w:val="003D025E"/>
    <w:rsid w:val="003D1283"/>
    <w:rsid w:val="003D485F"/>
    <w:rsid w:val="003D502A"/>
    <w:rsid w:val="003D5328"/>
    <w:rsid w:val="003D76A3"/>
    <w:rsid w:val="004019E1"/>
    <w:rsid w:val="00402354"/>
    <w:rsid w:val="004028F0"/>
    <w:rsid w:val="00403BB0"/>
    <w:rsid w:val="004061DE"/>
    <w:rsid w:val="00411486"/>
    <w:rsid w:val="0041278C"/>
    <w:rsid w:val="00414594"/>
    <w:rsid w:val="0041651B"/>
    <w:rsid w:val="004172C1"/>
    <w:rsid w:val="00417683"/>
    <w:rsid w:val="00421104"/>
    <w:rsid w:val="004260E8"/>
    <w:rsid w:val="00426673"/>
    <w:rsid w:val="00437FE3"/>
    <w:rsid w:val="00441F31"/>
    <w:rsid w:val="0044602B"/>
    <w:rsid w:val="00447409"/>
    <w:rsid w:val="0045334C"/>
    <w:rsid w:val="00455175"/>
    <w:rsid w:val="004607F7"/>
    <w:rsid w:val="00463E27"/>
    <w:rsid w:val="00463F0E"/>
    <w:rsid w:val="00464EA3"/>
    <w:rsid w:val="00474EC7"/>
    <w:rsid w:val="00482EFA"/>
    <w:rsid w:val="00484B6A"/>
    <w:rsid w:val="00484CD8"/>
    <w:rsid w:val="004903DB"/>
    <w:rsid w:val="004918A2"/>
    <w:rsid w:val="00496792"/>
    <w:rsid w:val="004A017D"/>
    <w:rsid w:val="004A3819"/>
    <w:rsid w:val="004A4AA6"/>
    <w:rsid w:val="004A564B"/>
    <w:rsid w:val="004A6AC7"/>
    <w:rsid w:val="004B40B3"/>
    <w:rsid w:val="004B4647"/>
    <w:rsid w:val="004C0DAE"/>
    <w:rsid w:val="004D40AA"/>
    <w:rsid w:val="004D4429"/>
    <w:rsid w:val="004E0E52"/>
    <w:rsid w:val="004E1403"/>
    <w:rsid w:val="004F29FA"/>
    <w:rsid w:val="004F5C4B"/>
    <w:rsid w:val="005056FF"/>
    <w:rsid w:val="0051163F"/>
    <w:rsid w:val="00521FEE"/>
    <w:rsid w:val="00522730"/>
    <w:rsid w:val="00524357"/>
    <w:rsid w:val="00531E35"/>
    <w:rsid w:val="005337A5"/>
    <w:rsid w:val="0053773D"/>
    <w:rsid w:val="00542329"/>
    <w:rsid w:val="00552EE4"/>
    <w:rsid w:val="005544C3"/>
    <w:rsid w:val="005732CC"/>
    <w:rsid w:val="005753DE"/>
    <w:rsid w:val="00577B70"/>
    <w:rsid w:val="0058087C"/>
    <w:rsid w:val="005833F1"/>
    <w:rsid w:val="00585429"/>
    <w:rsid w:val="00586E58"/>
    <w:rsid w:val="005B33EE"/>
    <w:rsid w:val="005B6079"/>
    <w:rsid w:val="005C0666"/>
    <w:rsid w:val="005C06EE"/>
    <w:rsid w:val="005D056B"/>
    <w:rsid w:val="005D21FD"/>
    <w:rsid w:val="005F2011"/>
    <w:rsid w:val="005F32EA"/>
    <w:rsid w:val="005F342A"/>
    <w:rsid w:val="005F7D03"/>
    <w:rsid w:val="006033E0"/>
    <w:rsid w:val="0060798D"/>
    <w:rsid w:val="00614752"/>
    <w:rsid w:val="00614C29"/>
    <w:rsid w:val="00617A16"/>
    <w:rsid w:val="00620B90"/>
    <w:rsid w:val="00625A9B"/>
    <w:rsid w:val="00626929"/>
    <w:rsid w:val="006310FA"/>
    <w:rsid w:val="00634694"/>
    <w:rsid w:val="006356AF"/>
    <w:rsid w:val="00647538"/>
    <w:rsid w:val="00647CF3"/>
    <w:rsid w:val="00650216"/>
    <w:rsid w:val="00651CC9"/>
    <w:rsid w:val="006548BF"/>
    <w:rsid w:val="00660298"/>
    <w:rsid w:val="00660504"/>
    <w:rsid w:val="006651C3"/>
    <w:rsid w:val="00681CC0"/>
    <w:rsid w:val="00690200"/>
    <w:rsid w:val="0069031B"/>
    <w:rsid w:val="00691E4A"/>
    <w:rsid w:val="006A71E3"/>
    <w:rsid w:val="006B3461"/>
    <w:rsid w:val="006C098E"/>
    <w:rsid w:val="006C7A81"/>
    <w:rsid w:val="006D4B96"/>
    <w:rsid w:val="006D63D2"/>
    <w:rsid w:val="006E0C86"/>
    <w:rsid w:val="006E2D9E"/>
    <w:rsid w:val="006F2573"/>
    <w:rsid w:val="006F2719"/>
    <w:rsid w:val="006F2A65"/>
    <w:rsid w:val="00706706"/>
    <w:rsid w:val="00706761"/>
    <w:rsid w:val="007070FD"/>
    <w:rsid w:val="00714958"/>
    <w:rsid w:val="00714C9D"/>
    <w:rsid w:val="0071538C"/>
    <w:rsid w:val="007228BF"/>
    <w:rsid w:val="00730319"/>
    <w:rsid w:val="007318F5"/>
    <w:rsid w:val="007330D6"/>
    <w:rsid w:val="0073442E"/>
    <w:rsid w:val="007356FB"/>
    <w:rsid w:val="007364DC"/>
    <w:rsid w:val="00740B1E"/>
    <w:rsid w:val="007410CE"/>
    <w:rsid w:val="0074262E"/>
    <w:rsid w:val="00744528"/>
    <w:rsid w:val="0075029B"/>
    <w:rsid w:val="00752A71"/>
    <w:rsid w:val="007547CE"/>
    <w:rsid w:val="00755706"/>
    <w:rsid w:val="00756819"/>
    <w:rsid w:val="00757D60"/>
    <w:rsid w:val="00761CF8"/>
    <w:rsid w:val="00765776"/>
    <w:rsid w:val="00766EDB"/>
    <w:rsid w:val="00770533"/>
    <w:rsid w:val="00775C1C"/>
    <w:rsid w:val="00783E03"/>
    <w:rsid w:val="00792416"/>
    <w:rsid w:val="007958F4"/>
    <w:rsid w:val="007A314C"/>
    <w:rsid w:val="007A34B7"/>
    <w:rsid w:val="007A7509"/>
    <w:rsid w:val="007B0042"/>
    <w:rsid w:val="007B245C"/>
    <w:rsid w:val="007C0145"/>
    <w:rsid w:val="007C1082"/>
    <w:rsid w:val="007C68C7"/>
    <w:rsid w:val="007C78FC"/>
    <w:rsid w:val="007D75EF"/>
    <w:rsid w:val="007F0F26"/>
    <w:rsid w:val="007F31D7"/>
    <w:rsid w:val="007F3280"/>
    <w:rsid w:val="007F49C1"/>
    <w:rsid w:val="007F4A2E"/>
    <w:rsid w:val="007F4CF3"/>
    <w:rsid w:val="007F72F2"/>
    <w:rsid w:val="007F765A"/>
    <w:rsid w:val="00810520"/>
    <w:rsid w:val="00810960"/>
    <w:rsid w:val="00811744"/>
    <w:rsid w:val="00812F15"/>
    <w:rsid w:val="00816D66"/>
    <w:rsid w:val="00816DAC"/>
    <w:rsid w:val="00825002"/>
    <w:rsid w:val="00825120"/>
    <w:rsid w:val="00826196"/>
    <w:rsid w:val="00826C4A"/>
    <w:rsid w:val="0082788D"/>
    <w:rsid w:val="0083239E"/>
    <w:rsid w:val="0083290E"/>
    <w:rsid w:val="008377BB"/>
    <w:rsid w:val="008378A3"/>
    <w:rsid w:val="00842062"/>
    <w:rsid w:val="00843FF2"/>
    <w:rsid w:val="008453AB"/>
    <w:rsid w:val="00850A83"/>
    <w:rsid w:val="0085451D"/>
    <w:rsid w:val="00854EEA"/>
    <w:rsid w:val="008551DA"/>
    <w:rsid w:val="008624D4"/>
    <w:rsid w:val="00863D21"/>
    <w:rsid w:val="0086716E"/>
    <w:rsid w:val="008738D4"/>
    <w:rsid w:val="00873C5D"/>
    <w:rsid w:val="00875351"/>
    <w:rsid w:val="00880AB8"/>
    <w:rsid w:val="0088395F"/>
    <w:rsid w:val="00885564"/>
    <w:rsid w:val="008879A9"/>
    <w:rsid w:val="00890A55"/>
    <w:rsid w:val="00892A25"/>
    <w:rsid w:val="0089419C"/>
    <w:rsid w:val="0089750A"/>
    <w:rsid w:val="008A4229"/>
    <w:rsid w:val="008B5E3E"/>
    <w:rsid w:val="008D193F"/>
    <w:rsid w:val="008D3B5E"/>
    <w:rsid w:val="008E26C1"/>
    <w:rsid w:val="008E2959"/>
    <w:rsid w:val="008E3354"/>
    <w:rsid w:val="008E4736"/>
    <w:rsid w:val="008E7D37"/>
    <w:rsid w:val="008F173C"/>
    <w:rsid w:val="008F4331"/>
    <w:rsid w:val="008F4A0B"/>
    <w:rsid w:val="008F6946"/>
    <w:rsid w:val="009078D5"/>
    <w:rsid w:val="00911BFB"/>
    <w:rsid w:val="00912994"/>
    <w:rsid w:val="00915C3D"/>
    <w:rsid w:val="00915D67"/>
    <w:rsid w:val="009226C3"/>
    <w:rsid w:val="0094100E"/>
    <w:rsid w:val="0094207A"/>
    <w:rsid w:val="0095305F"/>
    <w:rsid w:val="00954E2D"/>
    <w:rsid w:val="00955BB3"/>
    <w:rsid w:val="0096241C"/>
    <w:rsid w:val="00970636"/>
    <w:rsid w:val="00974979"/>
    <w:rsid w:val="0098611F"/>
    <w:rsid w:val="00991B71"/>
    <w:rsid w:val="009A38AD"/>
    <w:rsid w:val="009A7ED6"/>
    <w:rsid w:val="009B2293"/>
    <w:rsid w:val="009B47DF"/>
    <w:rsid w:val="009B5D41"/>
    <w:rsid w:val="009B5DBD"/>
    <w:rsid w:val="009C7571"/>
    <w:rsid w:val="009D1E3E"/>
    <w:rsid w:val="009D769B"/>
    <w:rsid w:val="009E152A"/>
    <w:rsid w:val="009E395C"/>
    <w:rsid w:val="009E5264"/>
    <w:rsid w:val="009F23A9"/>
    <w:rsid w:val="00A0200E"/>
    <w:rsid w:val="00A03C44"/>
    <w:rsid w:val="00A060C4"/>
    <w:rsid w:val="00A10FB0"/>
    <w:rsid w:val="00A141ED"/>
    <w:rsid w:val="00A148A1"/>
    <w:rsid w:val="00A25D78"/>
    <w:rsid w:val="00A26E78"/>
    <w:rsid w:val="00A31A6E"/>
    <w:rsid w:val="00A33638"/>
    <w:rsid w:val="00A349AE"/>
    <w:rsid w:val="00A36C09"/>
    <w:rsid w:val="00A37C9F"/>
    <w:rsid w:val="00A41B81"/>
    <w:rsid w:val="00A431F9"/>
    <w:rsid w:val="00A4348A"/>
    <w:rsid w:val="00A44C99"/>
    <w:rsid w:val="00A4594C"/>
    <w:rsid w:val="00A471D7"/>
    <w:rsid w:val="00A51CCC"/>
    <w:rsid w:val="00A53A10"/>
    <w:rsid w:val="00A54B3B"/>
    <w:rsid w:val="00A55B96"/>
    <w:rsid w:val="00A626FE"/>
    <w:rsid w:val="00A70123"/>
    <w:rsid w:val="00A74B21"/>
    <w:rsid w:val="00A76B07"/>
    <w:rsid w:val="00A81B98"/>
    <w:rsid w:val="00A82557"/>
    <w:rsid w:val="00A90305"/>
    <w:rsid w:val="00AA094F"/>
    <w:rsid w:val="00AA63A3"/>
    <w:rsid w:val="00AB19F2"/>
    <w:rsid w:val="00AB235C"/>
    <w:rsid w:val="00AB3436"/>
    <w:rsid w:val="00AB5EB7"/>
    <w:rsid w:val="00AB639C"/>
    <w:rsid w:val="00AC2A0C"/>
    <w:rsid w:val="00AC2FD9"/>
    <w:rsid w:val="00AD25AF"/>
    <w:rsid w:val="00AD4D97"/>
    <w:rsid w:val="00AD5B26"/>
    <w:rsid w:val="00AD66AB"/>
    <w:rsid w:val="00AD7FE1"/>
    <w:rsid w:val="00AE2453"/>
    <w:rsid w:val="00AE46E0"/>
    <w:rsid w:val="00AF642A"/>
    <w:rsid w:val="00B0043B"/>
    <w:rsid w:val="00B05B56"/>
    <w:rsid w:val="00B05DFC"/>
    <w:rsid w:val="00B17C8E"/>
    <w:rsid w:val="00B25166"/>
    <w:rsid w:val="00B25B47"/>
    <w:rsid w:val="00B36EEA"/>
    <w:rsid w:val="00B46137"/>
    <w:rsid w:val="00B468C8"/>
    <w:rsid w:val="00B6265C"/>
    <w:rsid w:val="00B64DA8"/>
    <w:rsid w:val="00B65404"/>
    <w:rsid w:val="00B659B7"/>
    <w:rsid w:val="00B66F22"/>
    <w:rsid w:val="00B6771B"/>
    <w:rsid w:val="00B7279A"/>
    <w:rsid w:val="00B86E36"/>
    <w:rsid w:val="00B90DB3"/>
    <w:rsid w:val="00B91160"/>
    <w:rsid w:val="00BA0DBB"/>
    <w:rsid w:val="00BA41E2"/>
    <w:rsid w:val="00BA4B55"/>
    <w:rsid w:val="00BB51C3"/>
    <w:rsid w:val="00BB707B"/>
    <w:rsid w:val="00BC0DAF"/>
    <w:rsid w:val="00BC145A"/>
    <w:rsid w:val="00BC2DB0"/>
    <w:rsid w:val="00BC3140"/>
    <w:rsid w:val="00BC4FFA"/>
    <w:rsid w:val="00BC55B5"/>
    <w:rsid w:val="00BD2EC9"/>
    <w:rsid w:val="00BD5652"/>
    <w:rsid w:val="00BD7A7C"/>
    <w:rsid w:val="00BE03A2"/>
    <w:rsid w:val="00BE34B8"/>
    <w:rsid w:val="00BE36BD"/>
    <w:rsid w:val="00BE37D6"/>
    <w:rsid w:val="00BE7A73"/>
    <w:rsid w:val="00C0280C"/>
    <w:rsid w:val="00C034A1"/>
    <w:rsid w:val="00C069F0"/>
    <w:rsid w:val="00C10054"/>
    <w:rsid w:val="00C12C93"/>
    <w:rsid w:val="00C12D59"/>
    <w:rsid w:val="00C16F66"/>
    <w:rsid w:val="00C271E0"/>
    <w:rsid w:val="00C325F5"/>
    <w:rsid w:val="00C35458"/>
    <w:rsid w:val="00C457E8"/>
    <w:rsid w:val="00C53744"/>
    <w:rsid w:val="00C55786"/>
    <w:rsid w:val="00C601A3"/>
    <w:rsid w:val="00C609B9"/>
    <w:rsid w:val="00C65BC8"/>
    <w:rsid w:val="00C71C8E"/>
    <w:rsid w:val="00C83BE1"/>
    <w:rsid w:val="00C90CA1"/>
    <w:rsid w:val="00C95E30"/>
    <w:rsid w:val="00CA1A2E"/>
    <w:rsid w:val="00CB47F5"/>
    <w:rsid w:val="00CC1653"/>
    <w:rsid w:val="00CC39E8"/>
    <w:rsid w:val="00CD315E"/>
    <w:rsid w:val="00CD3D09"/>
    <w:rsid w:val="00CD5619"/>
    <w:rsid w:val="00CE03CA"/>
    <w:rsid w:val="00CE1A76"/>
    <w:rsid w:val="00CE2386"/>
    <w:rsid w:val="00CE3E33"/>
    <w:rsid w:val="00CF7D59"/>
    <w:rsid w:val="00D024DE"/>
    <w:rsid w:val="00D11611"/>
    <w:rsid w:val="00D21193"/>
    <w:rsid w:val="00D26287"/>
    <w:rsid w:val="00D27FF0"/>
    <w:rsid w:val="00D31C61"/>
    <w:rsid w:val="00D36680"/>
    <w:rsid w:val="00D42110"/>
    <w:rsid w:val="00D44261"/>
    <w:rsid w:val="00D52FD7"/>
    <w:rsid w:val="00D553AC"/>
    <w:rsid w:val="00D56512"/>
    <w:rsid w:val="00D66E67"/>
    <w:rsid w:val="00D71513"/>
    <w:rsid w:val="00D724FA"/>
    <w:rsid w:val="00D91033"/>
    <w:rsid w:val="00D91385"/>
    <w:rsid w:val="00D93C97"/>
    <w:rsid w:val="00D94731"/>
    <w:rsid w:val="00D97E37"/>
    <w:rsid w:val="00DA58D1"/>
    <w:rsid w:val="00DC7574"/>
    <w:rsid w:val="00DD182A"/>
    <w:rsid w:val="00DD6421"/>
    <w:rsid w:val="00DE41ED"/>
    <w:rsid w:val="00DE6EF2"/>
    <w:rsid w:val="00DF049A"/>
    <w:rsid w:val="00DF0A9E"/>
    <w:rsid w:val="00E01911"/>
    <w:rsid w:val="00E04147"/>
    <w:rsid w:val="00E04835"/>
    <w:rsid w:val="00E0716D"/>
    <w:rsid w:val="00E20E5C"/>
    <w:rsid w:val="00E25EF5"/>
    <w:rsid w:val="00E277C0"/>
    <w:rsid w:val="00E32408"/>
    <w:rsid w:val="00E41B67"/>
    <w:rsid w:val="00E47167"/>
    <w:rsid w:val="00E52DED"/>
    <w:rsid w:val="00E55501"/>
    <w:rsid w:val="00E55790"/>
    <w:rsid w:val="00E6668C"/>
    <w:rsid w:val="00E66C5F"/>
    <w:rsid w:val="00E72F81"/>
    <w:rsid w:val="00E7680F"/>
    <w:rsid w:val="00E82F93"/>
    <w:rsid w:val="00E845D4"/>
    <w:rsid w:val="00E86229"/>
    <w:rsid w:val="00E922BC"/>
    <w:rsid w:val="00E9562C"/>
    <w:rsid w:val="00E96A62"/>
    <w:rsid w:val="00E96E1F"/>
    <w:rsid w:val="00EA624A"/>
    <w:rsid w:val="00EA62A4"/>
    <w:rsid w:val="00EB659A"/>
    <w:rsid w:val="00EB6D4F"/>
    <w:rsid w:val="00EB72C5"/>
    <w:rsid w:val="00EC22CC"/>
    <w:rsid w:val="00EC6C08"/>
    <w:rsid w:val="00ED6B69"/>
    <w:rsid w:val="00EE34F4"/>
    <w:rsid w:val="00EE3EE4"/>
    <w:rsid w:val="00EE44B7"/>
    <w:rsid w:val="00EE79D1"/>
    <w:rsid w:val="00EF1219"/>
    <w:rsid w:val="00EF22A4"/>
    <w:rsid w:val="00EF5C89"/>
    <w:rsid w:val="00F0316F"/>
    <w:rsid w:val="00F1201F"/>
    <w:rsid w:val="00F20EA6"/>
    <w:rsid w:val="00F2225D"/>
    <w:rsid w:val="00F230BF"/>
    <w:rsid w:val="00F237A0"/>
    <w:rsid w:val="00F25D98"/>
    <w:rsid w:val="00F41085"/>
    <w:rsid w:val="00F4763F"/>
    <w:rsid w:val="00F526F8"/>
    <w:rsid w:val="00F54EA0"/>
    <w:rsid w:val="00F65527"/>
    <w:rsid w:val="00F67C90"/>
    <w:rsid w:val="00F75D28"/>
    <w:rsid w:val="00F87B53"/>
    <w:rsid w:val="00F94657"/>
    <w:rsid w:val="00F96EE9"/>
    <w:rsid w:val="00FA45BF"/>
    <w:rsid w:val="00FA7A09"/>
    <w:rsid w:val="00FB0FCE"/>
    <w:rsid w:val="00FB17A0"/>
    <w:rsid w:val="00FB678D"/>
    <w:rsid w:val="00FB7F86"/>
    <w:rsid w:val="00FC47CC"/>
    <w:rsid w:val="00FC597C"/>
    <w:rsid w:val="00FD22BC"/>
    <w:rsid w:val="00FD289B"/>
    <w:rsid w:val="00FD3975"/>
    <w:rsid w:val="00FE285D"/>
    <w:rsid w:val="00FE5C0A"/>
    <w:rsid w:val="00FE6112"/>
    <w:rsid w:val="00FF4E50"/>
    <w:rsid w:val="00FF554E"/>
    <w:rsid w:val="45173C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1"/>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Corpsdetexte">
    <w:name w:val="Body Text"/>
    <w:basedOn w:val="Normal"/>
    <w:link w:val="CorpsdetexteCar"/>
    <w:uiPriority w:val="1"/>
    <w:semiHidden/>
    <w:unhideWhenUsed/>
    <w:qFormat/>
    <w:rsid w:val="00BC2DB0"/>
    <w:pPr>
      <w:widowControl w:val="0"/>
      <w:autoSpaceDE w:val="0"/>
      <w:autoSpaceDN w:val="0"/>
      <w:spacing w:after="0" w:line="240" w:lineRule="auto"/>
    </w:pPr>
    <w:rPr>
      <w:rFonts w:ascii="Verdana" w:eastAsia="Verdana" w:hAnsi="Verdana" w:cs="Verdana"/>
      <w:sz w:val="20"/>
      <w:szCs w:val="20"/>
    </w:rPr>
  </w:style>
  <w:style w:type="character" w:customStyle="1" w:styleId="CorpsdetexteCar">
    <w:name w:val="Corps de texte Car"/>
    <w:basedOn w:val="Policepardfaut"/>
    <w:link w:val="Corpsdetexte"/>
    <w:uiPriority w:val="1"/>
    <w:semiHidden/>
    <w:rsid w:val="00BC2DB0"/>
    <w:rPr>
      <w:rFonts w:ascii="Verdana" w:eastAsia="Verdana" w:hAnsi="Verdana" w:cs="Verdana"/>
      <w:sz w:val="20"/>
      <w:szCs w:val="20"/>
    </w:rPr>
  </w:style>
  <w:style w:type="paragraph" w:styleId="NormalWeb">
    <w:name w:val="Normal (Web)"/>
    <w:basedOn w:val="Normal"/>
    <w:uiPriority w:val="99"/>
    <w:unhideWhenUsed/>
    <w:rsid w:val="006C7A81"/>
    <w:pPr>
      <w:spacing w:before="100" w:beforeAutospacing="1" w:after="100" w:afterAutospacing="1" w:line="240" w:lineRule="auto"/>
    </w:pPr>
    <w:rPr>
      <w:rFonts w:ascii="Times New Roman" w:eastAsia="Times New Roman" w:hAnsi="Times New Roman" w:cs="Times New Roman"/>
      <w:sz w:val="24"/>
      <w:szCs w:val="24"/>
      <w:lang/>
    </w:rPr>
  </w:style>
  <w:style w:type="paragraph" w:styleId="Notedebasdepage">
    <w:name w:val="footnote text"/>
    <w:basedOn w:val="Normal"/>
    <w:link w:val="NotedebasdepageCar"/>
    <w:uiPriority w:val="99"/>
    <w:semiHidden/>
    <w:unhideWhenUsed/>
    <w:rsid w:val="004918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18A2"/>
    <w:rPr>
      <w:sz w:val="20"/>
      <w:szCs w:val="20"/>
    </w:rPr>
  </w:style>
  <w:style w:type="character" w:styleId="Appelnotedebasdep">
    <w:name w:val="footnote reference"/>
    <w:basedOn w:val="Policepardfaut"/>
    <w:uiPriority w:val="99"/>
    <w:semiHidden/>
    <w:unhideWhenUsed/>
    <w:rsid w:val="004918A2"/>
    <w:rPr>
      <w:vertAlign w:val="superscript"/>
    </w:rPr>
  </w:style>
  <w:style w:type="character" w:styleId="lev">
    <w:name w:val="Strong"/>
    <w:basedOn w:val="Policepardfaut"/>
    <w:uiPriority w:val="22"/>
    <w:qFormat/>
    <w:rsid w:val="00403BB0"/>
    <w:rPr>
      <w:b/>
      <w:bCs/>
    </w:rPr>
  </w:style>
  <w:style w:type="paragraph" w:customStyle="1" w:styleId="isselectedend">
    <w:name w:val="isselectedend"/>
    <w:basedOn w:val="Normal"/>
    <w:rsid w:val="007F4A2E"/>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97559">
      <w:bodyDiv w:val="1"/>
      <w:marLeft w:val="0"/>
      <w:marRight w:val="0"/>
      <w:marTop w:val="0"/>
      <w:marBottom w:val="0"/>
      <w:divBdr>
        <w:top w:val="none" w:sz="0" w:space="0" w:color="auto"/>
        <w:left w:val="none" w:sz="0" w:space="0" w:color="auto"/>
        <w:bottom w:val="none" w:sz="0" w:space="0" w:color="auto"/>
        <w:right w:val="none" w:sz="0" w:space="0" w:color="auto"/>
      </w:divBdr>
      <w:divsChild>
        <w:div w:id="214976460">
          <w:marLeft w:val="0"/>
          <w:marRight w:val="0"/>
          <w:marTop w:val="0"/>
          <w:marBottom w:val="0"/>
          <w:divBdr>
            <w:top w:val="none" w:sz="0" w:space="0" w:color="auto"/>
            <w:left w:val="none" w:sz="0" w:space="0" w:color="auto"/>
            <w:bottom w:val="none" w:sz="0" w:space="0" w:color="auto"/>
            <w:right w:val="none" w:sz="0" w:space="0" w:color="auto"/>
          </w:divBdr>
          <w:divsChild>
            <w:div w:id="1044519438">
              <w:marLeft w:val="0"/>
              <w:marRight w:val="0"/>
              <w:marTop w:val="0"/>
              <w:marBottom w:val="0"/>
              <w:divBdr>
                <w:top w:val="none" w:sz="0" w:space="0" w:color="auto"/>
                <w:left w:val="none" w:sz="0" w:space="0" w:color="auto"/>
                <w:bottom w:val="none" w:sz="0" w:space="0" w:color="auto"/>
                <w:right w:val="none" w:sz="0" w:space="0" w:color="auto"/>
              </w:divBdr>
              <w:divsChild>
                <w:div w:id="10126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7389">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21372476">
      <w:bodyDiv w:val="1"/>
      <w:marLeft w:val="0"/>
      <w:marRight w:val="0"/>
      <w:marTop w:val="0"/>
      <w:marBottom w:val="0"/>
      <w:divBdr>
        <w:top w:val="none" w:sz="0" w:space="0" w:color="auto"/>
        <w:left w:val="none" w:sz="0" w:space="0" w:color="auto"/>
        <w:bottom w:val="none" w:sz="0" w:space="0" w:color="auto"/>
        <w:right w:val="none" w:sz="0" w:space="0" w:color="auto"/>
      </w:divBdr>
    </w:div>
    <w:div w:id="1115053437">
      <w:bodyDiv w:val="1"/>
      <w:marLeft w:val="0"/>
      <w:marRight w:val="0"/>
      <w:marTop w:val="0"/>
      <w:marBottom w:val="0"/>
      <w:divBdr>
        <w:top w:val="none" w:sz="0" w:space="0" w:color="auto"/>
        <w:left w:val="none" w:sz="0" w:space="0" w:color="auto"/>
        <w:bottom w:val="none" w:sz="0" w:space="0" w:color="auto"/>
        <w:right w:val="none" w:sz="0" w:space="0" w:color="auto"/>
      </w:divBdr>
    </w:div>
    <w:div w:id="1137797594">
      <w:bodyDiv w:val="1"/>
      <w:marLeft w:val="0"/>
      <w:marRight w:val="0"/>
      <w:marTop w:val="0"/>
      <w:marBottom w:val="0"/>
      <w:divBdr>
        <w:top w:val="none" w:sz="0" w:space="0" w:color="auto"/>
        <w:left w:val="none" w:sz="0" w:space="0" w:color="auto"/>
        <w:bottom w:val="none" w:sz="0" w:space="0" w:color="auto"/>
        <w:right w:val="none" w:sz="0" w:space="0" w:color="auto"/>
      </w:divBdr>
    </w:div>
    <w:div w:id="1311137743">
      <w:bodyDiv w:val="1"/>
      <w:marLeft w:val="0"/>
      <w:marRight w:val="0"/>
      <w:marTop w:val="0"/>
      <w:marBottom w:val="0"/>
      <w:divBdr>
        <w:top w:val="none" w:sz="0" w:space="0" w:color="auto"/>
        <w:left w:val="none" w:sz="0" w:space="0" w:color="auto"/>
        <w:bottom w:val="none" w:sz="0" w:space="0" w:color="auto"/>
        <w:right w:val="none" w:sz="0" w:space="0" w:color="auto"/>
      </w:divBdr>
    </w:div>
    <w:div w:id="17301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comoceanindien-my.sharepoint.com/personal/nirina_razafintsalama_coi-ioc_org/Documents/Dossiers%20Mission%20Audit%20Interne/Comit&#233;%20d'audit%20et%20des%20risques/Comit&#233;%20audit%202026/2.%20Mai%202026/Point%206%20-%20Suivi%20des%20recommandations/1.%20A"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Aparajita" panose="02020603050405020304" pitchFamily="18" charset="0"/>
              </a:defRPr>
            </a:pPr>
            <a:r>
              <a:rPr lang="en-US" sz="1100" b="1"/>
              <a:t>Recommandations restantes à implémenter par Service</a:t>
            </a:r>
          </a:p>
        </c:rich>
      </c:tx>
      <c:layout>
        <c:manualLayout>
          <c:xMode val="edge"/>
          <c:yMode val="edge"/>
          <c:x val="8.1436986684522344E-2"/>
          <c:y val="9.2592592592592587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Aparajita" panose="02020603050405020304" pitchFamily="18" charset="0"/>
            </a:defRPr>
          </a:pPr>
          <a:endParaRPr lang="fr-MU"/>
        </a:p>
      </c:txPr>
    </c:title>
    <c:autoTitleDeleted val="0"/>
    <c:plotArea>
      <c:layout>
        <c:manualLayout>
          <c:layoutTarget val="inner"/>
          <c:xMode val="edge"/>
          <c:yMode val="edge"/>
          <c:x val="0.15256426379360505"/>
          <c:y val="0.22071879628907773"/>
          <c:w val="0.41582724090358791"/>
          <c:h val="0.77928120723058603"/>
        </c:manualLayout>
      </c:layout>
      <c:doughnutChart>
        <c:varyColors val="1"/>
        <c:ser>
          <c:idx val="0"/>
          <c:order val="0"/>
          <c:tx>
            <c:strRef>
              <c:f>'[1. Audit Recos__màj_29012026.xlsx]TCD Source'!$H$35</c:f>
              <c:strCache>
                <c:ptCount val="1"/>
                <c:pt idx="0">
                  <c:v>Recommandations non implémentées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C5D-4BDC-A4BB-F9CCE53EA4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C5D-4BDC-A4BB-F9CCE53EA40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C5D-4BDC-A4BB-F9CCE53EA403}"/>
              </c:ext>
            </c:extLst>
          </c:dPt>
          <c:dPt>
            <c:idx val="3"/>
            <c:bubble3D val="0"/>
            <c:spPr>
              <a:solidFill>
                <a:srgbClr val="FF7C80"/>
              </a:solidFill>
              <a:ln w="19050">
                <a:solidFill>
                  <a:schemeClr val="lt1"/>
                </a:solidFill>
              </a:ln>
              <a:effectLst/>
            </c:spPr>
            <c:extLst>
              <c:ext xmlns:c16="http://schemas.microsoft.com/office/drawing/2014/chart" uri="{C3380CC4-5D6E-409C-BE32-E72D297353CC}">
                <c16:uniqueId val="{00000007-AC5D-4BDC-A4BB-F9CCE53EA403}"/>
              </c:ext>
            </c:extLst>
          </c:dPt>
          <c:dPt>
            <c:idx val="4"/>
            <c:bubble3D val="0"/>
            <c:spPr>
              <a:solidFill>
                <a:srgbClr val="3399FF"/>
              </a:solidFill>
              <a:ln w="19050">
                <a:solidFill>
                  <a:schemeClr val="lt1"/>
                </a:solidFill>
              </a:ln>
              <a:effectLst/>
            </c:spPr>
            <c:extLst>
              <c:ext xmlns:c16="http://schemas.microsoft.com/office/drawing/2014/chart" uri="{C3380CC4-5D6E-409C-BE32-E72D297353CC}">
                <c16:uniqueId val="{00000009-AC5D-4BDC-A4BB-F9CCE53EA403}"/>
              </c:ext>
            </c:extLst>
          </c:dPt>
          <c:dPt>
            <c:idx val="5"/>
            <c:bubble3D val="0"/>
            <c:spPr>
              <a:solidFill>
                <a:srgbClr val="00B050"/>
              </a:solidFill>
              <a:ln w="19050">
                <a:solidFill>
                  <a:schemeClr val="lt1"/>
                </a:solidFill>
              </a:ln>
              <a:effectLst/>
            </c:spPr>
            <c:extLst>
              <c:ext xmlns:c16="http://schemas.microsoft.com/office/drawing/2014/chart" uri="{C3380CC4-5D6E-409C-BE32-E72D297353CC}">
                <c16:uniqueId val="{0000000B-AC5D-4BDC-A4BB-F9CCE53EA403}"/>
              </c:ext>
            </c:extLst>
          </c:dPt>
          <c:dPt>
            <c:idx val="6"/>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D-AC5D-4BDC-A4BB-F9CCE53EA403}"/>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AC5D-4BDC-A4BB-F9CCE53EA403}"/>
              </c:ext>
            </c:extLst>
          </c:dPt>
          <c:dPt>
            <c:idx val="8"/>
            <c:bubble3D val="0"/>
            <c:spPr>
              <a:solidFill>
                <a:srgbClr val="FFC000"/>
              </a:solidFill>
              <a:ln w="19050">
                <a:solidFill>
                  <a:schemeClr val="lt1"/>
                </a:solidFill>
              </a:ln>
              <a:effectLst/>
            </c:spPr>
            <c:extLst>
              <c:ext xmlns:c16="http://schemas.microsoft.com/office/drawing/2014/chart" uri="{C3380CC4-5D6E-409C-BE32-E72D297353CC}">
                <c16:uniqueId val="{00000011-AC5D-4BDC-A4BB-F9CCE53EA403}"/>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AC5D-4BDC-A4BB-F9CCE53EA403}"/>
              </c:ext>
            </c:extLst>
          </c:dPt>
          <c:dLbls>
            <c:dLbl>
              <c:idx val="0"/>
              <c:layout>
                <c:manualLayout>
                  <c:x val="2.5834230355220669E-2"/>
                  <c:y val="-0.1574074074074073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C5D-4BDC-A4BB-F9CCE53EA403}"/>
                </c:ext>
              </c:extLst>
            </c:dLbl>
            <c:dLbl>
              <c:idx val="1"/>
              <c:layout>
                <c:manualLayout>
                  <c:x val="6.8891280947255107E-2"/>
                  <c:y val="-0.1574074074074074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C5D-4BDC-A4BB-F9CCE53EA403}"/>
                </c:ext>
              </c:extLst>
            </c:dLbl>
            <c:dLbl>
              <c:idx val="2"/>
              <c:layout>
                <c:manualLayout>
                  <c:x val="0.10118406889128095"/>
                  <c:y val="-0.1226851851851852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C5D-4BDC-A4BB-F9CCE53EA403}"/>
                </c:ext>
              </c:extLst>
            </c:dLbl>
            <c:dLbl>
              <c:idx val="3"/>
              <c:layout>
                <c:manualLayout>
                  <c:x val="0.11194833153928956"/>
                  <c:y val="-9.027777777777781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C5D-4BDC-A4BB-F9CCE53EA403}"/>
                </c:ext>
              </c:extLst>
            </c:dLbl>
            <c:dLbl>
              <c:idx val="4"/>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Aparajita" panose="02020603050405020304" pitchFamily="18" charset="0"/>
                    </a:defRPr>
                  </a:pPr>
                  <a:endParaRPr lang="fr-MU"/>
                </a:p>
              </c:txPr>
              <c:showLegendKey val="0"/>
              <c:showVal val="0"/>
              <c:showCatName val="0"/>
              <c:showSerName val="0"/>
              <c:showPercent val="1"/>
              <c:showBubbleSize val="0"/>
              <c:extLst>
                <c:ext xmlns:c16="http://schemas.microsoft.com/office/drawing/2014/chart" uri="{C3380CC4-5D6E-409C-BE32-E72D297353CC}">
                  <c16:uniqueId val="{00000009-AC5D-4BDC-A4BB-F9CCE53EA403}"/>
                </c:ext>
              </c:extLst>
            </c:dLbl>
            <c:dLbl>
              <c:idx val="5"/>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Aparajita" panose="02020603050405020304" pitchFamily="18" charset="0"/>
                    </a:defRPr>
                  </a:pPr>
                  <a:endParaRPr lang="fr-MU"/>
                </a:p>
              </c:txPr>
              <c:showLegendKey val="0"/>
              <c:showVal val="0"/>
              <c:showCatName val="0"/>
              <c:showSerName val="0"/>
              <c:showPercent val="1"/>
              <c:showBubbleSize val="0"/>
              <c:extLst>
                <c:ext xmlns:c16="http://schemas.microsoft.com/office/drawing/2014/chart" uri="{C3380CC4-5D6E-409C-BE32-E72D297353CC}">
                  <c16:uniqueId val="{0000000B-AC5D-4BDC-A4BB-F9CCE53EA403}"/>
                </c:ext>
              </c:extLst>
            </c:dLbl>
            <c:dLbl>
              <c:idx val="6"/>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Aparajita" panose="02020603050405020304" pitchFamily="18" charset="0"/>
                    </a:defRPr>
                  </a:pPr>
                  <a:endParaRPr lang="fr-MU"/>
                </a:p>
              </c:txPr>
              <c:showLegendKey val="0"/>
              <c:showVal val="0"/>
              <c:showCatName val="0"/>
              <c:showSerName val="0"/>
              <c:showPercent val="1"/>
              <c:showBubbleSize val="0"/>
              <c:extLst>
                <c:ext xmlns:c16="http://schemas.microsoft.com/office/drawing/2014/chart" uri="{C3380CC4-5D6E-409C-BE32-E72D297353CC}">
                  <c16:uniqueId val="{0000000D-AC5D-4BDC-A4BB-F9CCE53EA403}"/>
                </c:ext>
              </c:extLst>
            </c:dLbl>
            <c:dLbl>
              <c:idx val="7"/>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Aparajita" panose="02020603050405020304" pitchFamily="18" charset="0"/>
                    </a:defRPr>
                  </a:pPr>
                  <a:endParaRPr lang="fr-MU"/>
                </a:p>
              </c:txPr>
              <c:showLegendKey val="0"/>
              <c:showVal val="0"/>
              <c:showCatName val="0"/>
              <c:showSerName val="0"/>
              <c:showPercent val="1"/>
              <c:showBubbleSize val="0"/>
              <c:extLst>
                <c:ext xmlns:c16="http://schemas.microsoft.com/office/drawing/2014/chart" uri="{C3380CC4-5D6E-409C-BE32-E72D297353CC}">
                  <c16:uniqueId val="{0000000F-AC5D-4BDC-A4BB-F9CCE53EA403}"/>
                </c:ext>
              </c:extLst>
            </c:dLbl>
            <c:dLbl>
              <c:idx val="8"/>
              <c:layout>
                <c:manualLayout>
                  <c:x val="-9.041980624327238E-2"/>
                  <c:y val="-0.1620370370370370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AC5D-4BDC-A4BB-F9CCE53EA403}"/>
                </c:ext>
              </c:extLst>
            </c:dLbl>
            <c:dLbl>
              <c:idx val="9"/>
              <c:layout>
                <c:manualLayout>
                  <c:x val="-6.4585575888052062E-3"/>
                  <c:y val="-0.1828703703703703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AC5D-4BDC-A4BB-F9CCE53EA403}"/>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Aparajita" panose="02020603050405020304" pitchFamily="18" charset="0"/>
                  </a:defRPr>
                </a:pPr>
                <a:endParaRPr lang="fr-M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 Audit Recos__màj_29012026.xlsx]TCD Source'!$G$36:$G$45</c:f>
              <c:strCache>
                <c:ptCount val="10"/>
                <c:pt idx="0">
                  <c:v>Audit Interne</c:v>
                </c:pt>
                <c:pt idx="1">
                  <c:v>Chefs de Projet</c:v>
                </c:pt>
                <c:pt idx="2">
                  <c:v>Responsable administratif et logistique</c:v>
                </c:pt>
                <c:pt idx="3">
                  <c:v>Chargé de mission</c:v>
                </c:pt>
                <c:pt idx="4">
                  <c:v>Ressources Humaines</c:v>
                </c:pt>
                <c:pt idx="5">
                  <c:v>Service Marchés &amp; Contrats</c:v>
                </c:pt>
                <c:pt idx="6">
                  <c:v>Service Technologie Informatique</c:v>
                </c:pt>
                <c:pt idx="7">
                  <c:v>Service Budget et Finance</c:v>
                </c:pt>
                <c:pt idx="8">
                  <c:v>Gestionnaire des risques</c:v>
                </c:pt>
                <c:pt idx="9">
                  <c:v>Mobilisation des ressources</c:v>
                </c:pt>
              </c:strCache>
            </c:strRef>
          </c:cat>
          <c:val>
            <c:numRef>
              <c:f>'[1. Audit Recos__màj_29012026.xlsx]TCD Source'!$H$36:$H$45</c:f>
              <c:numCache>
                <c:formatCode>General</c:formatCode>
                <c:ptCount val="10"/>
                <c:pt idx="0">
                  <c:v>4</c:v>
                </c:pt>
                <c:pt idx="1">
                  <c:v>1</c:v>
                </c:pt>
                <c:pt idx="2">
                  <c:v>3</c:v>
                </c:pt>
                <c:pt idx="3">
                  <c:v>2</c:v>
                </c:pt>
                <c:pt idx="4">
                  <c:v>11</c:v>
                </c:pt>
                <c:pt idx="5">
                  <c:v>27</c:v>
                </c:pt>
                <c:pt idx="6">
                  <c:v>33</c:v>
                </c:pt>
                <c:pt idx="7">
                  <c:v>23</c:v>
                </c:pt>
                <c:pt idx="8">
                  <c:v>2</c:v>
                </c:pt>
                <c:pt idx="9">
                  <c:v>1</c:v>
                </c:pt>
              </c:numCache>
            </c:numRef>
          </c:val>
          <c:extLst>
            <c:ext xmlns:c16="http://schemas.microsoft.com/office/drawing/2014/chart" uri="{C3380CC4-5D6E-409C-BE32-E72D297353CC}">
              <c16:uniqueId val="{00000014-AC5D-4BDC-A4BB-F9CCE53EA403}"/>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5950622989282104"/>
          <c:y val="0.1339114902303879"/>
          <c:w val="0.32288619114484279"/>
          <c:h val="0.832921041119859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Aparajita" panose="02020603050405020304" pitchFamily="18" charset="0"/>
            </a:defRPr>
          </a:pPr>
          <a:endParaRPr lang="fr-M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Verdana" panose="020B0604030504040204" pitchFamily="34" charset="0"/>
          <a:ea typeface="Verdana" panose="020B0604030504040204" pitchFamily="34" charset="0"/>
          <a:cs typeface="Aparajita" panose="02020603050405020304" pitchFamily="18" charset="0"/>
        </a:defRPr>
      </a:pPr>
      <a:endParaRPr lang="fr-M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6406</Characters>
  <Application>Microsoft Office Word</Application>
  <DocSecurity>0</DocSecurity>
  <Lines>133</Lines>
  <Paragraphs>89</Paragraphs>
  <ScaleCrop>false</ScaleCrop>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2026-05-07T07:58:00Z</dcterms:created>
  <dcterms:modified xsi:type="dcterms:W3CDTF">2026-05-07T07:58:00Z</dcterms:modified>
</cp:coreProperties>
</file>