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358CC59" w:rsidR="00C12C93" w:rsidRPr="00816DA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1EA20002" w:rsidR="00EC22CC" w:rsidRDefault="00951E21" w:rsidP="00854EEA">
            <w:pPr>
              <w:jc w:val="center"/>
              <w:rPr>
                <w:rFonts w:ascii="Verdana" w:hAnsi="Verdana"/>
                <w:b/>
                <w:bCs/>
                <w:sz w:val="20"/>
                <w:szCs w:val="20"/>
              </w:rPr>
            </w:pPr>
            <w:r>
              <w:rPr>
                <w:rFonts w:ascii="Verdana" w:hAnsi="Verdana"/>
                <w:b/>
                <w:bCs/>
              </w:rPr>
              <w:t xml:space="preserve">Révision </w:t>
            </w:r>
            <w:r w:rsidR="004B413A">
              <w:rPr>
                <w:rFonts w:ascii="Verdana" w:hAnsi="Verdana"/>
                <w:b/>
                <w:bCs/>
              </w:rPr>
              <w:t>de l’accord du siège</w:t>
            </w:r>
            <w:r>
              <w:rPr>
                <w:rFonts w:ascii="Verdana" w:hAnsi="Verdana"/>
                <w:b/>
                <w:bCs/>
              </w:rPr>
              <w:t xml:space="preserve"> </w:t>
            </w:r>
          </w:p>
        </w:tc>
      </w:tr>
      <w:tr w:rsidR="00787413" w14:paraId="7F1B63D2" w14:textId="77777777" w:rsidTr="002A0933">
        <w:tc>
          <w:tcPr>
            <w:tcW w:w="7225" w:type="dxa"/>
          </w:tcPr>
          <w:p w14:paraId="056D9B10" w14:textId="3C7A9551" w:rsidR="00787413" w:rsidRPr="002A096E" w:rsidRDefault="00787413" w:rsidP="00787413">
            <w:pPr>
              <w:rPr>
                <w:rFonts w:ascii="Verdana" w:hAnsi="Verdana"/>
                <w:sz w:val="20"/>
                <w:szCs w:val="20"/>
              </w:rPr>
            </w:pPr>
            <w:r>
              <w:rPr>
                <w:rFonts w:ascii="Verdana" w:hAnsi="Verdana"/>
                <w:sz w:val="20"/>
                <w:szCs w:val="20"/>
              </w:rPr>
              <w:t>Comité des OPL 0</w:t>
            </w:r>
            <w:r w:rsidR="00670175">
              <w:rPr>
                <w:rFonts w:ascii="Verdana" w:hAnsi="Verdana"/>
                <w:sz w:val="20"/>
                <w:szCs w:val="20"/>
              </w:rPr>
              <w:t>2</w:t>
            </w:r>
            <w:r>
              <w:rPr>
                <w:rFonts w:ascii="Verdana" w:hAnsi="Verdana"/>
                <w:sz w:val="20"/>
                <w:szCs w:val="20"/>
              </w:rPr>
              <w:t>/202</w:t>
            </w:r>
            <w:r w:rsidR="00EC7DFF">
              <w:rPr>
                <w:rFonts w:ascii="Verdana" w:hAnsi="Verdana"/>
                <w:sz w:val="20"/>
                <w:szCs w:val="20"/>
              </w:rPr>
              <w:t>6</w:t>
            </w:r>
            <w:r>
              <w:rPr>
                <w:rFonts w:ascii="Verdana" w:hAnsi="Verdana"/>
                <w:sz w:val="20"/>
                <w:szCs w:val="20"/>
              </w:rPr>
              <w:t xml:space="preserve"> des </w:t>
            </w:r>
            <w:r w:rsidR="00EC7DFF">
              <w:rPr>
                <w:rFonts w:ascii="Verdana" w:hAnsi="Verdana"/>
                <w:sz w:val="20"/>
                <w:szCs w:val="20"/>
              </w:rPr>
              <w:t>5,6 et 7 mai 2026</w:t>
            </w:r>
          </w:p>
        </w:tc>
        <w:tc>
          <w:tcPr>
            <w:tcW w:w="1837" w:type="dxa"/>
          </w:tcPr>
          <w:p w14:paraId="58E25D1F" w14:textId="72155C5A" w:rsidR="00787413" w:rsidRPr="002A0933" w:rsidRDefault="00787413" w:rsidP="00787413">
            <w:pPr>
              <w:jc w:val="center"/>
              <w:rPr>
                <w:rFonts w:ascii="Verdana" w:hAnsi="Verdana"/>
                <w:sz w:val="20"/>
                <w:szCs w:val="20"/>
              </w:rPr>
            </w:pPr>
            <w:r w:rsidRPr="002A0933">
              <w:rPr>
                <w:rFonts w:ascii="Verdana" w:hAnsi="Verdana"/>
                <w:sz w:val="20"/>
                <w:szCs w:val="20"/>
              </w:rPr>
              <w:t xml:space="preserve">Point </w:t>
            </w:r>
            <w:r>
              <w:rPr>
                <w:rFonts w:ascii="Verdana" w:hAnsi="Verdana"/>
                <w:sz w:val="20"/>
                <w:szCs w:val="20"/>
              </w:rPr>
              <w:t>3.</w:t>
            </w:r>
            <w:r w:rsidR="003612FF">
              <w:rPr>
                <w:rFonts w:ascii="Verdana" w:hAnsi="Verdana"/>
                <w:sz w:val="20"/>
                <w:szCs w:val="20"/>
              </w:rPr>
              <w:t>5</w:t>
            </w:r>
          </w:p>
        </w:tc>
      </w:tr>
      <w:tr w:rsidR="00787413" w14:paraId="537D1DE5" w14:textId="77777777" w:rsidTr="002A0933">
        <w:tc>
          <w:tcPr>
            <w:tcW w:w="7225" w:type="dxa"/>
          </w:tcPr>
          <w:p w14:paraId="43DEF09E" w14:textId="3884CDED" w:rsidR="00787413" w:rsidRPr="00A37C9F" w:rsidRDefault="00787413" w:rsidP="00787413">
            <w:pPr>
              <w:rPr>
                <w:rFonts w:ascii="Verdana" w:hAnsi="Verdana"/>
                <w:sz w:val="20"/>
                <w:szCs w:val="20"/>
              </w:rPr>
            </w:pPr>
            <w:r w:rsidRPr="00A148A1">
              <w:rPr>
                <w:rFonts w:ascii="Verdana" w:hAnsi="Verdana"/>
                <w:i/>
                <w:iCs/>
                <w:sz w:val="20"/>
                <w:szCs w:val="20"/>
              </w:rPr>
              <w:t>Dossier suivi par :</w:t>
            </w:r>
            <w:r w:rsidRPr="00A37C9F">
              <w:rPr>
                <w:rFonts w:ascii="Verdana" w:hAnsi="Verdana"/>
                <w:sz w:val="20"/>
                <w:szCs w:val="20"/>
              </w:rPr>
              <w:t xml:space="preserve"> </w:t>
            </w:r>
          </w:p>
        </w:tc>
        <w:tc>
          <w:tcPr>
            <w:tcW w:w="1837" w:type="dxa"/>
          </w:tcPr>
          <w:p w14:paraId="5AC1AFAB" w14:textId="257895D1" w:rsidR="00787413" w:rsidRPr="002A0933" w:rsidRDefault="00787413" w:rsidP="00787413">
            <w:pPr>
              <w:jc w:val="center"/>
              <w:rPr>
                <w:rFonts w:ascii="Verdana" w:hAnsi="Verdana"/>
                <w:sz w:val="20"/>
                <w:szCs w:val="20"/>
              </w:rPr>
            </w:pPr>
            <w:r w:rsidRPr="0024608B">
              <w:rPr>
                <w:rFonts w:ascii="Verdana" w:hAnsi="Verdana"/>
                <w:sz w:val="20"/>
                <w:szCs w:val="20"/>
              </w:rPr>
              <w:t>Décision</w:t>
            </w:r>
          </w:p>
        </w:tc>
      </w:tr>
      <w:tr w:rsidR="00787413" w14:paraId="6896DB30" w14:textId="77777777" w:rsidTr="009F5233">
        <w:tc>
          <w:tcPr>
            <w:tcW w:w="9062" w:type="dxa"/>
            <w:gridSpan w:val="2"/>
          </w:tcPr>
          <w:p w14:paraId="0495241B" w14:textId="36BFD61C" w:rsidR="00787413" w:rsidRDefault="00787413" w:rsidP="00787413">
            <w:pPr>
              <w:rPr>
                <w:rFonts w:ascii="Verdana" w:hAnsi="Verdana"/>
                <w:sz w:val="20"/>
                <w:szCs w:val="20"/>
              </w:rPr>
            </w:pPr>
            <w:r>
              <w:rPr>
                <w:rFonts w:ascii="Verdana" w:hAnsi="Verdana"/>
                <w:i/>
                <w:iCs/>
                <w:sz w:val="20"/>
                <w:szCs w:val="20"/>
              </w:rPr>
              <w:t xml:space="preserve">Version du </w:t>
            </w:r>
            <w:r w:rsidR="003612FF">
              <w:rPr>
                <w:rFonts w:ascii="Verdana" w:hAnsi="Verdana"/>
                <w:i/>
                <w:iCs/>
                <w:sz w:val="20"/>
                <w:szCs w:val="20"/>
              </w:rPr>
              <w:t>04 mai</w:t>
            </w:r>
            <w:r w:rsidR="00EC7DFF">
              <w:rPr>
                <w:rFonts w:ascii="Verdana" w:hAnsi="Verdana"/>
                <w:i/>
                <w:iCs/>
                <w:sz w:val="20"/>
                <w:szCs w:val="20"/>
              </w:rPr>
              <w:t xml:space="preserve"> </w:t>
            </w:r>
            <w:r w:rsidR="00243978">
              <w:rPr>
                <w:rFonts w:ascii="Verdana" w:hAnsi="Verdana"/>
                <w:i/>
                <w:iCs/>
                <w:sz w:val="20"/>
                <w:szCs w:val="20"/>
              </w:rPr>
              <w:t>2026</w:t>
            </w:r>
          </w:p>
        </w:tc>
      </w:tr>
    </w:tbl>
    <w:p w14:paraId="1611BCC4" w14:textId="77777777" w:rsidR="00854EEA" w:rsidRDefault="00854EEA" w:rsidP="00816DAC">
      <w:pPr>
        <w:pStyle w:val="Paragraphe"/>
      </w:pPr>
      <w:bookmarkStart w:id="0" w:name="_Hlk24535240"/>
    </w:p>
    <w:p w14:paraId="7B029DAB" w14:textId="21099730" w:rsidR="00BD7DFC" w:rsidRDefault="000F1FA5" w:rsidP="00BD7DFC">
      <w:pPr>
        <w:pStyle w:val="Titrepartie"/>
        <w:numPr>
          <w:ilvl w:val="0"/>
          <w:numId w:val="17"/>
        </w:numPr>
      </w:pPr>
      <w:r>
        <w:t>Accord de siège</w:t>
      </w:r>
    </w:p>
    <w:p w14:paraId="678F0DFC" w14:textId="6A207A59" w:rsidR="00854EEA" w:rsidRPr="0008468B" w:rsidRDefault="00C35ED7" w:rsidP="005871F0">
      <w:pPr>
        <w:pStyle w:val="Sous-partie2"/>
        <w:numPr>
          <w:ilvl w:val="1"/>
          <w:numId w:val="17"/>
        </w:numPr>
        <w:ind w:left="1080" w:hanging="720"/>
      </w:pPr>
      <w:r>
        <w:t>Etats des lieux</w:t>
      </w:r>
      <w:r w:rsidR="00260B2F">
        <w:t> :</w:t>
      </w:r>
    </w:p>
    <w:p w14:paraId="2CED8A13" w14:textId="6AD2B6E0" w:rsidR="00937053" w:rsidRPr="00452273" w:rsidRDefault="00937053" w:rsidP="00937053">
      <w:pPr>
        <w:pStyle w:val="Paragraphe"/>
      </w:pPr>
      <w:r w:rsidRPr="00452273">
        <w:t xml:space="preserve">L’Accord de siège conclu en 1989 </w:t>
      </w:r>
      <w:r w:rsidR="00BF7B54" w:rsidRPr="00452273">
        <w:t xml:space="preserve">et ratifié en 2008 </w:t>
      </w:r>
      <w:r w:rsidRPr="00452273">
        <w:t>entre la République de Maurice et la Commission de l’océan Indien (COI) ne correspond plus aux réalités actuelles, en raison de l’évolution du contexte institutionnel et de la maturité de l’organisation. Certaines dispositions, notamment relatives aux immunités et privilèges, posent aujourd’hui des difficultés d’application, en particulier au regard du droit international.</w:t>
      </w:r>
    </w:p>
    <w:p w14:paraId="26B13139" w14:textId="7D7A5A0E" w:rsidR="00BF7B54" w:rsidRPr="00452273" w:rsidRDefault="00BF7B54" w:rsidP="00BF7B54">
      <w:pPr>
        <w:pStyle w:val="Paragraphe"/>
        <w:rPr>
          <w:lang/>
        </w:rPr>
      </w:pPr>
      <w:r w:rsidRPr="00452273">
        <w:rPr>
          <w:lang/>
        </w:rPr>
        <w:t>En effet, la COI a connu une évolution significative de ses missions et de son rôle en devenant notamment Ordonnateur régional et un acteur clé de la maîtrise d’ouvrage et de la mise en œuvre de projets et programmes régionaux. Cette évolution s’accompagne d’une diversification des catégories de personnel (personnel permanent, assistance technique, personnel mis à disposition, stagiaires, etc.) soulevant des enjeux nouveaux en matière de statut, de privilèges et d’encadrement juridique qui ne sont pas pleinement couverts par l’Accord actuel.</w:t>
      </w:r>
    </w:p>
    <w:p w14:paraId="134462A3" w14:textId="69353563" w:rsidR="00BF7B54" w:rsidRPr="00452273" w:rsidRDefault="00BF7B54" w:rsidP="00937053">
      <w:pPr>
        <w:pStyle w:val="Paragraphe"/>
        <w:rPr>
          <w:lang/>
        </w:rPr>
      </w:pPr>
      <w:r w:rsidRPr="00452273">
        <w:rPr>
          <w:lang/>
        </w:rPr>
        <w:t>Par ailleurs, certaines dispositions de l’Accord ne reflètent plus la réalité opérationnelle de l’organisation notamment en ce qui concerne son implantation physique; l’Accord faisant référence à des locaux situés à Quatre-Bornes alors que le Secrétariat général est établi à Ébène depuis 2012.</w:t>
      </w:r>
    </w:p>
    <w:p w14:paraId="2FD6C682" w14:textId="77777777" w:rsidR="00937053" w:rsidRDefault="00937053" w:rsidP="00937053">
      <w:pPr>
        <w:pStyle w:val="Paragraphe"/>
      </w:pPr>
      <w:r w:rsidRPr="00452273">
        <w:t>Dès 2015, le Secrétariat général a engagé des démarches auprès des autorités mauriciennes en vue de la modernisation de cet Accord, à la suite de constats partagés sur la nécessité de l’adapter aux besoins actuels de la COI. Un projet révisé ainsi qu’un tabl</w:t>
      </w:r>
      <w:r>
        <w:t>eau comparatif avec l’Accord en vigueur ont été élaborés, avec pour objectifs de préserver l’esprit du texte initial, clarifier les dispositions ambiguës et assurer la conformité avec le droit international public, tout en apportant des réponses aux difficultés rencontrées, notamment en matière d’immunités et privilèges, de TVA et de fiscalité.</w:t>
      </w:r>
    </w:p>
    <w:p w14:paraId="5D8A2744" w14:textId="77777777" w:rsidR="00937053" w:rsidRDefault="00937053" w:rsidP="00937053">
      <w:pPr>
        <w:pStyle w:val="Paragraphe"/>
      </w:pPr>
      <w:r>
        <w:t>En 2017, le Comité extraordinaire des OPL a pris note, dans sa décision 3(a) des 29–30 septembre, de la décision de la République de Maurice de ne pas modifier l’Accord de siège, dans le cadre d’un exercice plus large d’harmonisation des accords régissant les entités régionales et internationales basées à Maurice.</w:t>
      </w:r>
    </w:p>
    <w:p w14:paraId="181144D5" w14:textId="77777777" w:rsidR="00937053" w:rsidRDefault="00937053" w:rsidP="00937053">
      <w:pPr>
        <w:pStyle w:val="Paragraphe"/>
      </w:pPr>
      <w:r>
        <w:t>Postérieurement à cette étape, la révision des statuts du personnel de la COI a mis en lumière de nouvelles questions relatives au statut de fonctionnaire international des agents de la COI, au regard des standards internationaux et du cadre juridique applicable aux différentes catégories de personnel. Plusieurs de ces enjeux apparaissent étroitement liés à l’Accord de siège.</w:t>
      </w:r>
    </w:p>
    <w:p w14:paraId="6615C33A" w14:textId="01CE3C55" w:rsidR="00EA4D39" w:rsidRDefault="00EA4D39" w:rsidP="00937053">
      <w:pPr>
        <w:pStyle w:val="Paragraphe"/>
      </w:pPr>
      <w:r w:rsidRPr="00EA4D39">
        <w:t>Par ailleurs, la décision 18(f) du Comité des OPL (02/24) des 2 et 3 décembre 2024 encourage le Secrétariat général à reprendre les discussions avec la République de Maurice sur cette question.</w:t>
      </w:r>
    </w:p>
    <w:p w14:paraId="09C90E9C" w14:textId="7BB8A743" w:rsidR="00BB50C1" w:rsidRDefault="00937053" w:rsidP="002C56ED">
      <w:pPr>
        <w:pStyle w:val="Paragraphe"/>
      </w:pPr>
      <w:r>
        <w:t>Dans ce contexte, et compte tenu des efforts de modernisation engagés ainsi que des évolutions significatives intervenues depuis 1989, le Secrétariat général estime qu’une actualisation de l’Accord de siège demeure nécessaire afin de mieux refléter les réalités actuelles de l’organisation.</w:t>
      </w:r>
    </w:p>
    <w:p w14:paraId="03D8BE6D" w14:textId="77777777" w:rsidR="00BF7B54" w:rsidRPr="00937053" w:rsidRDefault="00BF7B54" w:rsidP="002C56ED">
      <w:pPr>
        <w:pStyle w:val="Paragraphe"/>
      </w:pPr>
    </w:p>
    <w:p w14:paraId="1B23AB24" w14:textId="628C10BA" w:rsidR="00CA6477" w:rsidRDefault="00BF7B54" w:rsidP="005871F0">
      <w:pPr>
        <w:pStyle w:val="Sous-partie2"/>
        <w:numPr>
          <w:ilvl w:val="1"/>
          <w:numId w:val="17"/>
        </w:numPr>
        <w:ind w:left="1080" w:hanging="720"/>
      </w:pPr>
      <w:r w:rsidRPr="0008468B">
        <w:t>État</w:t>
      </w:r>
      <w:r w:rsidR="00CA6477" w:rsidRPr="0008468B">
        <w:t xml:space="preserve"> d’avancement</w:t>
      </w:r>
      <w:r w:rsidR="00CA6477">
        <w:t xml:space="preserve"> : </w:t>
      </w:r>
      <w:r w:rsidR="00EB33BA" w:rsidRPr="000D4C6E">
        <w:t>Révision du statut du personnel</w:t>
      </w:r>
      <w:r w:rsidR="00EB33BA">
        <w:t xml:space="preserve"> </w:t>
      </w:r>
    </w:p>
    <w:p w14:paraId="4769FA8A" w14:textId="56000E8C" w:rsidR="00544C1D" w:rsidRPr="00544C1D" w:rsidRDefault="00452273" w:rsidP="00544C1D">
      <w:pPr>
        <w:pStyle w:val="Paragraphe"/>
      </w:pPr>
      <w:r w:rsidRPr="00544C1D">
        <w:t>À la suite de</w:t>
      </w:r>
      <w:r w:rsidR="00544C1D" w:rsidRPr="00544C1D">
        <w:t xml:space="preserve"> la décision 18(f) du Comité des OPL (02/24), des échanges sont en cours avec la partie mauricienne en vue de convenir prochainement d’une date de réunion pour la reprise des discussions.</w:t>
      </w:r>
    </w:p>
    <w:p w14:paraId="2F7F5914" w14:textId="7F6E1135" w:rsidR="00955BB3" w:rsidRPr="0008468B" w:rsidRDefault="00955BB3" w:rsidP="003E0E8B">
      <w:pPr>
        <w:pStyle w:val="Titrepartie"/>
        <w:numPr>
          <w:ilvl w:val="0"/>
          <w:numId w:val="17"/>
        </w:numPr>
      </w:pPr>
      <w:r w:rsidRPr="0008468B">
        <w:t>Proposition de décision</w:t>
      </w:r>
    </w:p>
    <w:p w14:paraId="05F1F967" w14:textId="20D253B9" w:rsidR="0008468B" w:rsidRPr="00452273" w:rsidRDefault="0008468B" w:rsidP="00FE285D">
      <w:pPr>
        <w:pStyle w:val="Paragraphe"/>
      </w:pPr>
      <w:r w:rsidRPr="00452273">
        <w:t>Le Comité des OPL</w:t>
      </w:r>
      <w:r w:rsidR="00A76B07" w:rsidRPr="00452273">
        <w:t> :</w:t>
      </w:r>
    </w:p>
    <w:p w14:paraId="579D3D46" w14:textId="06B29A60" w:rsidR="00BF7B54" w:rsidRPr="00452273" w:rsidRDefault="00BF7B54" w:rsidP="00BF7B54">
      <w:pPr>
        <w:pStyle w:val="Paragraphe"/>
        <w:numPr>
          <w:ilvl w:val="0"/>
          <w:numId w:val="22"/>
        </w:numPr>
        <w:rPr>
          <w:lang/>
        </w:rPr>
      </w:pPr>
      <w:r w:rsidRPr="00452273">
        <w:rPr>
          <w:lang/>
        </w:rPr>
        <w:t>Prend note de l’état des lieux de l’Accord de siège conclu en 1989 entre la République de Maurice et la COI, ratifié en 2008, ainsi que des démarches engagées depuis 2015 en vue de sa modernisation</w:t>
      </w:r>
      <w:r w:rsidR="00452273" w:rsidRPr="00452273">
        <w:rPr>
          <w:lang/>
        </w:rPr>
        <w:t> </w:t>
      </w:r>
      <w:r w:rsidR="00452273" w:rsidRPr="00452273">
        <w:t>;</w:t>
      </w:r>
    </w:p>
    <w:p w14:paraId="46448DE8" w14:textId="4E6757DB" w:rsidR="00BF7B54" w:rsidRPr="00452273" w:rsidRDefault="00BF7B54" w:rsidP="00BF7B54">
      <w:pPr>
        <w:pStyle w:val="Paragraphe"/>
        <w:numPr>
          <w:ilvl w:val="0"/>
          <w:numId w:val="22"/>
        </w:numPr>
        <w:rPr>
          <w:lang/>
        </w:rPr>
      </w:pPr>
      <w:r w:rsidRPr="00452273">
        <w:rPr>
          <w:lang/>
        </w:rPr>
        <w:t>Rappelle que certaines dispositions de cet Accord ne reflètent plus pleinement les réalités actuelles de la COI ni les standards du droit international notamment en matière de privilèges et immunités, de statut du personnel et de régime fiscal</w:t>
      </w:r>
      <w:r w:rsidR="00452273" w:rsidRPr="00452273">
        <w:rPr>
          <w:lang/>
        </w:rPr>
        <w:t> </w:t>
      </w:r>
      <w:r w:rsidR="00452273" w:rsidRPr="00452273">
        <w:t>;</w:t>
      </w:r>
    </w:p>
    <w:p w14:paraId="4F04D133" w14:textId="596068D6" w:rsidR="00BF7B54" w:rsidRPr="00452273" w:rsidRDefault="00BF7B54" w:rsidP="00BF7B54">
      <w:pPr>
        <w:pStyle w:val="Paragraphe"/>
        <w:numPr>
          <w:ilvl w:val="0"/>
          <w:numId w:val="22"/>
        </w:numPr>
        <w:rPr>
          <w:lang/>
        </w:rPr>
      </w:pPr>
      <w:r w:rsidRPr="00452273">
        <w:rPr>
          <w:lang/>
        </w:rPr>
        <w:t xml:space="preserve">Note que </w:t>
      </w:r>
      <w:r w:rsidR="00452273" w:rsidRPr="00452273">
        <w:t>la proposition de</w:t>
      </w:r>
      <w:r w:rsidRPr="00452273">
        <w:rPr>
          <w:lang/>
        </w:rPr>
        <w:t xml:space="preserve"> révision s’inscrit dans un processus plus large d’harmonisation des accords applicables aux organisations internationales basées à Maurice</w:t>
      </w:r>
      <w:r w:rsidR="00452273" w:rsidRPr="00452273">
        <w:rPr>
          <w:lang/>
        </w:rPr>
        <w:t> </w:t>
      </w:r>
      <w:r w:rsidR="00452273" w:rsidRPr="00452273">
        <w:t>;</w:t>
      </w:r>
      <w:r w:rsidRPr="00452273">
        <w:rPr>
          <w:lang/>
        </w:rPr>
        <w:t xml:space="preserve"> </w:t>
      </w:r>
    </w:p>
    <w:p w14:paraId="020E99D8" w14:textId="0673B81C" w:rsidR="001E3803" w:rsidRPr="00452273" w:rsidRDefault="00BF7B54" w:rsidP="00BF7B54">
      <w:pPr>
        <w:pStyle w:val="Paragraphe"/>
        <w:numPr>
          <w:ilvl w:val="0"/>
          <w:numId w:val="22"/>
        </w:numPr>
        <w:rPr>
          <w:lang/>
        </w:rPr>
      </w:pPr>
      <w:r w:rsidRPr="00452273">
        <w:t>Encourage la reprise active des discussions avec la République de Maurice y compris l’examen de solutions transitoires ou ciblées afin de répondre aux besoins urgents identifiés et demande au Secrétariat général de faire rapport sur les avancées lors de la prochaine réunion.</w:t>
      </w:r>
    </w:p>
    <w:bookmarkEnd w:id="0"/>
    <w:p w14:paraId="1D6F1669" w14:textId="72833CAD" w:rsidR="00417683" w:rsidRPr="0008468B" w:rsidRDefault="00417683" w:rsidP="003E0E8B">
      <w:pPr>
        <w:pStyle w:val="Titrepartie"/>
        <w:numPr>
          <w:ilvl w:val="0"/>
          <w:numId w:val="17"/>
        </w:numPr>
      </w:pPr>
      <w:r w:rsidRPr="0008468B">
        <w:t>Annexe</w:t>
      </w:r>
      <w:r w:rsidR="008F173C" w:rsidRPr="0008468B">
        <w:t>s</w:t>
      </w:r>
      <w:r w:rsidRPr="0008468B">
        <w:t> :</w:t>
      </w:r>
    </w:p>
    <w:p w14:paraId="4115102C" w14:textId="1B66924C" w:rsidR="00206E8F" w:rsidRDefault="00206E8F" w:rsidP="00B00115">
      <w:pPr>
        <w:pStyle w:val="Paragraphe"/>
        <w:numPr>
          <w:ilvl w:val="0"/>
          <w:numId w:val="13"/>
        </w:numPr>
      </w:pPr>
      <w:r>
        <w:t xml:space="preserve">Annexe </w:t>
      </w:r>
      <w:r w:rsidR="00B32A2C">
        <w:t>1</w:t>
      </w:r>
      <w:r>
        <w:t xml:space="preserve"> : </w:t>
      </w:r>
      <w:r w:rsidR="00C169CB">
        <w:t xml:space="preserve">Accord de siège </w:t>
      </w:r>
      <w:r w:rsidR="00863E46">
        <w:t xml:space="preserve">1989 </w:t>
      </w:r>
    </w:p>
    <w:p w14:paraId="2DF94CB2" w14:textId="13FB729B" w:rsidR="003A6631" w:rsidRDefault="003A6631" w:rsidP="00B00115">
      <w:pPr>
        <w:pStyle w:val="Paragraphe"/>
        <w:numPr>
          <w:ilvl w:val="0"/>
          <w:numId w:val="13"/>
        </w:numPr>
      </w:pPr>
      <w:r>
        <w:t xml:space="preserve">Annexe </w:t>
      </w:r>
      <w:r w:rsidR="00B32A2C">
        <w:t>2</w:t>
      </w:r>
      <w:r>
        <w:t xml:space="preserve"> : </w:t>
      </w:r>
      <w:r w:rsidR="00863E46">
        <w:t xml:space="preserve">Duty et privilèges </w:t>
      </w:r>
    </w:p>
    <w:p w14:paraId="7C9AFDEF" w14:textId="3D01D885" w:rsidR="006D0215" w:rsidRDefault="006D0215" w:rsidP="00B00115">
      <w:pPr>
        <w:pStyle w:val="Paragraphe"/>
        <w:numPr>
          <w:ilvl w:val="0"/>
          <w:numId w:val="13"/>
        </w:numPr>
      </w:pPr>
      <w:r>
        <w:t xml:space="preserve">Annexe 3 : </w:t>
      </w:r>
      <w:r w:rsidR="00863E46">
        <w:t>Articles 37 – Convention de Vienne</w:t>
      </w:r>
    </w:p>
    <w:p w14:paraId="3B300DD1" w14:textId="64700FFD" w:rsidR="00BF7B54" w:rsidRPr="00452273" w:rsidRDefault="00BF7B54" w:rsidP="00B00115">
      <w:pPr>
        <w:pStyle w:val="Paragraphe"/>
        <w:numPr>
          <w:ilvl w:val="0"/>
          <w:numId w:val="13"/>
        </w:numPr>
      </w:pPr>
      <w:r w:rsidRPr="00452273">
        <w:t>Annexe 4 : Ratification de l’Accord de siège de 2008</w:t>
      </w:r>
    </w:p>
    <w:p w14:paraId="37080FA9" w14:textId="4E3321CD" w:rsidR="00AD07A9" w:rsidRPr="00620B90" w:rsidRDefault="00AD07A9" w:rsidP="006A449D">
      <w:pPr>
        <w:pStyle w:val="Paragraphe"/>
        <w:ind w:left="720"/>
      </w:pPr>
    </w:p>
    <w:sectPr w:rsidR="00AD07A9" w:rsidRPr="00620B90" w:rsidSect="00676D6F">
      <w:headerReference w:type="default" r:id="rId10"/>
      <w:footerReference w:type="default" r:id="rId11"/>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0FD7C" w14:textId="77777777" w:rsidR="00270517" w:rsidRDefault="00270517">
      <w:pPr>
        <w:spacing w:after="0" w:line="240" w:lineRule="auto"/>
      </w:pPr>
      <w:r>
        <w:separator/>
      </w:r>
    </w:p>
  </w:endnote>
  <w:endnote w:type="continuationSeparator" w:id="0">
    <w:p w14:paraId="64FA704E" w14:textId="77777777" w:rsidR="00270517" w:rsidRDefault="00270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EB48A" w14:textId="77777777" w:rsidR="00270517" w:rsidRDefault="00270517">
      <w:pPr>
        <w:spacing w:after="0" w:line="240" w:lineRule="auto"/>
      </w:pPr>
      <w:r>
        <w:separator/>
      </w:r>
    </w:p>
  </w:footnote>
  <w:footnote w:type="continuationSeparator" w:id="0">
    <w:p w14:paraId="7565B73A" w14:textId="77777777" w:rsidR="00270517" w:rsidRDefault="00270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6C79" w14:textId="5859F8B0"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1446407741" name="Image 1446407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745ECE">
      <w:rPr>
        <w:rFonts w:ascii="Verdana" w:hAnsi="Verdana"/>
        <w:b/>
        <w:bCs/>
        <w:sz w:val="20"/>
        <w:szCs w:val="20"/>
      </w:rPr>
      <w:t>3.</w:t>
    </w:r>
    <w:r w:rsidR="00DF7FCD">
      <w:rPr>
        <w:rFonts w:ascii="Verdana" w:hAnsi="Verdana"/>
        <w:b/>
        <w:bCs/>
        <w:sz w:val="20"/>
        <w:szCs w:val="20"/>
      </w:rPr>
      <w:t>5</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4698D"/>
    <w:multiLevelType w:val="multilevel"/>
    <w:tmpl w:val="4BBE1002"/>
    <w:lvl w:ilvl="0">
      <w:start w:val="2"/>
      <w:numFmt w:val="decimal"/>
      <w:lvlText w:val="%1"/>
      <w:lvlJc w:val="left"/>
      <w:pPr>
        <w:ind w:left="360" w:hanging="36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D30430"/>
    <w:multiLevelType w:val="multilevel"/>
    <w:tmpl w:val="A266995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8C4642"/>
    <w:multiLevelType w:val="hybridMultilevel"/>
    <w:tmpl w:val="5EA0910A"/>
    <w:lvl w:ilvl="0" w:tplc="C152E6C2">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AE6FB7"/>
    <w:multiLevelType w:val="hybridMultilevel"/>
    <w:tmpl w:val="2578F1CC"/>
    <w:lvl w:ilvl="0" w:tplc="0234DA6C">
      <w:start w:val="2017"/>
      <w:numFmt w:val="bullet"/>
      <w:lvlText w:val="-"/>
      <w:lvlJc w:val="left"/>
      <w:pPr>
        <w:ind w:left="720" w:hanging="360"/>
      </w:pPr>
      <w:rPr>
        <w:rFonts w:ascii="Verdana" w:eastAsiaTheme="minorHAnsi" w:hAnsi="Verdana"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5AE25A8"/>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1D55164"/>
    <w:multiLevelType w:val="hybridMultilevel"/>
    <w:tmpl w:val="C5283F2C"/>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43B57F1"/>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9E745D8"/>
    <w:multiLevelType w:val="multilevel"/>
    <w:tmpl w:val="C09A773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69B11A8"/>
    <w:multiLevelType w:val="multilevel"/>
    <w:tmpl w:val="3D0EB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8661FF"/>
    <w:multiLevelType w:val="hybridMultilevel"/>
    <w:tmpl w:val="A8D68EF4"/>
    <w:lvl w:ilvl="0" w:tplc="A2EA9B62">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7F0F3BE1"/>
    <w:multiLevelType w:val="hybridMultilevel"/>
    <w:tmpl w:val="8362E6B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06857274">
    <w:abstractNumId w:val="5"/>
  </w:num>
  <w:num w:numId="2" w16cid:durableId="693463901">
    <w:abstractNumId w:val="14"/>
  </w:num>
  <w:num w:numId="3" w16cid:durableId="821701795">
    <w:abstractNumId w:val="3"/>
  </w:num>
  <w:num w:numId="4" w16cid:durableId="1419017904">
    <w:abstractNumId w:val="1"/>
  </w:num>
  <w:num w:numId="5" w16cid:durableId="1097139959">
    <w:abstractNumId w:val="12"/>
  </w:num>
  <w:num w:numId="6" w16cid:durableId="2071610087">
    <w:abstractNumId w:val="4"/>
  </w:num>
  <w:num w:numId="7" w16cid:durableId="2107577626">
    <w:abstractNumId w:val="7"/>
  </w:num>
  <w:num w:numId="8" w16cid:durableId="1778521923">
    <w:abstractNumId w:val="3"/>
    <w:lvlOverride w:ilvl="0">
      <w:startOverride w:val="1"/>
    </w:lvlOverride>
  </w:num>
  <w:num w:numId="9" w16cid:durableId="2010212023">
    <w:abstractNumId w:val="2"/>
  </w:num>
  <w:num w:numId="10" w16cid:durableId="1521746232">
    <w:abstractNumId w:val="8"/>
  </w:num>
  <w:num w:numId="11" w16cid:durableId="11909506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5048064">
    <w:abstractNumId w:val="3"/>
  </w:num>
  <w:num w:numId="13" w16cid:durableId="607735705">
    <w:abstractNumId w:val="13"/>
  </w:num>
  <w:num w:numId="14" w16cid:durableId="6422779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30646035">
    <w:abstractNumId w:val="0"/>
  </w:num>
  <w:num w:numId="16" w16cid:durableId="616106333">
    <w:abstractNumId w:val="10"/>
  </w:num>
  <w:num w:numId="17" w16cid:durableId="1602686504">
    <w:abstractNumId w:val="9"/>
  </w:num>
  <w:num w:numId="18" w16cid:durableId="285889053">
    <w:abstractNumId w:val="11"/>
  </w:num>
  <w:num w:numId="19" w16cid:durableId="793988191">
    <w:abstractNumId w:val="15"/>
  </w:num>
  <w:num w:numId="20" w16cid:durableId="5249814">
    <w:abstractNumId w:val="6"/>
  </w:num>
  <w:num w:numId="21" w16cid:durableId="2048991689">
    <w:abstractNumId w:val="16"/>
  </w:num>
  <w:num w:numId="22" w16cid:durableId="21041029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036D"/>
    <w:rsid w:val="000052D5"/>
    <w:rsid w:val="00007B6C"/>
    <w:rsid w:val="00023F49"/>
    <w:rsid w:val="00030009"/>
    <w:rsid w:val="000373B2"/>
    <w:rsid w:val="00042CF5"/>
    <w:rsid w:val="00046928"/>
    <w:rsid w:val="00046E46"/>
    <w:rsid w:val="000511DC"/>
    <w:rsid w:val="00056C26"/>
    <w:rsid w:val="00060CA0"/>
    <w:rsid w:val="00060ED5"/>
    <w:rsid w:val="00063A26"/>
    <w:rsid w:val="000674A6"/>
    <w:rsid w:val="0008468B"/>
    <w:rsid w:val="00085E4E"/>
    <w:rsid w:val="000975D6"/>
    <w:rsid w:val="000A23AA"/>
    <w:rsid w:val="000A468A"/>
    <w:rsid w:val="000A6422"/>
    <w:rsid w:val="000B0FBD"/>
    <w:rsid w:val="000D0EB1"/>
    <w:rsid w:val="000D4C6E"/>
    <w:rsid w:val="000D72DA"/>
    <w:rsid w:val="000E084D"/>
    <w:rsid w:val="000E1937"/>
    <w:rsid w:val="000E76D7"/>
    <w:rsid w:val="000F1FA5"/>
    <w:rsid w:val="000F4728"/>
    <w:rsid w:val="0010661F"/>
    <w:rsid w:val="00107D9D"/>
    <w:rsid w:val="001127CD"/>
    <w:rsid w:val="001177D1"/>
    <w:rsid w:val="00122631"/>
    <w:rsid w:val="001304A4"/>
    <w:rsid w:val="00136B62"/>
    <w:rsid w:val="0015294B"/>
    <w:rsid w:val="00155011"/>
    <w:rsid w:val="0015557C"/>
    <w:rsid w:val="00156EE3"/>
    <w:rsid w:val="00165AD3"/>
    <w:rsid w:val="001729B2"/>
    <w:rsid w:val="0018252D"/>
    <w:rsid w:val="0018498A"/>
    <w:rsid w:val="001853F0"/>
    <w:rsid w:val="00197B37"/>
    <w:rsid w:val="001A56F1"/>
    <w:rsid w:val="001A7EFE"/>
    <w:rsid w:val="001B3A8D"/>
    <w:rsid w:val="001B4738"/>
    <w:rsid w:val="001B71A4"/>
    <w:rsid w:val="001C127D"/>
    <w:rsid w:val="001D6D52"/>
    <w:rsid w:val="001E2BEE"/>
    <w:rsid w:val="001E35DE"/>
    <w:rsid w:val="001E3803"/>
    <w:rsid w:val="001E592A"/>
    <w:rsid w:val="00201AE9"/>
    <w:rsid w:val="00206CA0"/>
    <w:rsid w:val="00206E8F"/>
    <w:rsid w:val="0021063C"/>
    <w:rsid w:val="00214D5A"/>
    <w:rsid w:val="0022240D"/>
    <w:rsid w:val="002242D3"/>
    <w:rsid w:val="00224D58"/>
    <w:rsid w:val="002274FC"/>
    <w:rsid w:val="00236E50"/>
    <w:rsid w:val="0024282A"/>
    <w:rsid w:val="00243978"/>
    <w:rsid w:val="0024608B"/>
    <w:rsid w:val="00254C08"/>
    <w:rsid w:val="00260B2F"/>
    <w:rsid w:val="002620E7"/>
    <w:rsid w:val="002662B2"/>
    <w:rsid w:val="00270517"/>
    <w:rsid w:val="00272D9E"/>
    <w:rsid w:val="0029209A"/>
    <w:rsid w:val="002A0933"/>
    <w:rsid w:val="002A096E"/>
    <w:rsid w:val="002A7E03"/>
    <w:rsid w:val="002B62D4"/>
    <w:rsid w:val="002C56ED"/>
    <w:rsid w:val="00301A86"/>
    <w:rsid w:val="00317D14"/>
    <w:rsid w:val="003202A9"/>
    <w:rsid w:val="00333481"/>
    <w:rsid w:val="00337092"/>
    <w:rsid w:val="003376D1"/>
    <w:rsid w:val="00343024"/>
    <w:rsid w:val="00356717"/>
    <w:rsid w:val="003604B9"/>
    <w:rsid w:val="00360B33"/>
    <w:rsid w:val="003612FF"/>
    <w:rsid w:val="0036287B"/>
    <w:rsid w:val="003746DA"/>
    <w:rsid w:val="003764AF"/>
    <w:rsid w:val="003772FB"/>
    <w:rsid w:val="00380B24"/>
    <w:rsid w:val="00380CD4"/>
    <w:rsid w:val="00385A68"/>
    <w:rsid w:val="00390C40"/>
    <w:rsid w:val="00391152"/>
    <w:rsid w:val="003953C5"/>
    <w:rsid w:val="003A3425"/>
    <w:rsid w:val="003A4ED0"/>
    <w:rsid w:val="003A6631"/>
    <w:rsid w:val="003A6EEB"/>
    <w:rsid w:val="003B2ADC"/>
    <w:rsid w:val="003C2538"/>
    <w:rsid w:val="003C3BB5"/>
    <w:rsid w:val="003D485F"/>
    <w:rsid w:val="003D4C9F"/>
    <w:rsid w:val="003D5328"/>
    <w:rsid w:val="003D7611"/>
    <w:rsid w:val="003E0E8B"/>
    <w:rsid w:val="003F4C68"/>
    <w:rsid w:val="00404608"/>
    <w:rsid w:val="00407172"/>
    <w:rsid w:val="0041278C"/>
    <w:rsid w:val="004167CA"/>
    <w:rsid w:val="00417683"/>
    <w:rsid w:val="00420209"/>
    <w:rsid w:val="0042442D"/>
    <w:rsid w:val="0042455B"/>
    <w:rsid w:val="00426673"/>
    <w:rsid w:val="00433CD5"/>
    <w:rsid w:val="00442532"/>
    <w:rsid w:val="004451CB"/>
    <w:rsid w:val="00452273"/>
    <w:rsid w:val="00454457"/>
    <w:rsid w:val="004607F7"/>
    <w:rsid w:val="00466023"/>
    <w:rsid w:val="004728FD"/>
    <w:rsid w:val="0047618D"/>
    <w:rsid w:val="00480D04"/>
    <w:rsid w:val="00491281"/>
    <w:rsid w:val="00492C2C"/>
    <w:rsid w:val="004A2698"/>
    <w:rsid w:val="004A6E01"/>
    <w:rsid w:val="004B3699"/>
    <w:rsid w:val="004B413A"/>
    <w:rsid w:val="004C1785"/>
    <w:rsid w:val="004C58A6"/>
    <w:rsid w:val="004C5BE5"/>
    <w:rsid w:val="004C74DF"/>
    <w:rsid w:val="004D58DF"/>
    <w:rsid w:val="004E5297"/>
    <w:rsid w:val="004F5C4B"/>
    <w:rsid w:val="004F6D0A"/>
    <w:rsid w:val="005100F8"/>
    <w:rsid w:val="00511F93"/>
    <w:rsid w:val="00512974"/>
    <w:rsid w:val="00513A6A"/>
    <w:rsid w:val="00515A1D"/>
    <w:rsid w:val="00523BD6"/>
    <w:rsid w:val="00523ECE"/>
    <w:rsid w:val="005277BD"/>
    <w:rsid w:val="0053773D"/>
    <w:rsid w:val="00544C1D"/>
    <w:rsid w:val="00547C67"/>
    <w:rsid w:val="00550AC0"/>
    <w:rsid w:val="005611F7"/>
    <w:rsid w:val="005625CC"/>
    <w:rsid w:val="0056546F"/>
    <w:rsid w:val="00570783"/>
    <w:rsid w:val="00570D0F"/>
    <w:rsid w:val="00571C30"/>
    <w:rsid w:val="00573214"/>
    <w:rsid w:val="00576329"/>
    <w:rsid w:val="00585186"/>
    <w:rsid w:val="005871F0"/>
    <w:rsid w:val="00587A32"/>
    <w:rsid w:val="00594616"/>
    <w:rsid w:val="00597F09"/>
    <w:rsid w:val="005A3E13"/>
    <w:rsid w:val="005A59B6"/>
    <w:rsid w:val="005B23C1"/>
    <w:rsid w:val="005B3350"/>
    <w:rsid w:val="005B3353"/>
    <w:rsid w:val="005B7D30"/>
    <w:rsid w:val="005C5AB0"/>
    <w:rsid w:val="005D1975"/>
    <w:rsid w:val="005D5B1B"/>
    <w:rsid w:val="005E12F3"/>
    <w:rsid w:val="005E14AB"/>
    <w:rsid w:val="005E65F4"/>
    <w:rsid w:val="005F0D98"/>
    <w:rsid w:val="005F4A14"/>
    <w:rsid w:val="0060209B"/>
    <w:rsid w:val="0060348D"/>
    <w:rsid w:val="006046C9"/>
    <w:rsid w:val="00605B93"/>
    <w:rsid w:val="00607EBF"/>
    <w:rsid w:val="006105D9"/>
    <w:rsid w:val="0061186C"/>
    <w:rsid w:val="00617ED2"/>
    <w:rsid w:val="00620B90"/>
    <w:rsid w:val="00621943"/>
    <w:rsid w:val="00623E75"/>
    <w:rsid w:val="00624B5C"/>
    <w:rsid w:val="006250DE"/>
    <w:rsid w:val="00631BF9"/>
    <w:rsid w:val="006356AF"/>
    <w:rsid w:val="00636697"/>
    <w:rsid w:val="006456CD"/>
    <w:rsid w:val="00650370"/>
    <w:rsid w:val="0065177D"/>
    <w:rsid w:val="006548BF"/>
    <w:rsid w:val="00660504"/>
    <w:rsid w:val="006609B8"/>
    <w:rsid w:val="0066387A"/>
    <w:rsid w:val="0066584F"/>
    <w:rsid w:val="00670175"/>
    <w:rsid w:val="0067589F"/>
    <w:rsid w:val="00676D6F"/>
    <w:rsid w:val="00676FD1"/>
    <w:rsid w:val="00681FBB"/>
    <w:rsid w:val="00691EEB"/>
    <w:rsid w:val="006A449D"/>
    <w:rsid w:val="006A4C6F"/>
    <w:rsid w:val="006A60DB"/>
    <w:rsid w:val="006A772F"/>
    <w:rsid w:val="006C0E5D"/>
    <w:rsid w:val="006C42E2"/>
    <w:rsid w:val="006D0215"/>
    <w:rsid w:val="006D0280"/>
    <w:rsid w:val="006D3E38"/>
    <w:rsid w:val="006D4A34"/>
    <w:rsid w:val="006E0A78"/>
    <w:rsid w:val="006E2D9E"/>
    <w:rsid w:val="006E3C85"/>
    <w:rsid w:val="006E46F3"/>
    <w:rsid w:val="006E7146"/>
    <w:rsid w:val="006F74B4"/>
    <w:rsid w:val="00714665"/>
    <w:rsid w:val="007210EC"/>
    <w:rsid w:val="0073304B"/>
    <w:rsid w:val="00734D35"/>
    <w:rsid w:val="00736609"/>
    <w:rsid w:val="00742398"/>
    <w:rsid w:val="00745ECE"/>
    <w:rsid w:val="00746020"/>
    <w:rsid w:val="007464B6"/>
    <w:rsid w:val="00755E75"/>
    <w:rsid w:val="00760405"/>
    <w:rsid w:val="00761F87"/>
    <w:rsid w:val="00763270"/>
    <w:rsid w:val="0077212B"/>
    <w:rsid w:val="00776FDC"/>
    <w:rsid w:val="0078076F"/>
    <w:rsid w:val="00783B45"/>
    <w:rsid w:val="00787413"/>
    <w:rsid w:val="00793469"/>
    <w:rsid w:val="007B1C8A"/>
    <w:rsid w:val="007B245C"/>
    <w:rsid w:val="007B7DB4"/>
    <w:rsid w:val="007C78FC"/>
    <w:rsid w:val="007E11E8"/>
    <w:rsid w:val="007E7EF3"/>
    <w:rsid w:val="007F2B71"/>
    <w:rsid w:val="00801B5A"/>
    <w:rsid w:val="00804D7A"/>
    <w:rsid w:val="00805FA4"/>
    <w:rsid w:val="00815C08"/>
    <w:rsid w:val="00816DAC"/>
    <w:rsid w:val="0082083E"/>
    <w:rsid w:val="0083290E"/>
    <w:rsid w:val="0083405E"/>
    <w:rsid w:val="00843FF2"/>
    <w:rsid w:val="008453AB"/>
    <w:rsid w:val="00846855"/>
    <w:rsid w:val="00850816"/>
    <w:rsid w:val="00854EEA"/>
    <w:rsid w:val="008551DA"/>
    <w:rsid w:val="00856566"/>
    <w:rsid w:val="00863E46"/>
    <w:rsid w:val="00873171"/>
    <w:rsid w:val="008909B5"/>
    <w:rsid w:val="00896578"/>
    <w:rsid w:val="008A1133"/>
    <w:rsid w:val="008A46B1"/>
    <w:rsid w:val="008B1A22"/>
    <w:rsid w:val="008B1AAD"/>
    <w:rsid w:val="008B1C3D"/>
    <w:rsid w:val="008B3FD4"/>
    <w:rsid w:val="008B5D29"/>
    <w:rsid w:val="008D016A"/>
    <w:rsid w:val="008D193F"/>
    <w:rsid w:val="008D6A3D"/>
    <w:rsid w:val="008E70AB"/>
    <w:rsid w:val="008F173C"/>
    <w:rsid w:val="008F7D65"/>
    <w:rsid w:val="00902F5E"/>
    <w:rsid w:val="009116DE"/>
    <w:rsid w:val="00913C50"/>
    <w:rsid w:val="00914EAA"/>
    <w:rsid w:val="00921B5A"/>
    <w:rsid w:val="009242CD"/>
    <w:rsid w:val="009328EA"/>
    <w:rsid w:val="00933A89"/>
    <w:rsid w:val="00937053"/>
    <w:rsid w:val="009373A1"/>
    <w:rsid w:val="00946CCD"/>
    <w:rsid w:val="009513DB"/>
    <w:rsid w:val="00951E21"/>
    <w:rsid w:val="00955BB3"/>
    <w:rsid w:val="00960A70"/>
    <w:rsid w:val="00960FC1"/>
    <w:rsid w:val="00961DAA"/>
    <w:rsid w:val="00977A3E"/>
    <w:rsid w:val="009845C1"/>
    <w:rsid w:val="00992B2D"/>
    <w:rsid w:val="009A1CF5"/>
    <w:rsid w:val="009A38AD"/>
    <w:rsid w:val="009A499B"/>
    <w:rsid w:val="009B02E9"/>
    <w:rsid w:val="009B2368"/>
    <w:rsid w:val="009C7E92"/>
    <w:rsid w:val="009D34AC"/>
    <w:rsid w:val="009D681B"/>
    <w:rsid w:val="009E030F"/>
    <w:rsid w:val="009E724D"/>
    <w:rsid w:val="009F5CB0"/>
    <w:rsid w:val="009F6B59"/>
    <w:rsid w:val="009F74E6"/>
    <w:rsid w:val="00A142C7"/>
    <w:rsid w:val="00A148A1"/>
    <w:rsid w:val="00A22228"/>
    <w:rsid w:val="00A2313C"/>
    <w:rsid w:val="00A23319"/>
    <w:rsid w:val="00A2450B"/>
    <w:rsid w:val="00A248B7"/>
    <w:rsid w:val="00A274D0"/>
    <w:rsid w:val="00A348E1"/>
    <w:rsid w:val="00A34954"/>
    <w:rsid w:val="00A36C09"/>
    <w:rsid w:val="00A37C9F"/>
    <w:rsid w:val="00A44164"/>
    <w:rsid w:val="00A45DF1"/>
    <w:rsid w:val="00A469FE"/>
    <w:rsid w:val="00A64219"/>
    <w:rsid w:val="00A70123"/>
    <w:rsid w:val="00A71718"/>
    <w:rsid w:val="00A71AA1"/>
    <w:rsid w:val="00A76B07"/>
    <w:rsid w:val="00A813BA"/>
    <w:rsid w:val="00A81B98"/>
    <w:rsid w:val="00A81BFE"/>
    <w:rsid w:val="00A851BF"/>
    <w:rsid w:val="00A85AAB"/>
    <w:rsid w:val="00A90305"/>
    <w:rsid w:val="00A948D4"/>
    <w:rsid w:val="00A94CBF"/>
    <w:rsid w:val="00A97494"/>
    <w:rsid w:val="00AA0049"/>
    <w:rsid w:val="00AA17C1"/>
    <w:rsid w:val="00AA612F"/>
    <w:rsid w:val="00AA63A3"/>
    <w:rsid w:val="00AA74AB"/>
    <w:rsid w:val="00AB0FFE"/>
    <w:rsid w:val="00AB5EB7"/>
    <w:rsid w:val="00AB712D"/>
    <w:rsid w:val="00AC0984"/>
    <w:rsid w:val="00AC34BF"/>
    <w:rsid w:val="00AC3CC8"/>
    <w:rsid w:val="00AD07A9"/>
    <w:rsid w:val="00AD32F9"/>
    <w:rsid w:val="00AD3703"/>
    <w:rsid w:val="00AD4CCE"/>
    <w:rsid w:val="00AD4D97"/>
    <w:rsid w:val="00AE1458"/>
    <w:rsid w:val="00AE15C5"/>
    <w:rsid w:val="00AE2453"/>
    <w:rsid w:val="00AE31CB"/>
    <w:rsid w:val="00AE4A93"/>
    <w:rsid w:val="00AF02AA"/>
    <w:rsid w:val="00AF4AE2"/>
    <w:rsid w:val="00B00115"/>
    <w:rsid w:val="00B05DFC"/>
    <w:rsid w:val="00B10AF5"/>
    <w:rsid w:val="00B13158"/>
    <w:rsid w:val="00B226C7"/>
    <w:rsid w:val="00B22EC6"/>
    <w:rsid w:val="00B2572E"/>
    <w:rsid w:val="00B32A2C"/>
    <w:rsid w:val="00B33527"/>
    <w:rsid w:val="00B36EEA"/>
    <w:rsid w:val="00B40EC9"/>
    <w:rsid w:val="00B43140"/>
    <w:rsid w:val="00B44F01"/>
    <w:rsid w:val="00B452CA"/>
    <w:rsid w:val="00B46137"/>
    <w:rsid w:val="00B55FBD"/>
    <w:rsid w:val="00B571FA"/>
    <w:rsid w:val="00B82DFD"/>
    <w:rsid w:val="00B865DB"/>
    <w:rsid w:val="00BA14E4"/>
    <w:rsid w:val="00BA2B07"/>
    <w:rsid w:val="00BA4B55"/>
    <w:rsid w:val="00BA7BE6"/>
    <w:rsid w:val="00BB50C1"/>
    <w:rsid w:val="00BB55CA"/>
    <w:rsid w:val="00BD2DEA"/>
    <w:rsid w:val="00BD3F2B"/>
    <w:rsid w:val="00BD7DFC"/>
    <w:rsid w:val="00BF4AF1"/>
    <w:rsid w:val="00BF58A7"/>
    <w:rsid w:val="00BF69F4"/>
    <w:rsid w:val="00BF7B54"/>
    <w:rsid w:val="00C02228"/>
    <w:rsid w:val="00C11C9C"/>
    <w:rsid w:val="00C12C93"/>
    <w:rsid w:val="00C1575A"/>
    <w:rsid w:val="00C169CB"/>
    <w:rsid w:val="00C278A0"/>
    <w:rsid w:val="00C325F5"/>
    <w:rsid w:val="00C35ED7"/>
    <w:rsid w:val="00C3612B"/>
    <w:rsid w:val="00C43FB6"/>
    <w:rsid w:val="00C457E8"/>
    <w:rsid w:val="00C51140"/>
    <w:rsid w:val="00C53BEB"/>
    <w:rsid w:val="00C567C5"/>
    <w:rsid w:val="00C609B9"/>
    <w:rsid w:val="00C81CD6"/>
    <w:rsid w:val="00C91A58"/>
    <w:rsid w:val="00CA6477"/>
    <w:rsid w:val="00CA73A9"/>
    <w:rsid w:val="00CD384B"/>
    <w:rsid w:val="00CD445C"/>
    <w:rsid w:val="00CD4D17"/>
    <w:rsid w:val="00CD52EF"/>
    <w:rsid w:val="00CE2386"/>
    <w:rsid w:val="00CE42B4"/>
    <w:rsid w:val="00CE7347"/>
    <w:rsid w:val="00CF2F65"/>
    <w:rsid w:val="00CF4ED9"/>
    <w:rsid w:val="00D05557"/>
    <w:rsid w:val="00D1082A"/>
    <w:rsid w:val="00D109F0"/>
    <w:rsid w:val="00D10C40"/>
    <w:rsid w:val="00D226DA"/>
    <w:rsid w:val="00D2497D"/>
    <w:rsid w:val="00D324FA"/>
    <w:rsid w:val="00D34E77"/>
    <w:rsid w:val="00D37317"/>
    <w:rsid w:val="00D424FF"/>
    <w:rsid w:val="00D45E15"/>
    <w:rsid w:val="00D5308B"/>
    <w:rsid w:val="00D539AA"/>
    <w:rsid w:val="00D557DD"/>
    <w:rsid w:val="00D616F0"/>
    <w:rsid w:val="00D718BD"/>
    <w:rsid w:val="00D77712"/>
    <w:rsid w:val="00D86300"/>
    <w:rsid w:val="00D91580"/>
    <w:rsid w:val="00D947F5"/>
    <w:rsid w:val="00DA2EE0"/>
    <w:rsid w:val="00DA4AC9"/>
    <w:rsid w:val="00DA53DC"/>
    <w:rsid w:val="00DA5C31"/>
    <w:rsid w:val="00DA7F11"/>
    <w:rsid w:val="00DC45D0"/>
    <w:rsid w:val="00DC6BF5"/>
    <w:rsid w:val="00DC7986"/>
    <w:rsid w:val="00DD43DD"/>
    <w:rsid w:val="00DD59C7"/>
    <w:rsid w:val="00DE5263"/>
    <w:rsid w:val="00DF05A1"/>
    <w:rsid w:val="00DF30B5"/>
    <w:rsid w:val="00DF7FCD"/>
    <w:rsid w:val="00E02706"/>
    <w:rsid w:val="00E05597"/>
    <w:rsid w:val="00E07F7C"/>
    <w:rsid w:val="00E1165A"/>
    <w:rsid w:val="00E32408"/>
    <w:rsid w:val="00E324EC"/>
    <w:rsid w:val="00E344E0"/>
    <w:rsid w:val="00E43652"/>
    <w:rsid w:val="00E51DD6"/>
    <w:rsid w:val="00E60C88"/>
    <w:rsid w:val="00E61F54"/>
    <w:rsid w:val="00E77CDC"/>
    <w:rsid w:val="00E80F6E"/>
    <w:rsid w:val="00E828CA"/>
    <w:rsid w:val="00E831DE"/>
    <w:rsid w:val="00E845D4"/>
    <w:rsid w:val="00E90249"/>
    <w:rsid w:val="00EA259F"/>
    <w:rsid w:val="00EA4D39"/>
    <w:rsid w:val="00EB2C98"/>
    <w:rsid w:val="00EB33BA"/>
    <w:rsid w:val="00EB3DCF"/>
    <w:rsid w:val="00EC0DCB"/>
    <w:rsid w:val="00EC22CC"/>
    <w:rsid w:val="00EC36F7"/>
    <w:rsid w:val="00EC58D3"/>
    <w:rsid w:val="00EC7DFF"/>
    <w:rsid w:val="00ED07C0"/>
    <w:rsid w:val="00ED0937"/>
    <w:rsid w:val="00ED1185"/>
    <w:rsid w:val="00ED1384"/>
    <w:rsid w:val="00ED1F94"/>
    <w:rsid w:val="00ED30E8"/>
    <w:rsid w:val="00ED3D2A"/>
    <w:rsid w:val="00ED6B69"/>
    <w:rsid w:val="00EE34F4"/>
    <w:rsid w:val="00EF22A4"/>
    <w:rsid w:val="00F00C50"/>
    <w:rsid w:val="00F1347B"/>
    <w:rsid w:val="00F14443"/>
    <w:rsid w:val="00F20BBD"/>
    <w:rsid w:val="00F25D0F"/>
    <w:rsid w:val="00F26658"/>
    <w:rsid w:val="00F33CA8"/>
    <w:rsid w:val="00F33FDB"/>
    <w:rsid w:val="00F34A73"/>
    <w:rsid w:val="00F37BB2"/>
    <w:rsid w:val="00F43983"/>
    <w:rsid w:val="00F510C3"/>
    <w:rsid w:val="00F51750"/>
    <w:rsid w:val="00F54EA0"/>
    <w:rsid w:val="00F71F8D"/>
    <w:rsid w:val="00F813CE"/>
    <w:rsid w:val="00F81965"/>
    <w:rsid w:val="00F868A5"/>
    <w:rsid w:val="00F92844"/>
    <w:rsid w:val="00F93CC3"/>
    <w:rsid w:val="00F95FFA"/>
    <w:rsid w:val="00F96812"/>
    <w:rsid w:val="00F96EE9"/>
    <w:rsid w:val="00F97E4B"/>
    <w:rsid w:val="00FA07F3"/>
    <w:rsid w:val="00FA1E3E"/>
    <w:rsid w:val="00FA21BA"/>
    <w:rsid w:val="00FA4B6F"/>
    <w:rsid w:val="00FA6A05"/>
    <w:rsid w:val="00FB47E3"/>
    <w:rsid w:val="00FB6279"/>
    <w:rsid w:val="00FC21FA"/>
    <w:rsid w:val="00FC30F8"/>
    <w:rsid w:val="00FD72C2"/>
    <w:rsid w:val="00FE0298"/>
    <w:rsid w:val="00FE2055"/>
    <w:rsid w:val="00FE285D"/>
    <w:rsid w:val="00FE5DB0"/>
    <w:rsid w:val="00FE642F"/>
    <w:rsid w:val="00FF554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ind w:left="0"/>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ind w:left="0"/>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character" w:styleId="Lienhypertexte">
    <w:name w:val="Hyperlink"/>
    <w:basedOn w:val="Policepardfaut"/>
    <w:uiPriority w:val="99"/>
    <w:unhideWhenUsed/>
    <w:rsid w:val="00156EE3"/>
    <w:rPr>
      <w:color w:val="0563C1" w:themeColor="hyperlink"/>
      <w:u w:val="single"/>
    </w:rPr>
  </w:style>
  <w:style w:type="character" w:styleId="Mentionnonrsolue">
    <w:name w:val="Unresolved Mention"/>
    <w:basedOn w:val="Policepardfaut"/>
    <w:uiPriority w:val="99"/>
    <w:semiHidden/>
    <w:unhideWhenUsed/>
    <w:rsid w:val="00156EE3"/>
    <w:rPr>
      <w:color w:val="605E5C"/>
      <w:shd w:val="clear" w:color="auto" w:fill="E1DFDD"/>
    </w:rPr>
  </w:style>
  <w:style w:type="paragraph" w:styleId="NormalWeb">
    <w:name w:val="Normal (Web)"/>
    <w:basedOn w:val="Normal"/>
    <w:uiPriority w:val="99"/>
    <w:semiHidden/>
    <w:unhideWhenUsed/>
    <w:rsid w:val="000D72DA"/>
    <w:pPr>
      <w:spacing w:before="100" w:beforeAutospacing="1" w:after="100" w:afterAutospacing="1" w:line="240" w:lineRule="auto"/>
    </w:pPr>
    <w:rPr>
      <w:rFonts w:ascii="Times New Roman" w:eastAsia="Times New Roman" w:hAnsi="Times New Roman" w:cs="Times New Roman"/>
      <w:sz w:val="24"/>
      <w:szCs w:val="24"/>
    </w:rPr>
  </w:style>
  <w:style w:type="paragraph" w:styleId="Rvision">
    <w:name w:val="Revision"/>
    <w:hidden/>
    <w:uiPriority w:val="99"/>
    <w:semiHidden/>
    <w:rsid w:val="00AE15C5"/>
    <w:pPr>
      <w:spacing w:after="0" w:line="240" w:lineRule="auto"/>
    </w:pPr>
  </w:style>
  <w:style w:type="character" w:styleId="lev">
    <w:name w:val="Strong"/>
    <w:basedOn w:val="Policepardfaut"/>
    <w:uiPriority w:val="22"/>
    <w:qFormat/>
    <w:rsid w:val="005100F8"/>
    <w:rPr>
      <w:b/>
      <w:bCs/>
    </w:rPr>
  </w:style>
  <w:style w:type="paragraph" w:customStyle="1" w:styleId="p1">
    <w:name w:val="p1"/>
    <w:basedOn w:val="Normal"/>
    <w:rsid w:val="00BF7B54"/>
    <w:pPr>
      <w:spacing w:after="0" w:line="240" w:lineRule="auto"/>
    </w:pPr>
    <w:rPr>
      <w:rFonts w:ascii="Helvetica" w:eastAsia="Times New Roman" w:hAnsi="Helvetica" w:cs="Times New Roman"/>
      <w:color w:val="000000"/>
      <w:sz w:val="13"/>
      <w:szCs w:val="13"/>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780226">
      <w:bodyDiv w:val="1"/>
      <w:marLeft w:val="0"/>
      <w:marRight w:val="0"/>
      <w:marTop w:val="0"/>
      <w:marBottom w:val="0"/>
      <w:divBdr>
        <w:top w:val="none" w:sz="0" w:space="0" w:color="auto"/>
        <w:left w:val="none" w:sz="0" w:space="0" w:color="auto"/>
        <w:bottom w:val="none" w:sz="0" w:space="0" w:color="auto"/>
        <w:right w:val="none" w:sz="0" w:space="0" w:color="auto"/>
      </w:divBdr>
    </w:div>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413597965">
      <w:bodyDiv w:val="1"/>
      <w:marLeft w:val="0"/>
      <w:marRight w:val="0"/>
      <w:marTop w:val="0"/>
      <w:marBottom w:val="0"/>
      <w:divBdr>
        <w:top w:val="none" w:sz="0" w:space="0" w:color="auto"/>
        <w:left w:val="none" w:sz="0" w:space="0" w:color="auto"/>
        <w:bottom w:val="none" w:sz="0" w:space="0" w:color="auto"/>
        <w:right w:val="none" w:sz="0" w:space="0" w:color="auto"/>
      </w:divBdr>
    </w:div>
    <w:div w:id="702293248">
      <w:bodyDiv w:val="1"/>
      <w:marLeft w:val="0"/>
      <w:marRight w:val="0"/>
      <w:marTop w:val="0"/>
      <w:marBottom w:val="0"/>
      <w:divBdr>
        <w:top w:val="none" w:sz="0" w:space="0" w:color="auto"/>
        <w:left w:val="none" w:sz="0" w:space="0" w:color="auto"/>
        <w:bottom w:val="none" w:sz="0" w:space="0" w:color="auto"/>
        <w:right w:val="none" w:sz="0" w:space="0" w:color="auto"/>
      </w:divBdr>
    </w:div>
    <w:div w:id="1025015046">
      <w:bodyDiv w:val="1"/>
      <w:marLeft w:val="0"/>
      <w:marRight w:val="0"/>
      <w:marTop w:val="0"/>
      <w:marBottom w:val="0"/>
      <w:divBdr>
        <w:top w:val="none" w:sz="0" w:space="0" w:color="auto"/>
        <w:left w:val="none" w:sz="0" w:space="0" w:color="auto"/>
        <w:bottom w:val="none" w:sz="0" w:space="0" w:color="auto"/>
        <w:right w:val="none" w:sz="0" w:space="0" w:color="auto"/>
      </w:divBdr>
    </w:div>
    <w:div w:id="1406226210">
      <w:bodyDiv w:val="1"/>
      <w:marLeft w:val="0"/>
      <w:marRight w:val="0"/>
      <w:marTop w:val="0"/>
      <w:marBottom w:val="0"/>
      <w:divBdr>
        <w:top w:val="none" w:sz="0" w:space="0" w:color="auto"/>
        <w:left w:val="none" w:sz="0" w:space="0" w:color="auto"/>
        <w:bottom w:val="none" w:sz="0" w:space="0" w:color="auto"/>
        <w:right w:val="none" w:sz="0" w:space="0" w:color="auto"/>
      </w:divBdr>
    </w:div>
    <w:div w:id="1605839827">
      <w:bodyDiv w:val="1"/>
      <w:marLeft w:val="0"/>
      <w:marRight w:val="0"/>
      <w:marTop w:val="0"/>
      <w:marBottom w:val="0"/>
      <w:divBdr>
        <w:top w:val="none" w:sz="0" w:space="0" w:color="auto"/>
        <w:left w:val="none" w:sz="0" w:space="0" w:color="auto"/>
        <w:bottom w:val="none" w:sz="0" w:space="0" w:color="auto"/>
        <w:right w:val="none" w:sz="0" w:space="0" w:color="auto"/>
      </w:divBdr>
    </w:div>
    <w:div w:id="1629168666">
      <w:bodyDiv w:val="1"/>
      <w:marLeft w:val="0"/>
      <w:marRight w:val="0"/>
      <w:marTop w:val="0"/>
      <w:marBottom w:val="0"/>
      <w:divBdr>
        <w:top w:val="none" w:sz="0" w:space="0" w:color="auto"/>
        <w:left w:val="none" w:sz="0" w:space="0" w:color="auto"/>
        <w:bottom w:val="none" w:sz="0" w:space="0" w:color="auto"/>
        <w:right w:val="none" w:sz="0" w:space="0" w:color="auto"/>
      </w:divBdr>
    </w:div>
    <w:div w:id="1922442281">
      <w:bodyDiv w:val="1"/>
      <w:marLeft w:val="0"/>
      <w:marRight w:val="0"/>
      <w:marTop w:val="0"/>
      <w:marBottom w:val="0"/>
      <w:divBdr>
        <w:top w:val="none" w:sz="0" w:space="0" w:color="auto"/>
        <w:left w:val="none" w:sz="0" w:space="0" w:color="auto"/>
        <w:bottom w:val="none" w:sz="0" w:space="0" w:color="auto"/>
        <w:right w:val="none" w:sz="0" w:space="0" w:color="auto"/>
      </w:divBdr>
    </w:div>
    <w:div w:id="2130933672">
      <w:bodyDiv w:val="1"/>
      <w:marLeft w:val="0"/>
      <w:marRight w:val="0"/>
      <w:marTop w:val="0"/>
      <w:marBottom w:val="0"/>
      <w:divBdr>
        <w:top w:val="none" w:sz="0" w:space="0" w:color="auto"/>
        <w:left w:val="none" w:sz="0" w:space="0" w:color="auto"/>
        <w:bottom w:val="none" w:sz="0" w:space="0" w:color="auto"/>
        <w:right w:val="none" w:sz="0" w:space="0" w:color="auto"/>
      </w:divBdr>
    </w:div>
    <w:div w:id="213910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55F89A53FC26438C12D3B0E6AE3539" ma:contentTypeVersion="12" ma:contentTypeDescription="Create a new document." ma:contentTypeScope="" ma:versionID="f19c7ec5e70a2d7b1aaf8087e552b7a7">
  <xsd:schema xmlns:xsd="http://www.w3.org/2001/XMLSchema" xmlns:xs="http://www.w3.org/2001/XMLSchema" xmlns:p="http://schemas.microsoft.com/office/2006/metadata/properties" xmlns:ns2="b610b3e2-9218-4b5f-aa42-ae42b433a612" xmlns:ns3="4d8e5188-369a-4cb2-b081-5715404a7824" targetNamespace="http://schemas.microsoft.com/office/2006/metadata/properties" ma:root="true" ma:fieldsID="4ed801a434d475e5de27c73d4e7dceb5" ns2:_="" ns3:_="">
    <xsd:import namespace="b610b3e2-9218-4b5f-aa42-ae42b433a612"/>
    <xsd:import namespace="4d8e5188-369a-4cb2-b081-5715404a78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b3e2-9218-4b5f-aa42-ae42b433a6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244e2b-fda1-4434-ab26-7c3653f9b5b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8e5188-369a-4cb2-b081-5715404a78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1c1d8a-2b53-4986-8a2d-c27f7b3e4b6c}" ma:internalName="TaxCatchAll" ma:showField="CatchAllData" ma:web="4d8e5188-369a-4cb2-b081-5715404a78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10b3e2-9218-4b5f-aa42-ae42b433a612">
      <Terms xmlns="http://schemas.microsoft.com/office/infopath/2007/PartnerControls"/>
    </lcf76f155ced4ddcb4097134ff3c332f>
    <TaxCatchAll xmlns="4d8e5188-369a-4cb2-b081-5715404a7824" xsi:nil="true"/>
  </documentManagement>
</p:properties>
</file>

<file path=customXml/itemProps1.xml><?xml version="1.0" encoding="utf-8"?>
<ds:datastoreItem xmlns:ds="http://schemas.openxmlformats.org/officeDocument/2006/customXml" ds:itemID="{5D094086-FBCA-42E9-8F3A-9B9C767F8587}">
  <ds:schemaRefs>
    <ds:schemaRef ds:uri="http://schemas.microsoft.com/sharepoint/v3/contenttype/forms"/>
  </ds:schemaRefs>
</ds:datastoreItem>
</file>

<file path=customXml/itemProps2.xml><?xml version="1.0" encoding="utf-8"?>
<ds:datastoreItem xmlns:ds="http://schemas.openxmlformats.org/officeDocument/2006/customXml" ds:itemID="{98F01D4D-A1FC-4894-9AC7-AAAB96818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0b3e2-9218-4b5f-aa42-ae42b433a612"/>
    <ds:schemaRef ds:uri="4d8e5188-369a-4cb2-b081-5715404a7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B84C50-14C0-455E-B8A6-A02452837ED1}">
  <ds:schemaRefs>
    <ds:schemaRef ds:uri="http://schemas.microsoft.com/office/2006/metadata/properties"/>
    <ds:schemaRef ds:uri="http://schemas.microsoft.com/office/infopath/2007/PartnerControls"/>
    <ds:schemaRef ds:uri="b610b3e2-9218-4b5f-aa42-ae42b433a612"/>
    <ds:schemaRef ds:uri="4d8e5188-369a-4cb2-b081-5715404a7824"/>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719</Words>
  <Characters>3880</Characters>
  <Application>Microsoft Office Word</Application>
  <DocSecurity>0</DocSecurity>
  <Lines>73</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4</cp:revision>
  <dcterms:created xsi:type="dcterms:W3CDTF">2026-05-04T14:18:00Z</dcterms:created>
  <dcterms:modified xsi:type="dcterms:W3CDTF">2026-05-04T15:27:00Z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0x010100B555F89A53FC26438C12D3B0E6AE3539</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