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47B5BFB8" w:rsidR="00B04FA8" w:rsidRPr="00BB3B95" w:rsidRDefault="00BB3B95" w:rsidP="003813AB">
            <w:pPr>
              <w:ind w:left="720"/>
              <w:jc w:val="center"/>
              <w:rPr>
                <w:rFonts w:ascii="Verdana" w:hAnsi="Verdana"/>
                <w:b/>
                <w:bCs/>
                <w:sz w:val="20"/>
                <w:szCs w:val="20"/>
              </w:rPr>
            </w:pPr>
            <w:r w:rsidRPr="00BB3B95">
              <w:rPr>
                <w:rFonts w:ascii="Verdana" w:hAnsi="Verdana"/>
                <w:b/>
                <w:bCs/>
                <w:sz w:val="20"/>
                <w:szCs w:val="20"/>
              </w:rPr>
              <w:t>Modalités pour l'exemption de la TVA et des taxes</w:t>
            </w:r>
          </w:p>
        </w:tc>
      </w:tr>
      <w:tr w:rsidR="00EC22CC" w14:paraId="7F1B63D2" w14:textId="77777777" w:rsidTr="002A0933">
        <w:tc>
          <w:tcPr>
            <w:tcW w:w="7225" w:type="dxa"/>
          </w:tcPr>
          <w:p w14:paraId="056D9B10" w14:textId="5C5D13B6" w:rsidR="00EC22CC" w:rsidRPr="002A096E" w:rsidRDefault="003B69CC" w:rsidP="002A096E">
            <w:pPr>
              <w:rPr>
                <w:rFonts w:ascii="Verdana" w:hAnsi="Verdana"/>
                <w:sz w:val="20"/>
                <w:szCs w:val="20"/>
              </w:rPr>
            </w:pPr>
            <w:r>
              <w:rPr>
                <w:rFonts w:ascii="Verdana" w:hAnsi="Verdana"/>
                <w:sz w:val="20"/>
                <w:szCs w:val="20"/>
              </w:rPr>
              <w:t>Comité des OPL n°0</w:t>
            </w:r>
            <w:r w:rsidR="0004608F">
              <w:rPr>
                <w:rFonts w:ascii="Verdana" w:hAnsi="Verdana"/>
                <w:sz w:val="20"/>
                <w:szCs w:val="20"/>
                <w:lang w:val="fr-FR"/>
              </w:rPr>
              <w:t>2</w:t>
            </w:r>
            <w:r>
              <w:rPr>
                <w:rFonts w:ascii="Verdana" w:hAnsi="Verdana"/>
                <w:sz w:val="20"/>
                <w:szCs w:val="20"/>
              </w:rPr>
              <w:t>/</w:t>
            </w:r>
            <w:r w:rsidR="00BB3B95">
              <w:rPr>
                <w:rFonts w:ascii="Verdana" w:hAnsi="Verdana"/>
                <w:sz w:val="20"/>
                <w:szCs w:val="20"/>
              </w:rPr>
              <w:t>26</w:t>
            </w:r>
            <w:r>
              <w:rPr>
                <w:rFonts w:ascii="Verdana" w:hAnsi="Verdana"/>
                <w:sz w:val="20"/>
                <w:szCs w:val="20"/>
              </w:rPr>
              <w:t xml:space="preserve"> | </w:t>
            </w:r>
            <w:r w:rsidR="00BB3B95">
              <w:rPr>
                <w:rFonts w:ascii="Verdana" w:hAnsi="Verdana"/>
                <w:sz w:val="20"/>
                <w:szCs w:val="20"/>
              </w:rPr>
              <w:t>5 – 7 mai 2026</w:t>
            </w:r>
          </w:p>
        </w:tc>
        <w:tc>
          <w:tcPr>
            <w:tcW w:w="1837" w:type="dxa"/>
          </w:tcPr>
          <w:p w14:paraId="58E25D1F" w14:textId="55486F66"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BB3B95">
              <w:rPr>
                <w:rFonts w:ascii="Verdana" w:hAnsi="Verdana"/>
                <w:sz w:val="20"/>
                <w:szCs w:val="20"/>
              </w:rPr>
              <w:t>3.10</w:t>
            </w:r>
          </w:p>
        </w:tc>
      </w:tr>
      <w:tr w:rsidR="00EC22CC" w14:paraId="537D1DE5" w14:textId="77777777" w:rsidTr="003B69CC">
        <w:tc>
          <w:tcPr>
            <w:tcW w:w="7225" w:type="dxa"/>
          </w:tcPr>
          <w:p w14:paraId="43DEF09E" w14:textId="2EC8C63A"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584059">
              <w:rPr>
                <w:rFonts w:ascii="Verdana" w:hAnsi="Verdana"/>
                <w:sz w:val="20"/>
                <w:szCs w:val="20"/>
              </w:rPr>
              <w:t>Vicky Cushmajee, Chef SAF</w:t>
            </w:r>
          </w:p>
        </w:tc>
        <w:tc>
          <w:tcPr>
            <w:tcW w:w="1837" w:type="dxa"/>
          </w:tcPr>
          <w:p w14:paraId="5AC1AFAB" w14:textId="551D2E6D" w:rsidR="00EC22CC" w:rsidRPr="002A0933" w:rsidRDefault="004607F7" w:rsidP="00854EEA">
            <w:pPr>
              <w:jc w:val="center"/>
              <w:rPr>
                <w:rFonts w:ascii="Verdana" w:hAnsi="Verdana"/>
                <w:sz w:val="20"/>
                <w:szCs w:val="20"/>
              </w:rPr>
            </w:pPr>
            <w:r w:rsidRPr="004607F7">
              <w:rPr>
                <w:rFonts w:ascii="Verdana" w:hAnsi="Verdana"/>
                <w:sz w:val="20"/>
                <w:szCs w:val="20"/>
                <w:highlight w:val="yellow"/>
              </w:rPr>
              <w:t xml:space="preserve">Décision </w:t>
            </w:r>
          </w:p>
        </w:tc>
      </w:tr>
      <w:tr w:rsidR="00A90305" w14:paraId="6896DB30" w14:textId="77777777" w:rsidTr="009F5233">
        <w:tc>
          <w:tcPr>
            <w:tcW w:w="9062" w:type="dxa"/>
            <w:gridSpan w:val="2"/>
          </w:tcPr>
          <w:p w14:paraId="0495241B" w14:textId="4EBC53AC" w:rsidR="00A90305" w:rsidRDefault="00A90305" w:rsidP="00A90305">
            <w:pPr>
              <w:rPr>
                <w:rFonts w:ascii="Verdana" w:hAnsi="Verdana"/>
                <w:sz w:val="20"/>
                <w:szCs w:val="20"/>
              </w:rPr>
            </w:pPr>
            <w:r>
              <w:rPr>
                <w:rFonts w:ascii="Verdana" w:hAnsi="Verdana"/>
                <w:i/>
                <w:iCs/>
                <w:sz w:val="20"/>
                <w:szCs w:val="20"/>
              </w:rPr>
              <w:t>Version du</w:t>
            </w:r>
            <w:r w:rsidR="006C6513">
              <w:rPr>
                <w:rFonts w:ascii="Verdana" w:hAnsi="Verdana"/>
                <w:i/>
                <w:iCs/>
                <w:sz w:val="20"/>
                <w:szCs w:val="20"/>
              </w:rPr>
              <w:t xml:space="preserve"> </w:t>
            </w:r>
            <w:r w:rsidR="00BB3B95">
              <w:rPr>
                <w:rFonts w:ascii="Verdana" w:hAnsi="Verdana"/>
                <w:i/>
                <w:iCs/>
                <w:sz w:val="20"/>
                <w:szCs w:val="20"/>
              </w:rPr>
              <w:t>4 mai 2026</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EB243B7" w14:textId="12BEA6ED" w:rsidR="001F5AC6" w:rsidRPr="00CA4892" w:rsidRDefault="001F5AC6" w:rsidP="001F5AC6">
      <w:pPr>
        <w:pStyle w:val="Paragraphe"/>
        <w:numPr>
          <w:ilvl w:val="0"/>
          <w:numId w:val="24"/>
        </w:numPr>
        <w:ind w:left="284"/>
        <w:rPr>
          <w:b/>
          <w:bCs/>
          <w:color w:val="000000" w:themeColor="text1"/>
        </w:rPr>
      </w:pPr>
      <w:r w:rsidRPr="00CA4892">
        <w:rPr>
          <w:b/>
          <w:bCs/>
          <w:color w:val="000000" w:themeColor="text1"/>
        </w:rPr>
        <w:t>L’exemption des droits et taxes à l’importation et la TVA sur les achats locaux</w:t>
      </w:r>
      <w:r w:rsidR="003813AB">
        <w:rPr>
          <w:b/>
          <w:bCs/>
          <w:color w:val="000000" w:themeColor="text1"/>
        </w:rPr>
        <w:t xml:space="preserve"> acquis par la COI dans le cadre de ses projets et programmes</w:t>
      </w:r>
    </w:p>
    <w:p w14:paraId="570D6955" w14:textId="2B3C184D" w:rsidR="001B5D63" w:rsidRDefault="00584059" w:rsidP="001B5D63">
      <w:pPr>
        <w:pStyle w:val="Titrepartie"/>
      </w:pPr>
      <w:r w:rsidRPr="00CA4892">
        <w:t>Contexte</w:t>
      </w:r>
    </w:p>
    <w:p w14:paraId="5F197E64" w14:textId="77777777" w:rsidR="003813AB" w:rsidRDefault="003813AB" w:rsidP="006240A7">
      <w:pPr>
        <w:ind w:right="399"/>
        <w:jc w:val="both"/>
        <w:rPr>
          <w:rFonts w:ascii="Verdana" w:hAnsi="Verdana" w:cs="Calibri"/>
          <w:color w:val="000000" w:themeColor="text1"/>
          <w:sz w:val="20"/>
          <w:szCs w:val="20"/>
        </w:rPr>
      </w:pPr>
      <w:r w:rsidRPr="003813AB">
        <w:rPr>
          <w:rFonts w:ascii="Verdana" w:hAnsi="Verdana" w:cs="Calibri"/>
          <w:color w:val="000000" w:themeColor="text1"/>
          <w:sz w:val="20"/>
          <w:szCs w:val="20"/>
        </w:rPr>
        <w:t>Cette problématique avait été soulevée lors de la réunion des OPL tenue en 2024, et le Secrétariat général avait attiré l’attention des États membres sur les éventuels blocages lors du dédouanement des équipements acquis pour leur compte dans le cadre des projets.</w:t>
      </w:r>
    </w:p>
    <w:p w14:paraId="2615CB14" w14:textId="77777777" w:rsidR="000F16AF" w:rsidRDefault="000F16AF" w:rsidP="006240A7">
      <w:pPr>
        <w:ind w:right="399"/>
        <w:jc w:val="both"/>
        <w:rPr>
          <w:rFonts w:ascii="Verdana" w:hAnsi="Verdana" w:cs="Calibri"/>
          <w:color w:val="000000" w:themeColor="text1"/>
          <w:sz w:val="20"/>
          <w:szCs w:val="20"/>
        </w:rPr>
      </w:pPr>
    </w:p>
    <w:p w14:paraId="22509E49" w14:textId="65B0A5EE" w:rsidR="006240A7" w:rsidRDefault="003813AB" w:rsidP="006240A7">
      <w:pPr>
        <w:ind w:right="399"/>
        <w:jc w:val="both"/>
        <w:rPr>
          <w:rFonts w:ascii="Verdana" w:hAnsi="Verdana"/>
          <w:sz w:val="20"/>
          <w:szCs w:val="20"/>
          <w:lang w:val="fr-BE"/>
        </w:rPr>
      </w:pPr>
      <w:r>
        <w:rPr>
          <w:rFonts w:ascii="Verdana" w:hAnsi="Verdana"/>
          <w:sz w:val="20"/>
          <w:szCs w:val="20"/>
          <w:lang w:val="fr-BE"/>
        </w:rPr>
        <w:t>Pour rappel, l</w:t>
      </w:r>
      <w:r w:rsidR="001F5AC6">
        <w:rPr>
          <w:rFonts w:ascii="Verdana" w:hAnsi="Verdana"/>
          <w:sz w:val="20"/>
          <w:szCs w:val="20"/>
          <w:lang w:val="fr-BE"/>
        </w:rPr>
        <w:t xml:space="preserve">e </w:t>
      </w:r>
      <w:r w:rsidR="00393620">
        <w:rPr>
          <w:rFonts w:ascii="Verdana" w:hAnsi="Verdana"/>
          <w:sz w:val="20"/>
          <w:szCs w:val="20"/>
          <w:lang w:val="fr-BE"/>
        </w:rPr>
        <w:t xml:space="preserve">Protocole additionnel </w:t>
      </w:r>
      <w:r w:rsidR="00523988">
        <w:rPr>
          <w:rFonts w:ascii="Verdana" w:hAnsi="Verdana"/>
          <w:sz w:val="20"/>
          <w:szCs w:val="20"/>
          <w:lang w:val="fr-BE"/>
        </w:rPr>
        <w:t xml:space="preserve">signé par tous les Etats membres de la COI </w:t>
      </w:r>
      <w:r w:rsidR="00393620">
        <w:rPr>
          <w:rFonts w:ascii="Verdana" w:hAnsi="Verdana"/>
          <w:sz w:val="20"/>
          <w:szCs w:val="20"/>
          <w:lang w:val="fr-BE"/>
        </w:rPr>
        <w:t>e</w:t>
      </w:r>
      <w:r w:rsidR="00523988">
        <w:rPr>
          <w:rFonts w:ascii="Verdana" w:hAnsi="Verdana"/>
          <w:sz w:val="20"/>
          <w:szCs w:val="20"/>
          <w:lang w:val="fr-BE"/>
        </w:rPr>
        <w:t>t l’Accord de siège entre la COI et le gouvernement de Maurice</w:t>
      </w:r>
      <w:r>
        <w:rPr>
          <w:rFonts w:ascii="Verdana" w:hAnsi="Verdana"/>
          <w:sz w:val="20"/>
          <w:szCs w:val="20"/>
          <w:lang w:val="fr-BE"/>
        </w:rPr>
        <w:t xml:space="preserve"> compren</w:t>
      </w:r>
      <w:r w:rsidR="0004608F">
        <w:rPr>
          <w:rFonts w:ascii="Verdana" w:hAnsi="Verdana"/>
          <w:sz w:val="20"/>
          <w:szCs w:val="20"/>
          <w:lang w:val="fr-BE"/>
        </w:rPr>
        <w:t>nent</w:t>
      </w:r>
      <w:r>
        <w:rPr>
          <w:rFonts w:ascii="Verdana" w:hAnsi="Verdana"/>
          <w:sz w:val="20"/>
          <w:szCs w:val="20"/>
          <w:lang w:val="fr-BE"/>
        </w:rPr>
        <w:t xml:space="preserve"> une obligation des Etats membres à fournir une exemption</w:t>
      </w:r>
      <w:r w:rsidRPr="003813AB">
        <w:rPr>
          <w:rFonts w:ascii="Verdana" w:hAnsi="Verdana"/>
          <w:sz w:val="20"/>
          <w:szCs w:val="20"/>
          <w:lang w:val="fr-BE"/>
        </w:rPr>
        <w:t xml:space="preserve"> </w:t>
      </w:r>
      <w:r>
        <w:rPr>
          <w:rFonts w:ascii="Verdana" w:hAnsi="Verdana"/>
          <w:sz w:val="20"/>
          <w:szCs w:val="20"/>
          <w:lang w:val="fr-BE"/>
        </w:rPr>
        <w:t xml:space="preserve">ou de remboursement des droits et taxes dans les Etats membres de la COI. Cependant, </w:t>
      </w:r>
      <w:r w:rsidR="00523988">
        <w:rPr>
          <w:rFonts w:ascii="Verdana" w:hAnsi="Verdana"/>
          <w:sz w:val="20"/>
          <w:szCs w:val="20"/>
          <w:lang w:val="fr-BE"/>
        </w:rPr>
        <w:t xml:space="preserve">il n’existe pas une disposition claire et </w:t>
      </w:r>
      <w:r w:rsidR="0004608F">
        <w:rPr>
          <w:rFonts w:ascii="Verdana" w:hAnsi="Verdana"/>
          <w:sz w:val="20"/>
          <w:szCs w:val="20"/>
          <w:lang w:val="fr-BE"/>
        </w:rPr>
        <w:t>une modalité définie</w:t>
      </w:r>
      <w:r w:rsidR="00523988">
        <w:rPr>
          <w:rFonts w:ascii="Verdana" w:hAnsi="Verdana"/>
          <w:sz w:val="20"/>
          <w:szCs w:val="20"/>
          <w:lang w:val="fr-BE"/>
        </w:rPr>
        <w:t xml:space="preserve"> pour exemption ou de remboursement des droits et taxes dans les Etats membres de la COI à l’exception de Maurice. </w:t>
      </w:r>
    </w:p>
    <w:p w14:paraId="398BDD71" w14:textId="77777777" w:rsidR="000F16AF" w:rsidRDefault="000F16AF" w:rsidP="006240A7">
      <w:pPr>
        <w:ind w:right="399"/>
        <w:jc w:val="both"/>
        <w:rPr>
          <w:rFonts w:ascii="Verdana" w:hAnsi="Verdana"/>
          <w:sz w:val="20"/>
          <w:szCs w:val="20"/>
          <w:lang w:val="fr-BE"/>
        </w:rPr>
      </w:pPr>
    </w:p>
    <w:p w14:paraId="0E1D7062" w14:textId="10C6839D" w:rsidR="006240A7" w:rsidRDefault="00523988" w:rsidP="006240A7">
      <w:pPr>
        <w:ind w:right="399"/>
        <w:jc w:val="both"/>
        <w:rPr>
          <w:rFonts w:ascii="Verdana" w:hAnsi="Verdana"/>
          <w:sz w:val="20"/>
          <w:szCs w:val="20"/>
          <w:lang w:val="fr-BE"/>
        </w:rPr>
      </w:pPr>
      <w:r>
        <w:rPr>
          <w:rFonts w:ascii="Verdana" w:hAnsi="Verdana"/>
          <w:sz w:val="20"/>
          <w:szCs w:val="20"/>
          <w:lang w:val="fr-BE"/>
        </w:rPr>
        <w:t xml:space="preserve">Le Secrétariat général se trouve de plus en plus en face des problèmes d’éligibilités des dépenses comportant les taxes à l’importation et la TVA dans </w:t>
      </w:r>
      <w:r w:rsidR="001F5AC6">
        <w:rPr>
          <w:rFonts w:ascii="Verdana" w:hAnsi="Verdana"/>
          <w:sz w:val="20"/>
          <w:szCs w:val="20"/>
          <w:lang w:val="fr-BE"/>
        </w:rPr>
        <w:t>les Etats</w:t>
      </w:r>
      <w:r>
        <w:rPr>
          <w:rFonts w:ascii="Verdana" w:hAnsi="Verdana"/>
          <w:sz w:val="20"/>
          <w:szCs w:val="20"/>
          <w:lang w:val="fr-BE"/>
        </w:rPr>
        <w:t xml:space="preserve"> membres pour les acquisitions en matériels et équipements effectués dans le cadre de ses activités au bénéfice de ces mêmes Etats membres. En effet, la TVA ainsi que les taxes à l’importation ne sont pas éligibles pour tous les bailleurs et sont donc inéligibles </w:t>
      </w:r>
      <w:r w:rsidR="00CA4892">
        <w:rPr>
          <w:rFonts w:ascii="Verdana" w:hAnsi="Verdana"/>
          <w:sz w:val="20"/>
          <w:szCs w:val="20"/>
          <w:lang w:val="fr-BE"/>
        </w:rPr>
        <w:t xml:space="preserve">et sont </w:t>
      </w:r>
      <w:r w:rsidR="00CA4892" w:rsidRPr="0004608F">
        <w:rPr>
          <w:rFonts w:ascii="Verdana" w:hAnsi="Verdana"/>
          <w:i/>
          <w:iCs/>
          <w:sz w:val="20"/>
          <w:szCs w:val="20"/>
          <w:lang w:val="fr-BE"/>
        </w:rPr>
        <w:t>in fin</w:t>
      </w:r>
      <w:r w:rsidR="0004608F" w:rsidRPr="0004608F">
        <w:rPr>
          <w:rFonts w:ascii="Verdana" w:hAnsi="Verdana"/>
          <w:i/>
          <w:iCs/>
          <w:sz w:val="20"/>
          <w:szCs w:val="20"/>
          <w:lang w:val="fr-BE"/>
        </w:rPr>
        <w:t>e</w:t>
      </w:r>
      <w:r w:rsidR="00CA4892">
        <w:rPr>
          <w:rFonts w:ascii="Verdana" w:hAnsi="Verdana"/>
          <w:sz w:val="20"/>
          <w:szCs w:val="20"/>
          <w:lang w:val="fr-BE"/>
        </w:rPr>
        <w:t xml:space="preserve">, à </w:t>
      </w:r>
      <w:r>
        <w:rPr>
          <w:rFonts w:ascii="Verdana" w:hAnsi="Verdana"/>
          <w:sz w:val="20"/>
          <w:szCs w:val="20"/>
          <w:lang w:val="fr-BE"/>
        </w:rPr>
        <w:t xml:space="preserve">la charge du Secrétariat général. </w:t>
      </w:r>
    </w:p>
    <w:p w14:paraId="35B57D79" w14:textId="77777777" w:rsidR="000F16AF" w:rsidRDefault="000F16AF" w:rsidP="006240A7">
      <w:pPr>
        <w:ind w:right="399"/>
        <w:jc w:val="both"/>
        <w:rPr>
          <w:rFonts w:ascii="Verdana" w:hAnsi="Verdana"/>
          <w:sz w:val="20"/>
          <w:szCs w:val="20"/>
          <w:lang w:val="fr-BE"/>
        </w:rPr>
      </w:pPr>
    </w:p>
    <w:p w14:paraId="4BC814AB" w14:textId="383710E2" w:rsidR="00B30539" w:rsidRDefault="00523988" w:rsidP="006240A7">
      <w:pPr>
        <w:ind w:right="399"/>
        <w:jc w:val="both"/>
        <w:rPr>
          <w:rFonts w:ascii="Verdana" w:hAnsi="Verdana"/>
          <w:sz w:val="20"/>
          <w:szCs w:val="20"/>
          <w:lang w:val="fr-BE"/>
        </w:rPr>
      </w:pPr>
      <w:r>
        <w:rPr>
          <w:rFonts w:ascii="Verdana" w:hAnsi="Verdana"/>
          <w:sz w:val="20"/>
          <w:szCs w:val="20"/>
          <w:lang w:val="fr-BE"/>
        </w:rPr>
        <w:t>Il est tout à fait compréhensible que cette situation est d</w:t>
      </w:r>
      <w:r w:rsidR="0004608F">
        <w:rPr>
          <w:rFonts w:ascii="Verdana" w:hAnsi="Verdana"/>
          <w:sz w:val="20"/>
          <w:szCs w:val="20"/>
          <w:lang w:val="fr-BE"/>
        </w:rPr>
        <w:t>ue</w:t>
      </w:r>
      <w:r>
        <w:rPr>
          <w:rFonts w:ascii="Verdana" w:hAnsi="Verdana"/>
          <w:sz w:val="20"/>
          <w:szCs w:val="20"/>
          <w:lang w:val="fr-BE"/>
        </w:rPr>
        <w:t xml:space="preserve"> au fait que l’article 4 du Protocole additionnel n’a pas été légiféré dans les </w:t>
      </w:r>
      <w:r w:rsidR="00B30539">
        <w:rPr>
          <w:rFonts w:ascii="Verdana" w:hAnsi="Verdana"/>
          <w:sz w:val="20"/>
          <w:szCs w:val="20"/>
          <w:lang w:val="fr-BE"/>
        </w:rPr>
        <w:t>lois du pays (à l’exception de Maurice) et donc pas appliqué systématiquement par les services compétents, notamment les services de douane ou les différents services du ministère des finances.</w:t>
      </w:r>
    </w:p>
    <w:p w14:paraId="7890BE45" w14:textId="1EB826BE" w:rsidR="006240A7" w:rsidRDefault="00B30539" w:rsidP="006240A7">
      <w:pPr>
        <w:ind w:right="399"/>
        <w:jc w:val="both"/>
        <w:rPr>
          <w:rFonts w:ascii="Verdana" w:hAnsi="Verdana"/>
          <w:sz w:val="20"/>
          <w:szCs w:val="20"/>
          <w:lang w:val="fr-BE"/>
        </w:rPr>
      </w:pPr>
      <w:r>
        <w:rPr>
          <w:rFonts w:ascii="Verdana" w:hAnsi="Verdana"/>
          <w:sz w:val="20"/>
          <w:szCs w:val="20"/>
          <w:lang w:val="fr-BE"/>
        </w:rPr>
        <w:t xml:space="preserve">Pour rappel, les articles concernant les taxes </w:t>
      </w:r>
      <w:r w:rsidR="0004608F">
        <w:rPr>
          <w:rFonts w:ascii="Verdana" w:hAnsi="Verdana"/>
          <w:sz w:val="20"/>
          <w:szCs w:val="20"/>
          <w:lang w:val="fr-BE"/>
        </w:rPr>
        <w:t>lisent</w:t>
      </w:r>
      <w:r>
        <w:rPr>
          <w:rFonts w:ascii="Verdana" w:hAnsi="Verdana"/>
          <w:sz w:val="20"/>
          <w:szCs w:val="20"/>
          <w:lang w:val="fr-BE"/>
        </w:rPr>
        <w:t xml:space="preserve"> comme suit : </w:t>
      </w:r>
    </w:p>
    <w:p w14:paraId="7A73D7E8" w14:textId="77777777" w:rsidR="000F16AF" w:rsidRPr="006240A7" w:rsidRDefault="000F16AF" w:rsidP="006240A7">
      <w:pPr>
        <w:ind w:right="399"/>
        <w:jc w:val="both"/>
        <w:rPr>
          <w:rFonts w:ascii="Verdana" w:hAnsi="Verdana"/>
          <w:sz w:val="20"/>
          <w:szCs w:val="20"/>
          <w:lang w:val="fr-BE"/>
        </w:rPr>
      </w:pPr>
    </w:p>
    <w:p w14:paraId="4EB23470" w14:textId="19B3151A" w:rsidR="006240A7" w:rsidRPr="00393620" w:rsidRDefault="006240A7" w:rsidP="00393620">
      <w:pPr>
        <w:ind w:left="567" w:right="399"/>
        <w:jc w:val="both"/>
        <w:rPr>
          <w:rFonts w:ascii="Verdana" w:hAnsi="Verdana"/>
          <w:b/>
          <w:bCs/>
          <w:i/>
          <w:iCs/>
          <w:sz w:val="20"/>
          <w:szCs w:val="20"/>
          <w:lang w:val="fr-BE"/>
        </w:rPr>
      </w:pPr>
      <w:r w:rsidRPr="00393620">
        <w:rPr>
          <w:rFonts w:ascii="Verdana" w:hAnsi="Verdana"/>
          <w:b/>
          <w:bCs/>
          <w:i/>
          <w:iCs/>
          <w:sz w:val="20"/>
          <w:szCs w:val="20"/>
          <w:lang w:val="fr-BE"/>
        </w:rPr>
        <w:t>Article 4 du Protocol</w:t>
      </w:r>
      <w:r w:rsidR="0004608F">
        <w:rPr>
          <w:rFonts w:ascii="Verdana" w:hAnsi="Verdana"/>
          <w:b/>
          <w:bCs/>
          <w:i/>
          <w:iCs/>
          <w:sz w:val="20"/>
          <w:szCs w:val="20"/>
          <w:lang w:val="fr-BE"/>
        </w:rPr>
        <w:t>e</w:t>
      </w:r>
      <w:r w:rsidRPr="00393620">
        <w:rPr>
          <w:rFonts w:ascii="Verdana" w:hAnsi="Verdana"/>
          <w:b/>
          <w:bCs/>
          <w:i/>
          <w:iCs/>
          <w:sz w:val="20"/>
          <w:szCs w:val="20"/>
          <w:lang w:val="fr-BE"/>
        </w:rPr>
        <w:t xml:space="preserve"> Additionnel</w:t>
      </w:r>
    </w:p>
    <w:p w14:paraId="72D5A6D4" w14:textId="16C49A8B" w:rsidR="00393620" w:rsidRDefault="006240A7" w:rsidP="00B30539">
      <w:pPr>
        <w:ind w:left="567" w:right="399"/>
        <w:jc w:val="both"/>
        <w:rPr>
          <w:rFonts w:ascii="Verdana" w:hAnsi="Verdana"/>
          <w:i/>
          <w:iCs/>
          <w:sz w:val="20"/>
          <w:szCs w:val="20"/>
          <w:lang w:val="fr-BE"/>
        </w:rPr>
      </w:pPr>
      <w:r w:rsidRPr="00393620">
        <w:rPr>
          <w:rFonts w:ascii="Verdana" w:hAnsi="Verdana"/>
          <w:i/>
          <w:iCs/>
          <w:sz w:val="20"/>
          <w:szCs w:val="20"/>
          <w:lang w:val="fr-BE"/>
        </w:rPr>
        <w:t xml:space="preserve">Lorsque des achats de biens ou de services d'un montant important qui sont strictement nécessaires à l'exercice de ses activités officielles, sont effectués par la </w:t>
      </w:r>
      <w:proofErr w:type="spellStart"/>
      <w:r w:rsidRPr="00393620">
        <w:rPr>
          <w:rFonts w:ascii="Verdana" w:hAnsi="Verdana"/>
          <w:i/>
          <w:iCs/>
          <w:sz w:val="20"/>
          <w:szCs w:val="20"/>
          <w:lang w:val="fr-BE"/>
        </w:rPr>
        <w:t>COl</w:t>
      </w:r>
      <w:proofErr w:type="spellEnd"/>
      <w:r w:rsidRPr="00393620">
        <w:rPr>
          <w:rFonts w:ascii="Verdana" w:hAnsi="Verdana"/>
          <w:i/>
          <w:iCs/>
          <w:sz w:val="20"/>
          <w:szCs w:val="20"/>
          <w:lang w:val="fr-BE"/>
        </w:rPr>
        <w:t xml:space="preserve"> et lorsque le prix de ces achats de biens ou de services comprend des taxes ou droits, des dispositions appropriées sont prises par les Etats membres en vue de l'exonération des taxes ou droits de cette nature ou en vue du remboursement de leur montant.</w:t>
      </w:r>
    </w:p>
    <w:p w14:paraId="26D7B66E" w14:textId="77777777" w:rsidR="007F3CE3" w:rsidRPr="00393620" w:rsidRDefault="007F3CE3" w:rsidP="00B30539">
      <w:pPr>
        <w:ind w:left="567" w:right="399"/>
        <w:jc w:val="both"/>
        <w:rPr>
          <w:rFonts w:ascii="Verdana" w:hAnsi="Verdana"/>
          <w:i/>
          <w:iCs/>
          <w:sz w:val="20"/>
          <w:szCs w:val="20"/>
          <w:lang w:val="fr-BE"/>
        </w:rPr>
      </w:pPr>
    </w:p>
    <w:p w14:paraId="35212507" w14:textId="3810B265" w:rsidR="006240A7" w:rsidRPr="0004608F" w:rsidRDefault="00393620" w:rsidP="00B30539">
      <w:pPr>
        <w:ind w:left="567" w:right="399"/>
        <w:jc w:val="both"/>
        <w:rPr>
          <w:rFonts w:ascii="Verdana" w:hAnsi="Verdana"/>
          <w:b/>
          <w:bCs/>
          <w:i/>
          <w:iCs/>
          <w:sz w:val="20"/>
          <w:szCs w:val="20"/>
          <w:lang w:val="fr-BE"/>
        </w:rPr>
      </w:pPr>
      <w:r w:rsidRPr="0004608F">
        <w:rPr>
          <w:rFonts w:ascii="Verdana" w:hAnsi="Verdana"/>
          <w:b/>
          <w:bCs/>
          <w:i/>
          <w:iCs/>
          <w:sz w:val="20"/>
          <w:szCs w:val="20"/>
          <w:lang w:val="fr-BE"/>
        </w:rPr>
        <w:t>Article 9 de l’Accord du siège de la COI</w:t>
      </w:r>
    </w:p>
    <w:p w14:paraId="17D799EB" w14:textId="11C7D8C6" w:rsidR="006240A7" w:rsidRDefault="006240A7" w:rsidP="00B30539">
      <w:pPr>
        <w:ind w:left="567" w:right="399"/>
        <w:jc w:val="both"/>
        <w:rPr>
          <w:rFonts w:ascii="Verdana" w:hAnsi="Verdana"/>
          <w:sz w:val="20"/>
          <w:szCs w:val="20"/>
          <w:lang w:val="fr-BE"/>
        </w:rPr>
      </w:pPr>
      <w:r w:rsidRPr="006240A7">
        <w:rPr>
          <w:rFonts w:ascii="Verdana" w:hAnsi="Verdana"/>
          <w:sz w:val="20"/>
          <w:szCs w:val="20"/>
          <w:lang w:val="fr-BE"/>
        </w:rPr>
        <w:t>Lorsque le Secrétariat général de la COI effectue des achats importants de biens immobiliers ou mobilie</w:t>
      </w:r>
      <w:r>
        <w:rPr>
          <w:rFonts w:ascii="Verdana" w:hAnsi="Verdana"/>
          <w:sz w:val="20"/>
          <w:szCs w:val="20"/>
          <w:lang w:val="fr-BE"/>
        </w:rPr>
        <w:t>r</w:t>
      </w:r>
      <w:r w:rsidRPr="006240A7">
        <w:rPr>
          <w:rFonts w:ascii="Verdana" w:hAnsi="Verdana"/>
          <w:sz w:val="20"/>
          <w:szCs w:val="20"/>
          <w:lang w:val="fr-BE"/>
        </w:rPr>
        <w:t xml:space="preserve">s ou fait exécuter des prestations importantes, strictement nécessaires de ses activités </w:t>
      </w:r>
      <w:r w:rsidR="00393620">
        <w:rPr>
          <w:rFonts w:ascii="Verdana" w:hAnsi="Verdana"/>
          <w:sz w:val="20"/>
          <w:szCs w:val="20"/>
          <w:lang w:val="fr-BE"/>
        </w:rPr>
        <w:t>officielles dont le prix</w:t>
      </w:r>
      <w:r w:rsidRPr="006240A7">
        <w:rPr>
          <w:rFonts w:ascii="Verdana" w:hAnsi="Verdana"/>
          <w:sz w:val="20"/>
          <w:szCs w:val="20"/>
          <w:lang w:val="fr-BE"/>
        </w:rPr>
        <w:t xml:space="preserve"> </w:t>
      </w:r>
      <w:r w:rsidR="00393620">
        <w:rPr>
          <w:rFonts w:ascii="Verdana" w:hAnsi="Verdana"/>
          <w:sz w:val="20"/>
          <w:szCs w:val="20"/>
          <w:lang w:val="fr-BE"/>
        </w:rPr>
        <w:t xml:space="preserve">comprend des droits indirects ou des taxes à la vente, des dispositions </w:t>
      </w:r>
      <w:r w:rsidRPr="006240A7">
        <w:rPr>
          <w:rFonts w:ascii="Verdana" w:hAnsi="Verdana"/>
          <w:sz w:val="20"/>
          <w:szCs w:val="20"/>
          <w:lang w:val="fr-BE"/>
        </w:rPr>
        <w:t xml:space="preserve">appropriées sont prises chaque fois qu'il est possible. en vue de la remise ou du remboursement du montant de ces droit </w:t>
      </w:r>
      <w:r w:rsidR="00393620">
        <w:rPr>
          <w:rFonts w:ascii="Verdana" w:hAnsi="Verdana"/>
          <w:sz w:val="20"/>
          <w:szCs w:val="20"/>
          <w:lang w:val="fr-BE"/>
        </w:rPr>
        <w:t>et taxes.</w:t>
      </w:r>
    </w:p>
    <w:p w14:paraId="585E85F7" w14:textId="77777777" w:rsidR="007F3CE3" w:rsidRDefault="007F3CE3" w:rsidP="00B30539">
      <w:pPr>
        <w:ind w:left="567" w:right="399"/>
        <w:jc w:val="both"/>
        <w:rPr>
          <w:rFonts w:ascii="Verdana" w:hAnsi="Verdana"/>
          <w:sz w:val="20"/>
          <w:szCs w:val="20"/>
          <w:lang w:val="fr-BE"/>
        </w:rPr>
      </w:pPr>
    </w:p>
    <w:p w14:paraId="765426F8" w14:textId="77777777" w:rsidR="003813AB" w:rsidRDefault="003813AB" w:rsidP="00B30539">
      <w:pPr>
        <w:ind w:left="567" w:right="399"/>
        <w:jc w:val="both"/>
        <w:rPr>
          <w:rFonts w:ascii="Verdana" w:hAnsi="Verdana"/>
          <w:sz w:val="20"/>
          <w:szCs w:val="20"/>
          <w:lang w:val="fr-BE"/>
        </w:rPr>
      </w:pPr>
    </w:p>
    <w:p w14:paraId="3DB59E73" w14:textId="415A7FB2" w:rsidR="00584059" w:rsidRPr="00CA4892" w:rsidRDefault="00584059" w:rsidP="00584059">
      <w:pPr>
        <w:pStyle w:val="Titrepartie"/>
        <w:rPr>
          <w:lang w:val="fr-BE"/>
        </w:rPr>
      </w:pPr>
      <w:r w:rsidRPr="00CA4892">
        <w:rPr>
          <w:lang w:val="fr-BE"/>
        </w:rPr>
        <w:t>Situation actuelle</w:t>
      </w:r>
    </w:p>
    <w:p w14:paraId="58A8AF9B" w14:textId="393AC903" w:rsidR="003813AB" w:rsidRDefault="003813AB" w:rsidP="003813AB">
      <w:pPr>
        <w:ind w:right="399"/>
        <w:jc w:val="both"/>
        <w:rPr>
          <w:rFonts w:ascii="Verdana" w:hAnsi="Verdana"/>
          <w:sz w:val="20"/>
          <w:szCs w:val="20"/>
        </w:rPr>
      </w:pPr>
      <w:r w:rsidRPr="003813AB">
        <w:rPr>
          <w:rFonts w:ascii="Verdana" w:hAnsi="Verdana"/>
          <w:sz w:val="20"/>
          <w:szCs w:val="20"/>
          <w:lang w:val="fr-BE"/>
        </w:rPr>
        <w:t xml:space="preserve">La COI fait actuellement face à des retards dans la livraison des équipements par les fournisseurs liés au fait que dans certains États membres, les certificats d’exemption des droits de douane et de la TVA à l’importation ne sont pas reconnus </w:t>
      </w:r>
      <w:r w:rsidRPr="003813AB">
        <w:rPr>
          <w:rFonts w:ascii="Verdana" w:hAnsi="Verdana"/>
          <w:sz w:val="20"/>
          <w:szCs w:val="20"/>
          <w:lang w:val="fr-BE"/>
        </w:rPr>
        <w:lastRenderedPageBreak/>
        <w:t>automatiquement par les autorités et que chaque opération d’importation doit être justifiée de manière répétée et détaillée, entraînant des délais importants de dédouanement. Les projets concernés à ce jour sont le RDRM et Hydromet, et la même problématique se posera pour le PSP ainsi que pour tout autre projet prévoyant l’acquisition d’équipements au bénéfice des États membres.</w:t>
      </w:r>
      <w:r>
        <w:rPr>
          <w:rFonts w:ascii="Verdana" w:hAnsi="Verdana"/>
          <w:sz w:val="20"/>
          <w:szCs w:val="20"/>
          <w:lang w:val="fr-BE"/>
        </w:rPr>
        <w:t xml:space="preserve"> </w:t>
      </w:r>
      <w:r>
        <w:rPr>
          <w:rFonts w:ascii="Verdana" w:hAnsi="Verdana"/>
          <w:sz w:val="20"/>
          <w:szCs w:val="20"/>
        </w:rPr>
        <w:t>L</w:t>
      </w:r>
      <w:r w:rsidRPr="003813AB">
        <w:rPr>
          <w:rFonts w:ascii="Verdana" w:hAnsi="Verdana"/>
          <w:sz w:val="20"/>
          <w:szCs w:val="20"/>
        </w:rPr>
        <w:t>es frais de manutention et stockage </w:t>
      </w:r>
      <w:r>
        <w:rPr>
          <w:rFonts w:ascii="Verdana" w:hAnsi="Verdana"/>
          <w:sz w:val="20"/>
          <w:szCs w:val="20"/>
        </w:rPr>
        <w:t>en attendant les certificats sont rajoutés sur les coûts à payer et sont inéligibles.</w:t>
      </w:r>
    </w:p>
    <w:p w14:paraId="75527C04" w14:textId="77777777" w:rsidR="003813AB" w:rsidRPr="003813AB" w:rsidRDefault="003813AB" w:rsidP="003813AB">
      <w:pPr>
        <w:ind w:right="399"/>
        <w:jc w:val="both"/>
        <w:rPr>
          <w:rFonts w:ascii="Verdana" w:hAnsi="Verdana"/>
          <w:sz w:val="20"/>
          <w:szCs w:val="20"/>
          <w:lang w:val="fr-BE"/>
        </w:rPr>
      </w:pPr>
    </w:p>
    <w:p w14:paraId="5A65C438" w14:textId="3287DE8A" w:rsidR="003813AB" w:rsidRDefault="003813AB" w:rsidP="003813AB">
      <w:pPr>
        <w:ind w:right="399"/>
        <w:jc w:val="both"/>
        <w:rPr>
          <w:rFonts w:ascii="Verdana" w:hAnsi="Verdana"/>
          <w:sz w:val="20"/>
          <w:szCs w:val="20"/>
          <w:lang w:val="fr-BE"/>
        </w:rPr>
      </w:pPr>
      <w:r w:rsidRPr="003813AB">
        <w:rPr>
          <w:rFonts w:ascii="Verdana" w:hAnsi="Verdana"/>
          <w:sz w:val="20"/>
          <w:szCs w:val="20"/>
          <w:lang w:val="fr-BE"/>
        </w:rPr>
        <w:t xml:space="preserve">La COI ne peut en aucun cas prendre en charge ces </w:t>
      </w:r>
      <w:r>
        <w:rPr>
          <w:rFonts w:ascii="Verdana" w:hAnsi="Verdana"/>
          <w:sz w:val="20"/>
          <w:szCs w:val="20"/>
          <w:lang w:val="fr-BE"/>
        </w:rPr>
        <w:t>frais</w:t>
      </w:r>
      <w:r w:rsidRPr="003813AB">
        <w:rPr>
          <w:rFonts w:ascii="Verdana" w:hAnsi="Verdana"/>
          <w:sz w:val="20"/>
          <w:szCs w:val="20"/>
          <w:lang w:val="fr-BE"/>
        </w:rPr>
        <w:t xml:space="preserve"> au risque de générer des dépenses inéligibles, les conventions de financement conclues avec les bailleurs interdisant explicitement le paiement de taxes. Les équipements acquis dans le cadre des projets doivent donc impérativement être achetés et livrés hors taxes dans les pays concernés.</w:t>
      </w:r>
    </w:p>
    <w:p w14:paraId="34DCC901" w14:textId="77777777" w:rsidR="003813AB" w:rsidRPr="003813AB" w:rsidRDefault="003813AB" w:rsidP="003813AB">
      <w:pPr>
        <w:ind w:right="399"/>
        <w:jc w:val="both"/>
        <w:rPr>
          <w:rFonts w:ascii="Verdana" w:hAnsi="Verdana"/>
          <w:sz w:val="20"/>
          <w:szCs w:val="20"/>
          <w:lang w:val="fr-BE"/>
        </w:rPr>
      </w:pPr>
    </w:p>
    <w:p w14:paraId="0D257C4D" w14:textId="77777777" w:rsidR="003813AB" w:rsidRDefault="003813AB" w:rsidP="003813AB">
      <w:pPr>
        <w:ind w:right="399"/>
        <w:jc w:val="both"/>
        <w:rPr>
          <w:rFonts w:ascii="Verdana" w:hAnsi="Verdana"/>
          <w:sz w:val="20"/>
          <w:szCs w:val="20"/>
          <w:lang w:val="fr-BE"/>
        </w:rPr>
      </w:pPr>
      <w:r w:rsidRPr="003813AB">
        <w:rPr>
          <w:rFonts w:ascii="Verdana" w:hAnsi="Verdana"/>
          <w:sz w:val="20"/>
          <w:szCs w:val="20"/>
          <w:lang w:val="fr-BE"/>
        </w:rPr>
        <w:t>Par ailleurs, dans le cadre de la mise en œuvre de ses activités dans les États membres, la COI se voit facturer de la TVA sur les achats locaux, également non éligible pour l’ensemble des bailleurs de fonds. Les auditeurs qualifient systématiquement ces taxes d’inéligibles dans leurs rapports et relèvent l’absence de preuves de démarches entreprises par la COI auprès des États membres pour en obtenir le remboursement. Or, ces remboursements sont aujourd’hui pratiquement impossibles en l’absence de mécanismes formalisés.</w:t>
      </w:r>
    </w:p>
    <w:p w14:paraId="54DD1573" w14:textId="77777777" w:rsidR="003813AB" w:rsidRPr="003813AB" w:rsidRDefault="003813AB" w:rsidP="003813AB">
      <w:pPr>
        <w:ind w:right="399"/>
        <w:jc w:val="both"/>
        <w:rPr>
          <w:rFonts w:ascii="Verdana" w:hAnsi="Verdana"/>
          <w:sz w:val="20"/>
          <w:szCs w:val="20"/>
          <w:lang w:val="fr-BE"/>
        </w:rPr>
      </w:pPr>
    </w:p>
    <w:p w14:paraId="721E5549" w14:textId="0056EF0D" w:rsidR="003813AB" w:rsidRDefault="003813AB" w:rsidP="003813AB">
      <w:pPr>
        <w:ind w:right="399"/>
        <w:jc w:val="both"/>
        <w:rPr>
          <w:rFonts w:ascii="Verdana" w:hAnsi="Verdana"/>
          <w:sz w:val="20"/>
          <w:szCs w:val="20"/>
          <w:lang w:val="fr-BE"/>
        </w:rPr>
      </w:pPr>
      <w:r w:rsidRPr="003813AB">
        <w:rPr>
          <w:rFonts w:ascii="Verdana" w:hAnsi="Verdana"/>
          <w:sz w:val="20"/>
          <w:szCs w:val="20"/>
          <w:lang w:val="fr-BE"/>
        </w:rPr>
        <w:t>Maurice</w:t>
      </w:r>
      <w:r>
        <w:rPr>
          <w:rFonts w:ascii="Verdana" w:hAnsi="Verdana"/>
          <w:sz w:val="20"/>
          <w:szCs w:val="20"/>
          <w:lang w:val="fr-BE"/>
        </w:rPr>
        <w:t xml:space="preserve"> par ailleurs, </w:t>
      </w:r>
      <w:r w:rsidRPr="003813AB">
        <w:rPr>
          <w:rFonts w:ascii="Verdana" w:hAnsi="Verdana"/>
          <w:sz w:val="20"/>
          <w:szCs w:val="20"/>
          <w:lang w:val="fr-BE"/>
        </w:rPr>
        <w:t xml:space="preserve">en tant que pays </w:t>
      </w:r>
      <w:r>
        <w:rPr>
          <w:rFonts w:ascii="Verdana" w:hAnsi="Verdana"/>
          <w:sz w:val="20"/>
          <w:szCs w:val="20"/>
          <w:lang w:val="fr-BE"/>
        </w:rPr>
        <w:t xml:space="preserve">du </w:t>
      </w:r>
      <w:r w:rsidRPr="003813AB">
        <w:rPr>
          <w:rFonts w:ascii="Verdana" w:hAnsi="Verdana"/>
          <w:sz w:val="20"/>
          <w:szCs w:val="20"/>
          <w:lang w:val="fr-BE"/>
        </w:rPr>
        <w:t>siège a mis en place des modalités permettant à la COI le remboursement de la TVA ainsi que des facilités d’exemption des droits et taxes à l’importation.</w:t>
      </w:r>
    </w:p>
    <w:p w14:paraId="7462D93E" w14:textId="77777777" w:rsidR="003813AB" w:rsidRPr="003813AB" w:rsidRDefault="003813AB" w:rsidP="003813AB">
      <w:pPr>
        <w:ind w:right="399"/>
        <w:jc w:val="both"/>
        <w:rPr>
          <w:rFonts w:ascii="Verdana" w:hAnsi="Verdana"/>
          <w:sz w:val="20"/>
          <w:szCs w:val="20"/>
          <w:lang w:val="fr-BE"/>
        </w:rPr>
      </w:pPr>
    </w:p>
    <w:p w14:paraId="76B49E8E" w14:textId="095F8F84" w:rsidR="003813AB" w:rsidRDefault="003813AB" w:rsidP="003813AB">
      <w:pPr>
        <w:ind w:right="399"/>
        <w:jc w:val="both"/>
        <w:rPr>
          <w:rFonts w:ascii="Verdana" w:hAnsi="Verdana"/>
          <w:sz w:val="20"/>
          <w:szCs w:val="20"/>
          <w:lang w:val="fr-BE"/>
        </w:rPr>
      </w:pPr>
      <w:r w:rsidRPr="003813AB">
        <w:rPr>
          <w:rFonts w:ascii="Verdana" w:hAnsi="Verdana"/>
          <w:sz w:val="20"/>
          <w:szCs w:val="20"/>
          <w:lang w:val="fr-BE"/>
        </w:rPr>
        <w:t xml:space="preserve">Il est donc nécessaire que les autres États membres instaurent des dispositifs similaires, à travers des documents officiels attestant de l’exemption de la COI des taxes locales conformément à l’engagement pris au titre de l’article 4 du Protocole additionnel signé par l’ensemble des États membres (cf. annexe 1). </w:t>
      </w:r>
      <w:r>
        <w:rPr>
          <w:rFonts w:ascii="Verdana" w:hAnsi="Verdana"/>
          <w:sz w:val="20"/>
          <w:szCs w:val="20"/>
          <w:lang w:val="fr-BE"/>
        </w:rPr>
        <w:t xml:space="preserve"> </w:t>
      </w:r>
      <w:r w:rsidRPr="003813AB">
        <w:rPr>
          <w:rFonts w:ascii="Verdana" w:hAnsi="Verdana"/>
          <w:sz w:val="20"/>
          <w:szCs w:val="20"/>
          <w:lang w:val="fr-BE"/>
        </w:rPr>
        <w:t>Chaque pays pourra définir des modalités spécifiques, en conformité avec sa législation nationale.</w:t>
      </w:r>
    </w:p>
    <w:p w14:paraId="7770928E" w14:textId="77777777" w:rsidR="0004608F" w:rsidRPr="0004608F" w:rsidRDefault="0004608F" w:rsidP="003813AB">
      <w:pPr>
        <w:spacing w:after="160" w:line="259" w:lineRule="auto"/>
        <w:ind w:right="399"/>
        <w:jc w:val="both"/>
        <w:rPr>
          <w:rFonts w:ascii="Verdana" w:hAnsi="Verdana"/>
          <w:sz w:val="2"/>
          <w:szCs w:val="2"/>
          <w:lang w:val="fr-FR"/>
        </w:rPr>
      </w:pPr>
    </w:p>
    <w:p w14:paraId="0834510E" w14:textId="063D4444" w:rsidR="003813AB" w:rsidRPr="003813AB" w:rsidRDefault="003813AB" w:rsidP="003813AB">
      <w:pPr>
        <w:spacing w:after="160" w:line="259" w:lineRule="auto"/>
        <w:ind w:right="399"/>
        <w:jc w:val="both"/>
        <w:rPr>
          <w:rFonts w:ascii="Verdana" w:hAnsi="Verdana"/>
          <w:sz w:val="20"/>
          <w:szCs w:val="20"/>
        </w:rPr>
      </w:pPr>
      <w:r w:rsidRPr="003813AB">
        <w:rPr>
          <w:rFonts w:ascii="Verdana" w:hAnsi="Verdana"/>
          <w:sz w:val="20"/>
          <w:szCs w:val="20"/>
        </w:rPr>
        <w:t>Dans ce cadre, le Secrétariat général pourra apporter son appui aux États membres dans la mise en œuvre de ces dispositions, notamment en facilitant les échanges techniques et en fournissant les éléments justificatifs nécessaires à l’instruction des dossiers au niveau national. Il pourra également engager des discussions avec les ministères des finances et les autorités fiscales compétentes afin de définir, de manière concertée, des modalités opérationnelles adaptées permettant de sécuriser et fluidifier les procédures d’exemption et de dédouanement.</w:t>
      </w:r>
    </w:p>
    <w:p w14:paraId="5A163909" w14:textId="78DF86F6" w:rsidR="003813AB" w:rsidRPr="003813AB" w:rsidRDefault="003813AB" w:rsidP="003813AB">
      <w:pPr>
        <w:spacing w:after="160" w:line="259" w:lineRule="auto"/>
        <w:ind w:right="399"/>
        <w:jc w:val="both"/>
        <w:rPr>
          <w:rFonts w:ascii="Verdana" w:hAnsi="Verdana"/>
          <w:sz w:val="20"/>
          <w:szCs w:val="20"/>
        </w:rPr>
      </w:pPr>
      <w:r w:rsidRPr="003813AB">
        <w:rPr>
          <w:rFonts w:ascii="Verdana" w:hAnsi="Verdana"/>
          <w:sz w:val="20"/>
          <w:szCs w:val="20"/>
        </w:rPr>
        <w:t>En outre, le Secrétariat général pourrait le cas échéant, mobiliser un appui technique à travers les mécanismes de financement disponibles, notamment la Subvention Horizon 2030 afin d’accompagner les États membres dans la mise en place ou le renforcement de ces dispositifs administratifs et réglementaires.</w:t>
      </w:r>
    </w:p>
    <w:p w14:paraId="5C34FC65" w14:textId="359E7393" w:rsidR="003813AB" w:rsidRDefault="0004608F" w:rsidP="003813AB">
      <w:pPr>
        <w:pStyle w:val="Titrepartie"/>
        <w:numPr>
          <w:ilvl w:val="0"/>
          <w:numId w:val="24"/>
        </w:numPr>
        <w:ind w:left="0" w:hanging="11"/>
        <w:rPr>
          <w:color w:val="000000" w:themeColor="text1"/>
          <w:sz w:val="20"/>
        </w:rPr>
      </w:pPr>
      <w:r>
        <w:rPr>
          <w:color w:val="000000" w:themeColor="text1"/>
          <w:sz w:val="20"/>
        </w:rPr>
        <w:t>E</w:t>
      </w:r>
      <w:r w:rsidR="003813AB" w:rsidRPr="003813AB">
        <w:rPr>
          <w:color w:val="000000" w:themeColor="text1"/>
          <w:sz w:val="20"/>
        </w:rPr>
        <w:t xml:space="preserve">xemption des droits et taxes </w:t>
      </w:r>
      <w:r w:rsidR="003813AB">
        <w:rPr>
          <w:color w:val="000000" w:themeColor="text1"/>
          <w:sz w:val="20"/>
        </w:rPr>
        <w:t>sur les effets personnels des agents de la COI</w:t>
      </w:r>
    </w:p>
    <w:p w14:paraId="21254810" w14:textId="77777777" w:rsidR="003813AB" w:rsidRDefault="003813AB" w:rsidP="003813AB">
      <w:pPr>
        <w:pStyle w:val="Titrepartie"/>
        <w:numPr>
          <w:ilvl w:val="0"/>
          <w:numId w:val="0"/>
        </w:numPr>
        <w:ind w:left="720" w:hanging="360"/>
        <w:rPr>
          <w:color w:val="000000" w:themeColor="text1"/>
          <w:sz w:val="20"/>
        </w:rPr>
      </w:pPr>
    </w:p>
    <w:p w14:paraId="15C192C0" w14:textId="741356C3" w:rsidR="003813AB" w:rsidRDefault="003813AB" w:rsidP="003813AB">
      <w:pPr>
        <w:pStyle w:val="Titrepartie"/>
        <w:numPr>
          <w:ilvl w:val="0"/>
          <w:numId w:val="0"/>
        </w:numPr>
        <w:rPr>
          <w:b w:val="0"/>
          <w:bCs w:val="0"/>
          <w:color w:val="000000" w:themeColor="text1"/>
          <w:sz w:val="20"/>
        </w:rPr>
      </w:pPr>
      <w:r w:rsidRPr="003813AB">
        <w:rPr>
          <w:b w:val="0"/>
          <w:bCs w:val="0"/>
          <w:color w:val="000000" w:themeColor="text1"/>
          <w:sz w:val="20"/>
        </w:rPr>
        <w:t>Lorsqu’un agent arrive au terme de son contrat avec la COI et retourne dans son pays d’origine, des difficultés sont régulièrement rencontrées concernant l’application des exemptions de droits et taxes sur ses effets personnels. Dans plusieurs États membres, il n’existe pas de disposition ou de mécanisme clairement établi permettant de traiter de manière rapide et systématique ces exemptions ce qui entraîne des démarches administratives répétées, des justificatifs multiples et des délais importants de dédouanement.</w:t>
      </w:r>
    </w:p>
    <w:p w14:paraId="7D48FCB3" w14:textId="77777777" w:rsidR="003813AB" w:rsidRPr="003813AB" w:rsidRDefault="003813AB" w:rsidP="003813AB">
      <w:pPr>
        <w:pStyle w:val="Titrepartie"/>
        <w:numPr>
          <w:ilvl w:val="0"/>
          <w:numId w:val="0"/>
        </w:numPr>
        <w:rPr>
          <w:b w:val="0"/>
          <w:bCs w:val="0"/>
          <w:color w:val="000000" w:themeColor="text1"/>
          <w:sz w:val="20"/>
        </w:rPr>
      </w:pPr>
    </w:p>
    <w:p w14:paraId="33043BC2" w14:textId="6AB22A5E" w:rsidR="003813AB" w:rsidRPr="003813AB" w:rsidRDefault="003813AB" w:rsidP="003813AB">
      <w:pPr>
        <w:pStyle w:val="Titrepartie"/>
        <w:numPr>
          <w:ilvl w:val="0"/>
          <w:numId w:val="0"/>
        </w:numPr>
        <w:rPr>
          <w:b w:val="0"/>
          <w:bCs w:val="0"/>
          <w:color w:val="000000" w:themeColor="text1"/>
          <w:sz w:val="20"/>
          <w:lang/>
        </w:rPr>
      </w:pPr>
      <w:r w:rsidRPr="003813AB">
        <w:rPr>
          <w:b w:val="0"/>
          <w:bCs w:val="0"/>
          <w:color w:val="000000" w:themeColor="text1"/>
          <w:sz w:val="20"/>
        </w:rPr>
        <w:t xml:space="preserve">Dans certains cas, face à ces contraintes et aux délais induits, des agents préfèrent s’acquitter des taxes malgré leur éligibilité à l’exemption. Par ailleurs, </w:t>
      </w:r>
      <w:r>
        <w:rPr>
          <w:b w:val="0"/>
          <w:bCs w:val="0"/>
          <w:color w:val="000000" w:themeColor="text1"/>
          <w:sz w:val="20"/>
        </w:rPr>
        <w:t xml:space="preserve">vu que </w:t>
      </w:r>
      <w:r w:rsidRPr="003813AB">
        <w:rPr>
          <w:b w:val="0"/>
          <w:bCs w:val="0"/>
          <w:color w:val="000000" w:themeColor="text1"/>
          <w:sz w:val="20"/>
        </w:rPr>
        <w:t>la COI prend en charge les frais de transport des bagages des agents lors de leur rapatriement</w:t>
      </w:r>
      <w:r>
        <w:rPr>
          <w:b w:val="0"/>
          <w:bCs w:val="0"/>
          <w:color w:val="000000" w:themeColor="text1"/>
          <w:sz w:val="20"/>
        </w:rPr>
        <w:t xml:space="preserve"> et en</w:t>
      </w:r>
      <w:r w:rsidRPr="003813AB">
        <w:rPr>
          <w:b w:val="0"/>
          <w:bCs w:val="0"/>
          <w:color w:val="000000" w:themeColor="text1"/>
          <w:sz w:val="20"/>
        </w:rPr>
        <w:t xml:space="preserve"> l’absence d’un dispositif d’exemption mis en œuvre dans les délais requis, cela peut également engendrer des coûts supplémentaires pour la COI, notamment des frais de manutention et de stockage lorsque les effets ne sont pas retirés à temps dans les ports ou aéroports.</w:t>
      </w:r>
    </w:p>
    <w:p w14:paraId="2030641D" w14:textId="77777777" w:rsidR="003813AB" w:rsidRPr="000F16AF" w:rsidRDefault="003813AB" w:rsidP="003813AB">
      <w:pPr>
        <w:pStyle w:val="Titrepartie"/>
        <w:numPr>
          <w:ilvl w:val="0"/>
          <w:numId w:val="0"/>
        </w:numPr>
        <w:rPr>
          <w:b w:val="0"/>
          <w:bCs w:val="0"/>
        </w:rPr>
      </w:pPr>
    </w:p>
    <w:p w14:paraId="4C88E36D" w14:textId="77777777" w:rsidR="00B212D4" w:rsidRPr="000F16AF" w:rsidRDefault="00B212D4" w:rsidP="0040060D">
      <w:pPr>
        <w:pStyle w:val="Titrepartie"/>
        <w:numPr>
          <w:ilvl w:val="0"/>
          <w:numId w:val="0"/>
        </w:numPr>
        <w:rPr>
          <w:b w:val="0"/>
          <w:bCs w:val="0"/>
          <w:color w:val="000000" w:themeColor="text1"/>
          <w:sz w:val="20"/>
          <w:lang/>
        </w:rPr>
      </w:pPr>
      <w:r w:rsidRPr="000F16AF">
        <w:rPr>
          <w:b w:val="0"/>
          <w:bCs w:val="0"/>
          <w:color w:val="000000" w:themeColor="text1"/>
          <w:sz w:val="20"/>
          <w:lang/>
        </w:rPr>
        <w:t>Afin de remédier à ces difficultés, plusieurs pistes d’amélioration, à caractère essentiellement administratif et opérationnel, pourraient être envisagées en concertation avec les autorités nationales compétentes. Il s’agirait notamment de clarifier les pratiques applicables dans chaque État membre à travers des échanges techniques ou des arrangements administratifs, permettant de préciser les modalités, délais et conditions d’octroi des exonérations. La mise en place d’un certificat d’exemption standardisé délivré par la COI et présenté aux administrations douanières nationales permettrait également de simplifier les démarches et de limiter les demandes de justificatifs multiples.</w:t>
      </w:r>
    </w:p>
    <w:p w14:paraId="6EA6C126" w14:textId="77777777" w:rsidR="00B212D4" w:rsidRPr="000F16AF" w:rsidRDefault="00B212D4" w:rsidP="0040060D">
      <w:pPr>
        <w:pStyle w:val="Titrepartie"/>
        <w:numPr>
          <w:ilvl w:val="0"/>
          <w:numId w:val="0"/>
        </w:numPr>
        <w:rPr>
          <w:b w:val="0"/>
          <w:bCs w:val="0"/>
          <w:color w:val="000000" w:themeColor="text1"/>
          <w:sz w:val="20"/>
          <w:lang/>
        </w:rPr>
      </w:pPr>
    </w:p>
    <w:p w14:paraId="37D757F1" w14:textId="070BE6ED" w:rsidR="0040060D" w:rsidRDefault="0040060D" w:rsidP="000F16AF">
      <w:pPr>
        <w:pStyle w:val="Titrepartie"/>
        <w:numPr>
          <w:ilvl w:val="0"/>
          <w:numId w:val="0"/>
        </w:numPr>
        <w:rPr>
          <w:b w:val="0"/>
          <w:bCs w:val="0"/>
          <w:color w:val="000000" w:themeColor="text1"/>
          <w:sz w:val="20"/>
        </w:rPr>
      </w:pPr>
      <w:r w:rsidRPr="000F16AF">
        <w:rPr>
          <w:b w:val="0"/>
          <w:bCs w:val="0"/>
          <w:color w:val="000000" w:themeColor="text1"/>
          <w:sz w:val="20"/>
        </w:rPr>
        <w:t xml:space="preserve">Par ailleurs, la désignation de points focaux au sein des administrations douanières de chaque État membre, ainsi que l’instauration de procédures anticipées de traitement des demandes (pré-clearance) avant l’arrivée des effets personnels, contribueraient à fluidifier et accélérer les opérations de dédouanement. </w:t>
      </w:r>
    </w:p>
    <w:p w14:paraId="0EA17338" w14:textId="77777777" w:rsidR="000F16AF" w:rsidRPr="000F16AF" w:rsidRDefault="000F16AF" w:rsidP="000F16AF">
      <w:pPr>
        <w:pStyle w:val="Titrepartie"/>
        <w:numPr>
          <w:ilvl w:val="0"/>
          <w:numId w:val="0"/>
        </w:numPr>
        <w:rPr>
          <w:b w:val="0"/>
          <w:bCs w:val="0"/>
          <w:color w:val="000000" w:themeColor="text1"/>
          <w:sz w:val="20"/>
        </w:rPr>
      </w:pPr>
    </w:p>
    <w:p w14:paraId="228DED56" w14:textId="03903E71" w:rsidR="0040060D" w:rsidRDefault="000034F1" w:rsidP="003813AB">
      <w:pPr>
        <w:pStyle w:val="Titrepartie"/>
        <w:numPr>
          <w:ilvl w:val="0"/>
          <w:numId w:val="0"/>
        </w:numPr>
        <w:rPr>
          <w:b w:val="0"/>
          <w:bCs w:val="0"/>
          <w:color w:val="000000" w:themeColor="text1"/>
          <w:sz w:val="20"/>
          <w:lang/>
        </w:rPr>
      </w:pPr>
      <w:r w:rsidRPr="000034F1">
        <w:rPr>
          <w:b w:val="0"/>
          <w:bCs w:val="0"/>
          <w:color w:val="000000" w:themeColor="text1"/>
          <w:sz w:val="20"/>
          <w:lang/>
        </w:rPr>
        <w:t>Enfin, un dialogue renforcé avec les autorités nationales, ainsi que la mise en place, à titre transitoire, de dispositifs internes permettant de gérer les coûts imprévus liés aux retards, pourraient contribuer à réduire significativement les contraintes actuelles pour les agents et les impacts financiers pour la COI.</w:t>
      </w:r>
    </w:p>
    <w:p w14:paraId="62224EE9" w14:textId="77777777" w:rsidR="000034F1" w:rsidRPr="000F16AF" w:rsidRDefault="000034F1" w:rsidP="003813AB">
      <w:pPr>
        <w:pStyle w:val="Titrepartie"/>
        <w:numPr>
          <w:ilvl w:val="0"/>
          <w:numId w:val="0"/>
        </w:numPr>
      </w:pPr>
    </w:p>
    <w:p w14:paraId="2F7F5914" w14:textId="608AD6BB" w:rsidR="00955BB3" w:rsidRPr="0008468B" w:rsidRDefault="00955BB3" w:rsidP="00A70123">
      <w:pPr>
        <w:pStyle w:val="Titrepartie"/>
      </w:pPr>
      <w:r w:rsidRPr="0008468B">
        <w:t>Proposition de décision</w:t>
      </w:r>
    </w:p>
    <w:p w14:paraId="102DFEF6" w14:textId="783D69A0" w:rsidR="00143E20" w:rsidRDefault="0008468B" w:rsidP="00900335">
      <w:pPr>
        <w:pStyle w:val="Paragraphe"/>
      </w:pPr>
      <w:r w:rsidRPr="004F5C4B">
        <w:t>Le Comité des OPL</w:t>
      </w:r>
      <w:r w:rsidR="0004608F">
        <w:t> :</w:t>
      </w:r>
    </w:p>
    <w:p w14:paraId="1E7CDB86" w14:textId="2B6024DA" w:rsidR="003813AB" w:rsidRPr="003813AB" w:rsidRDefault="003813AB" w:rsidP="003813AB">
      <w:pPr>
        <w:pStyle w:val="Paragraphe"/>
        <w:numPr>
          <w:ilvl w:val="0"/>
          <w:numId w:val="28"/>
        </w:numPr>
        <w:rPr>
          <w:lang/>
        </w:rPr>
      </w:pPr>
      <w:r w:rsidRPr="003813AB">
        <w:rPr>
          <w:lang/>
        </w:rPr>
        <w:t>invite les États membres à mettre en place dans les meilleurs délais</w:t>
      </w:r>
      <w:r w:rsidR="0004608F">
        <w:t>,</w:t>
      </w:r>
      <w:r>
        <w:rPr>
          <w:lang/>
        </w:rPr>
        <w:t xml:space="preserve"> ou </w:t>
      </w:r>
      <w:r w:rsidR="0004608F">
        <w:t xml:space="preserve">à </w:t>
      </w:r>
      <w:r>
        <w:rPr>
          <w:lang/>
        </w:rPr>
        <w:t>communiq</w:t>
      </w:r>
      <w:proofErr w:type="spellStart"/>
      <w:r w:rsidR="0004608F">
        <w:t>uer</w:t>
      </w:r>
      <w:proofErr w:type="spellEnd"/>
      <w:r w:rsidR="0004608F">
        <w:t xml:space="preserve"> au Secrétariat général lorsqu’ils sont existants</w:t>
      </w:r>
      <w:r w:rsidRPr="003813AB">
        <w:rPr>
          <w:lang/>
        </w:rPr>
        <w:t xml:space="preserve">, des dispositifs nationaux formalisés d’exemption des droits et taxes à l’importation et de la TVA applicables aux acquisitions réalisées par la COI dans le cadre de ses projets et programmes </w:t>
      </w:r>
      <w:r>
        <w:rPr>
          <w:lang/>
        </w:rPr>
        <w:t xml:space="preserve">ainsi </w:t>
      </w:r>
      <w:r w:rsidRPr="003813AB">
        <w:rPr>
          <w:lang/>
        </w:rPr>
        <w:t>qu’aux effets personnels des agents en fin de contrat, conformément à l’article 4 du Protocole additionnel, chaque État pouvant définir des modalités spécifiques adaptées à sa législation nationale</w:t>
      </w:r>
      <w:r w:rsidR="0004608F">
        <w:rPr>
          <w:lang/>
        </w:rPr>
        <w:t> </w:t>
      </w:r>
      <w:r w:rsidR="0004608F">
        <w:t>;</w:t>
      </w:r>
      <w:r w:rsidRPr="003813AB">
        <w:rPr>
          <w:lang/>
        </w:rPr>
        <w:t xml:space="preserve"> </w:t>
      </w:r>
    </w:p>
    <w:p w14:paraId="495CA3D7" w14:textId="2754354A" w:rsidR="0008468B" w:rsidRPr="001B5D63" w:rsidRDefault="003813AB" w:rsidP="003813AB">
      <w:pPr>
        <w:pStyle w:val="Paragraphe"/>
        <w:numPr>
          <w:ilvl w:val="0"/>
          <w:numId w:val="28"/>
        </w:numPr>
      </w:pPr>
      <w:r w:rsidRPr="003813AB">
        <w:rPr>
          <w:lang/>
        </w:rPr>
        <w:t xml:space="preserve">demande au Secrétariat général d’appuyer les États membres dans </w:t>
      </w:r>
      <w:r w:rsidR="007F0023">
        <w:rPr>
          <w:lang/>
        </w:rPr>
        <w:t>l’amélioration des modalités de</w:t>
      </w:r>
      <w:r w:rsidRPr="003813AB">
        <w:rPr>
          <w:lang/>
        </w:rPr>
        <w:t xml:space="preserve"> mise en œuvre de ces dispositifs</w:t>
      </w:r>
      <w:r w:rsidR="00711013">
        <w:rPr>
          <w:lang/>
        </w:rPr>
        <w:t>,</w:t>
      </w:r>
      <w:r w:rsidRPr="003813AB">
        <w:rPr>
          <w:lang/>
        </w:rPr>
        <w:t xml:space="preserve"> notamment </w:t>
      </w:r>
      <w:r w:rsidR="00711013">
        <w:rPr>
          <w:lang/>
        </w:rPr>
        <w:t>en</w:t>
      </w:r>
      <w:r w:rsidRPr="003813AB">
        <w:rPr>
          <w:lang/>
        </w:rPr>
        <w:t xml:space="preserve"> facili</w:t>
      </w:r>
      <w:r w:rsidR="00711013">
        <w:rPr>
          <w:lang/>
        </w:rPr>
        <w:t>tant</w:t>
      </w:r>
      <w:r w:rsidRPr="003813AB">
        <w:rPr>
          <w:lang/>
        </w:rPr>
        <w:t xml:space="preserve"> </w:t>
      </w:r>
      <w:r w:rsidR="00711013">
        <w:rPr>
          <w:lang/>
        </w:rPr>
        <w:t>l</w:t>
      </w:r>
      <w:r w:rsidRPr="003813AB">
        <w:rPr>
          <w:lang/>
        </w:rPr>
        <w:t xml:space="preserve">es échanges techniques avec les autorités </w:t>
      </w:r>
      <w:r w:rsidR="00711013">
        <w:rPr>
          <w:lang/>
        </w:rPr>
        <w:t>nationales</w:t>
      </w:r>
      <w:r w:rsidR="00870266">
        <w:rPr>
          <w:lang/>
        </w:rPr>
        <w:t xml:space="preserve"> </w:t>
      </w:r>
      <w:r w:rsidRPr="003813AB">
        <w:rPr>
          <w:lang/>
        </w:rPr>
        <w:t>compétentes</w:t>
      </w:r>
      <w:r w:rsidR="00870266">
        <w:rPr>
          <w:lang/>
        </w:rPr>
        <w:t xml:space="preserve"> </w:t>
      </w:r>
      <w:r w:rsidR="00870266" w:rsidRPr="00870266">
        <w:rPr>
          <w:lang/>
        </w:rPr>
        <w:t>en encourageant la clarification des pratiques et l’identification de points de contact dédiés, ainsi qu’en</w:t>
      </w:r>
      <w:r w:rsidRPr="003813AB">
        <w:rPr>
          <w:lang/>
        </w:rPr>
        <w:t xml:space="preserve"> explora</w:t>
      </w:r>
      <w:r w:rsidR="00870266">
        <w:rPr>
          <w:lang/>
        </w:rPr>
        <w:t>nt</w:t>
      </w:r>
      <w:r w:rsidRPr="003813AB">
        <w:rPr>
          <w:lang/>
        </w:rPr>
        <w:t xml:space="preserve"> de mécanismes d’appui</w:t>
      </w:r>
      <w:r w:rsidR="00870266">
        <w:rPr>
          <w:lang/>
        </w:rPr>
        <w:t xml:space="preserve"> appropriés,</w:t>
      </w:r>
      <w:r w:rsidRPr="003813AB">
        <w:rPr>
          <w:lang/>
        </w:rPr>
        <w:t xml:space="preserve"> y compris à travers la Subvention Horizon 2030 en vue de sécuriser et fluidifier les procédures d’exemption et de dédouanement.</w:t>
      </w:r>
    </w:p>
    <w:bookmarkEnd w:id="0"/>
    <w:p w14:paraId="7DDBFDBC" w14:textId="77777777" w:rsidR="0060119B" w:rsidRPr="00620B90" w:rsidRDefault="0060119B" w:rsidP="0060119B">
      <w:pPr>
        <w:pStyle w:val="Paragraphe"/>
      </w:pPr>
    </w:p>
    <w:sectPr w:rsidR="0060119B" w:rsidRPr="00620B90" w:rsidSect="00A55CDB">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B9EA" w14:textId="77777777" w:rsidR="009B408B" w:rsidRDefault="009B408B">
      <w:r>
        <w:separator/>
      </w:r>
    </w:p>
  </w:endnote>
  <w:endnote w:type="continuationSeparator" w:id="0">
    <w:p w14:paraId="36E39A99" w14:textId="77777777" w:rsidR="009B408B" w:rsidRDefault="009B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8AE1" w14:textId="77777777" w:rsidR="009B408B" w:rsidRDefault="009B408B">
      <w:r>
        <w:separator/>
      </w:r>
    </w:p>
  </w:footnote>
  <w:footnote w:type="continuationSeparator" w:id="0">
    <w:p w14:paraId="73A548C3" w14:textId="77777777" w:rsidR="009B408B" w:rsidRDefault="009B4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2415C7CA"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D17991">
      <w:rPr>
        <w:rFonts w:ascii="Verdana" w:hAnsi="Verdana"/>
        <w:b/>
        <w:bCs/>
        <w:sz w:val="20"/>
        <w:szCs w:val="20"/>
      </w:rPr>
      <w:t>xxx</w:t>
    </w:r>
    <w:r w:rsidR="003B69CC">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59D"/>
    <w:multiLevelType w:val="hybridMultilevel"/>
    <w:tmpl w:val="10E2F1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3" w15:restartNumberingAfterBreak="0">
    <w:nsid w:val="100C5B5F"/>
    <w:multiLevelType w:val="hybridMultilevel"/>
    <w:tmpl w:val="CFCA3292"/>
    <w:lvl w:ilvl="0" w:tplc="9C6AF7A4">
      <w:start w:val="3"/>
      <w:numFmt w:val="lowerLetter"/>
      <w:lvlText w:val="%1)"/>
      <w:lvlJc w:val="left"/>
      <w:pPr>
        <w:ind w:left="724"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8064EB"/>
    <w:multiLevelType w:val="hybridMultilevel"/>
    <w:tmpl w:val="E1B0CE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421DC6"/>
    <w:multiLevelType w:val="hybridMultilevel"/>
    <w:tmpl w:val="130E7E50"/>
    <w:lvl w:ilvl="0" w:tplc="18AA8530">
      <w:start w:val="9"/>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673290"/>
    <w:multiLevelType w:val="hybridMultilevel"/>
    <w:tmpl w:val="3A8EDC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3666F18"/>
    <w:multiLevelType w:val="hybridMultilevel"/>
    <w:tmpl w:val="14BA9198"/>
    <w:lvl w:ilvl="0" w:tplc="1F9ACEC6">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AE38B0"/>
    <w:multiLevelType w:val="multilevel"/>
    <w:tmpl w:val="D6D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509108038">
    <w:abstractNumId w:val="8"/>
  </w:num>
  <w:num w:numId="2" w16cid:durableId="1406032769">
    <w:abstractNumId w:val="13"/>
  </w:num>
  <w:num w:numId="3" w16cid:durableId="1312053893">
    <w:abstractNumId w:val="5"/>
  </w:num>
  <w:num w:numId="4" w16cid:durableId="1609120088">
    <w:abstractNumId w:val="1"/>
  </w:num>
  <w:num w:numId="5" w16cid:durableId="702173762">
    <w:abstractNumId w:val="12"/>
  </w:num>
  <w:num w:numId="6" w16cid:durableId="855727411">
    <w:abstractNumId w:val="7"/>
  </w:num>
  <w:num w:numId="7" w16cid:durableId="549193256">
    <w:abstractNumId w:val="9"/>
  </w:num>
  <w:num w:numId="8" w16cid:durableId="5788179">
    <w:abstractNumId w:val="5"/>
    <w:lvlOverride w:ilvl="0">
      <w:startOverride w:val="1"/>
    </w:lvlOverride>
  </w:num>
  <w:num w:numId="9" w16cid:durableId="824856041">
    <w:abstractNumId w:val="4"/>
  </w:num>
  <w:num w:numId="10" w16cid:durableId="494151636">
    <w:abstractNumId w:val="10"/>
  </w:num>
  <w:num w:numId="11" w16cid:durableId="112603849">
    <w:abstractNumId w:val="18"/>
  </w:num>
  <w:num w:numId="12" w16cid:durableId="1402484736">
    <w:abstractNumId w:val="2"/>
  </w:num>
  <w:num w:numId="13" w16cid:durableId="2005476647">
    <w:abstractNumId w:val="6"/>
  </w:num>
  <w:num w:numId="14" w16cid:durableId="85200993">
    <w:abstractNumId w:val="5"/>
  </w:num>
  <w:num w:numId="15" w16cid:durableId="22631082">
    <w:abstractNumId w:val="5"/>
  </w:num>
  <w:num w:numId="16" w16cid:durableId="1780181711">
    <w:abstractNumId w:val="5"/>
  </w:num>
  <w:num w:numId="17" w16cid:durableId="1378774018">
    <w:abstractNumId w:val="5"/>
  </w:num>
  <w:num w:numId="18" w16cid:durableId="1897469190">
    <w:abstractNumId w:val="5"/>
  </w:num>
  <w:num w:numId="19" w16cid:durableId="1671445324">
    <w:abstractNumId w:val="5"/>
  </w:num>
  <w:num w:numId="20" w16cid:durableId="1268392566">
    <w:abstractNumId w:val="5"/>
  </w:num>
  <w:num w:numId="21" w16cid:durableId="1173446291">
    <w:abstractNumId w:val="5"/>
  </w:num>
  <w:num w:numId="22" w16cid:durableId="157353528">
    <w:abstractNumId w:val="3"/>
  </w:num>
  <w:num w:numId="23" w16cid:durableId="989601507">
    <w:abstractNumId w:val="15"/>
  </w:num>
  <w:num w:numId="24" w16cid:durableId="1763451849">
    <w:abstractNumId w:val="0"/>
  </w:num>
  <w:num w:numId="25" w16cid:durableId="2141678722">
    <w:abstractNumId w:val="16"/>
  </w:num>
  <w:num w:numId="26" w16cid:durableId="181940651">
    <w:abstractNumId w:val="17"/>
  </w:num>
  <w:num w:numId="27" w16cid:durableId="9456167">
    <w:abstractNumId w:val="14"/>
  </w:num>
  <w:num w:numId="28" w16cid:durableId="312101298">
    <w:abstractNumId w:val="11"/>
  </w:num>
  <w:num w:numId="29" w16cid:durableId="1861896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4F1"/>
    <w:rsid w:val="000373B2"/>
    <w:rsid w:val="00042CF5"/>
    <w:rsid w:val="00043D3B"/>
    <w:rsid w:val="0004608F"/>
    <w:rsid w:val="00060CA0"/>
    <w:rsid w:val="00063A26"/>
    <w:rsid w:val="000651CE"/>
    <w:rsid w:val="0007086B"/>
    <w:rsid w:val="0008468B"/>
    <w:rsid w:val="000914A7"/>
    <w:rsid w:val="000A468A"/>
    <w:rsid w:val="000B0FBD"/>
    <w:rsid w:val="000D6ED8"/>
    <w:rsid w:val="000F16AF"/>
    <w:rsid w:val="000F4728"/>
    <w:rsid w:val="00107D9D"/>
    <w:rsid w:val="00134639"/>
    <w:rsid w:val="00143E20"/>
    <w:rsid w:val="0018252D"/>
    <w:rsid w:val="001A56F1"/>
    <w:rsid w:val="001B4738"/>
    <w:rsid w:val="001B5D63"/>
    <w:rsid w:val="001D14CB"/>
    <w:rsid w:val="001E36BD"/>
    <w:rsid w:val="001F5AC6"/>
    <w:rsid w:val="0021326F"/>
    <w:rsid w:val="00243158"/>
    <w:rsid w:val="002710DF"/>
    <w:rsid w:val="002A06F5"/>
    <w:rsid w:val="002A0933"/>
    <w:rsid w:val="002A096E"/>
    <w:rsid w:val="002C56ED"/>
    <w:rsid w:val="002E2E6C"/>
    <w:rsid w:val="002E71FD"/>
    <w:rsid w:val="003604B9"/>
    <w:rsid w:val="003772FB"/>
    <w:rsid w:val="003813AB"/>
    <w:rsid w:val="00391152"/>
    <w:rsid w:val="00393620"/>
    <w:rsid w:val="003B69CC"/>
    <w:rsid w:val="003C2538"/>
    <w:rsid w:val="003D485F"/>
    <w:rsid w:val="003D5328"/>
    <w:rsid w:val="0040060D"/>
    <w:rsid w:val="0041278C"/>
    <w:rsid w:val="00417683"/>
    <w:rsid w:val="00426673"/>
    <w:rsid w:val="004544F5"/>
    <w:rsid w:val="004607F7"/>
    <w:rsid w:val="004C3445"/>
    <w:rsid w:val="004D58DF"/>
    <w:rsid w:val="004F5C4B"/>
    <w:rsid w:val="00503451"/>
    <w:rsid w:val="00522C74"/>
    <w:rsid w:val="00523988"/>
    <w:rsid w:val="0053773D"/>
    <w:rsid w:val="00540414"/>
    <w:rsid w:val="00547AE2"/>
    <w:rsid w:val="00584059"/>
    <w:rsid w:val="005C438F"/>
    <w:rsid w:val="005E20B1"/>
    <w:rsid w:val="0060119B"/>
    <w:rsid w:val="00620B90"/>
    <w:rsid w:val="006240A7"/>
    <w:rsid w:val="006356AF"/>
    <w:rsid w:val="006548BF"/>
    <w:rsid w:val="00660504"/>
    <w:rsid w:val="006C6513"/>
    <w:rsid w:val="006E2D9E"/>
    <w:rsid w:val="006F2073"/>
    <w:rsid w:val="00711013"/>
    <w:rsid w:val="0071792B"/>
    <w:rsid w:val="0072778A"/>
    <w:rsid w:val="007771AC"/>
    <w:rsid w:val="0078104E"/>
    <w:rsid w:val="007B20EC"/>
    <w:rsid w:val="007B245C"/>
    <w:rsid w:val="007C78FC"/>
    <w:rsid w:val="007F0023"/>
    <w:rsid w:val="007F38C5"/>
    <w:rsid w:val="007F3CE3"/>
    <w:rsid w:val="00816DAC"/>
    <w:rsid w:val="00830A69"/>
    <w:rsid w:val="0083290E"/>
    <w:rsid w:val="00843FF2"/>
    <w:rsid w:val="008453AB"/>
    <w:rsid w:val="00854EEA"/>
    <w:rsid w:val="008551DA"/>
    <w:rsid w:val="00863605"/>
    <w:rsid w:val="00870266"/>
    <w:rsid w:val="008C3DE0"/>
    <w:rsid w:val="008D193F"/>
    <w:rsid w:val="008F173C"/>
    <w:rsid w:val="00900335"/>
    <w:rsid w:val="0094702F"/>
    <w:rsid w:val="00953641"/>
    <w:rsid w:val="00955BB3"/>
    <w:rsid w:val="00970EAE"/>
    <w:rsid w:val="009A38AD"/>
    <w:rsid w:val="009B408B"/>
    <w:rsid w:val="00A148A1"/>
    <w:rsid w:val="00A36C09"/>
    <w:rsid w:val="00A37C9F"/>
    <w:rsid w:val="00A55CDB"/>
    <w:rsid w:val="00A70123"/>
    <w:rsid w:val="00A76B07"/>
    <w:rsid w:val="00A81B98"/>
    <w:rsid w:val="00A90305"/>
    <w:rsid w:val="00AA63A3"/>
    <w:rsid w:val="00AB5EB7"/>
    <w:rsid w:val="00AD4D97"/>
    <w:rsid w:val="00AE2453"/>
    <w:rsid w:val="00B04FA8"/>
    <w:rsid w:val="00B05DFC"/>
    <w:rsid w:val="00B0749D"/>
    <w:rsid w:val="00B212D4"/>
    <w:rsid w:val="00B30539"/>
    <w:rsid w:val="00B36EEA"/>
    <w:rsid w:val="00BA4B55"/>
    <w:rsid w:val="00BB3B95"/>
    <w:rsid w:val="00BC35F8"/>
    <w:rsid w:val="00C12C93"/>
    <w:rsid w:val="00C30700"/>
    <w:rsid w:val="00C325F5"/>
    <w:rsid w:val="00C457E8"/>
    <w:rsid w:val="00C609B9"/>
    <w:rsid w:val="00CA4892"/>
    <w:rsid w:val="00CD0E8D"/>
    <w:rsid w:val="00CE2386"/>
    <w:rsid w:val="00D03521"/>
    <w:rsid w:val="00D17991"/>
    <w:rsid w:val="00D35B23"/>
    <w:rsid w:val="00E32408"/>
    <w:rsid w:val="00E37FDA"/>
    <w:rsid w:val="00E845D4"/>
    <w:rsid w:val="00EC22CC"/>
    <w:rsid w:val="00ED6B69"/>
    <w:rsid w:val="00ED7E46"/>
    <w:rsid w:val="00EE34F4"/>
    <w:rsid w:val="00EF22A4"/>
    <w:rsid w:val="00F10B5A"/>
    <w:rsid w:val="00F16C79"/>
    <w:rsid w:val="00F54EA0"/>
    <w:rsid w:val="00F87B7E"/>
    <w:rsid w:val="00F96EE9"/>
    <w:rsid w:val="00FE285D"/>
    <w:rsid w:val="00FF3557"/>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A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spacing w:after="160" w:line="259" w:lineRule="auto"/>
      <w:ind w:left="720"/>
      <w:contextualSpacing/>
    </w:pPr>
    <w:rPr>
      <w:rFonts w:asciiTheme="minorHAnsi" w:eastAsiaTheme="minorHAnsi" w:hAnsiTheme="minorHAnsi" w:cstheme="minorBidi"/>
      <w:sz w:val="22"/>
      <w:szCs w:val="22"/>
      <w:lang w:val="fr-FR" w:eastAsia="en-US"/>
    </w:r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after="160"/>
    </w:pPr>
    <w:rPr>
      <w:rFonts w:asciiTheme="minorHAnsi" w:eastAsiaTheme="minorHAnsi" w:hAnsiTheme="minorHAnsi" w:cstheme="minorBidi"/>
      <w:sz w:val="20"/>
      <w:szCs w:val="20"/>
      <w:lang w:val="fr-FR" w:eastAsia="en-US"/>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spacing w:after="160" w:line="259" w:lineRule="auto"/>
      <w:jc w:val="both"/>
    </w:pPr>
    <w:rPr>
      <w:rFonts w:ascii="Verdana" w:eastAsiaTheme="minorHAnsi" w:hAnsi="Verdana" w:cs="Calibri"/>
      <w:sz w:val="20"/>
      <w:szCs w:val="20"/>
      <w:lang w:val="fr-FR" w:eastAsia="en-US"/>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jc w:val="both"/>
    </w:pPr>
    <w:rPr>
      <w:rFonts w:ascii="Verdana" w:hAnsi="Verdana"/>
      <w:b/>
      <w:bCs/>
      <w:i/>
      <w:sz w:val="20"/>
      <w:szCs w:val="20"/>
      <w:lang w:val="fr-FR" w:eastAsia="en-US"/>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40060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950169132">
      <w:bodyDiv w:val="1"/>
      <w:marLeft w:val="0"/>
      <w:marRight w:val="0"/>
      <w:marTop w:val="0"/>
      <w:marBottom w:val="0"/>
      <w:divBdr>
        <w:top w:val="none" w:sz="0" w:space="0" w:color="auto"/>
        <w:left w:val="none" w:sz="0" w:space="0" w:color="auto"/>
        <w:bottom w:val="none" w:sz="0" w:space="0" w:color="auto"/>
        <w:right w:val="none" w:sz="0" w:space="0" w:color="auto"/>
      </w:divBdr>
      <w:divsChild>
        <w:div w:id="2783455">
          <w:marLeft w:val="0"/>
          <w:marRight w:val="0"/>
          <w:marTop w:val="0"/>
          <w:marBottom w:val="0"/>
          <w:divBdr>
            <w:top w:val="none" w:sz="0" w:space="0" w:color="auto"/>
            <w:left w:val="none" w:sz="0" w:space="0" w:color="auto"/>
            <w:bottom w:val="none" w:sz="0" w:space="0" w:color="auto"/>
            <w:right w:val="none" w:sz="0" w:space="0" w:color="auto"/>
          </w:divBdr>
          <w:divsChild>
            <w:div w:id="1838495094">
              <w:marLeft w:val="0"/>
              <w:marRight w:val="0"/>
              <w:marTop w:val="0"/>
              <w:marBottom w:val="0"/>
              <w:divBdr>
                <w:top w:val="none" w:sz="0" w:space="0" w:color="auto"/>
                <w:left w:val="none" w:sz="0" w:space="0" w:color="auto"/>
                <w:bottom w:val="none" w:sz="0" w:space="0" w:color="auto"/>
                <w:right w:val="none" w:sz="0" w:space="0" w:color="auto"/>
              </w:divBdr>
              <w:divsChild>
                <w:div w:id="19965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0165">
      <w:bodyDiv w:val="1"/>
      <w:marLeft w:val="0"/>
      <w:marRight w:val="0"/>
      <w:marTop w:val="0"/>
      <w:marBottom w:val="0"/>
      <w:divBdr>
        <w:top w:val="none" w:sz="0" w:space="0" w:color="auto"/>
        <w:left w:val="none" w:sz="0" w:space="0" w:color="auto"/>
        <w:bottom w:val="none" w:sz="0" w:space="0" w:color="auto"/>
        <w:right w:val="none" w:sz="0" w:space="0" w:color="auto"/>
      </w:divBdr>
      <w:divsChild>
        <w:div w:id="855847327">
          <w:marLeft w:val="0"/>
          <w:marRight w:val="0"/>
          <w:marTop w:val="0"/>
          <w:marBottom w:val="0"/>
          <w:divBdr>
            <w:top w:val="none" w:sz="0" w:space="0" w:color="auto"/>
            <w:left w:val="none" w:sz="0" w:space="0" w:color="auto"/>
            <w:bottom w:val="none" w:sz="0" w:space="0" w:color="auto"/>
            <w:right w:val="none" w:sz="0" w:space="0" w:color="auto"/>
          </w:divBdr>
          <w:divsChild>
            <w:div w:id="690301813">
              <w:marLeft w:val="0"/>
              <w:marRight w:val="0"/>
              <w:marTop w:val="0"/>
              <w:marBottom w:val="0"/>
              <w:divBdr>
                <w:top w:val="none" w:sz="0" w:space="0" w:color="auto"/>
                <w:left w:val="none" w:sz="0" w:space="0" w:color="auto"/>
                <w:bottom w:val="none" w:sz="0" w:space="0" w:color="auto"/>
                <w:right w:val="none" w:sz="0" w:space="0" w:color="auto"/>
              </w:divBdr>
              <w:divsChild>
                <w:div w:id="3277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5594">
      <w:bodyDiv w:val="1"/>
      <w:marLeft w:val="0"/>
      <w:marRight w:val="0"/>
      <w:marTop w:val="0"/>
      <w:marBottom w:val="0"/>
      <w:divBdr>
        <w:top w:val="none" w:sz="0" w:space="0" w:color="auto"/>
        <w:left w:val="none" w:sz="0" w:space="0" w:color="auto"/>
        <w:bottom w:val="none" w:sz="0" w:space="0" w:color="auto"/>
        <w:right w:val="none" w:sz="0" w:space="0" w:color="auto"/>
      </w:divBdr>
      <w:divsChild>
        <w:div w:id="140271075">
          <w:marLeft w:val="0"/>
          <w:marRight w:val="0"/>
          <w:marTop w:val="0"/>
          <w:marBottom w:val="0"/>
          <w:divBdr>
            <w:top w:val="none" w:sz="0" w:space="0" w:color="auto"/>
            <w:left w:val="none" w:sz="0" w:space="0" w:color="auto"/>
            <w:bottom w:val="none" w:sz="0" w:space="0" w:color="auto"/>
            <w:right w:val="none" w:sz="0" w:space="0" w:color="auto"/>
          </w:divBdr>
          <w:divsChild>
            <w:div w:id="154732448">
              <w:marLeft w:val="0"/>
              <w:marRight w:val="0"/>
              <w:marTop w:val="0"/>
              <w:marBottom w:val="0"/>
              <w:divBdr>
                <w:top w:val="none" w:sz="0" w:space="0" w:color="auto"/>
                <w:left w:val="none" w:sz="0" w:space="0" w:color="auto"/>
                <w:bottom w:val="none" w:sz="0" w:space="0" w:color="auto"/>
                <w:right w:val="none" w:sz="0" w:space="0" w:color="auto"/>
              </w:divBdr>
              <w:divsChild>
                <w:div w:id="7426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8145</Characters>
  <Application>Microsoft Office Word</Application>
  <DocSecurity>0</DocSecurity>
  <Lines>148</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2026-05-05T09:54:00Z</dcterms:created>
  <dcterms:modified xsi:type="dcterms:W3CDTF">2026-05-05T09:54:00Z</dcterms:modified>
</cp:coreProperties>
</file>