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6B72" w14:textId="77777777" w:rsidR="0096704B" w:rsidRPr="00816DAC" w:rsidRDefault="0096704B" w:rsidP="0096704B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412"/>
      </w:tblGrid>
      <w:tr w:rsidR="0096704B" w14:paraId="00DDCAFB" w14:textId="77777777" w:rsidTr="0016249E">
        <w:tc>
          <w:tcPr>
            <w:tcW w:w="9062" w:type="dxa"/>
            <w:gridSpan w:val="2"/>
          </w:tcPr>
          <w:p w14:paraId="1136DD8B" w14:textId="7EC5724F" w:rsidR="0096704B" w:rsidRDefault="00E42129" w:rsidP="00E850A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129">
              <w:rPr>
                <w:rFonts w:ascii="Verdana" w:hAnsi="Verdana"/>
                <w:b/>
                <w:bCs/>
              </w:rPr>
              <w:t xml:space="preserve">Stratégie de mobilisation des ressources </w:t>
            </w:r>
          </w:p>
        </w:tc>
      </w:tr>
      <w:tr w:rsidR="0096704B" w14:paraId="0726D3B6" w14:textId="77777777" w:rsidTr="0016249E">
        <w:tc>
          <w:tcPr>
            <w:tcW w:w="7650" w:type="dxa"/>
          </w:tcPr>
          <w:p w14:paraId="57C0BC79" w14:textId="09E7B9C1" w:rsidR="0096704B" w:rsidRPr="002A096E" w:rsidRDefault="0034271D" w:rsidP="00E850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  <w:r w:rsidRPr="0016249E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de la COI | 06 juin 2026, Union des Comores</w:t>
            </w:r>
            <w:r w:rsidR="0096704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180B5E21" w14:textId="19CDD963" w:rsidR="0096704B" w:rsidRPr="002A0933" w:rsidRDefault="0096704B" w:rsidP="00E850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78261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04B" w14:paraId="7AC3A34D" w14:textId="77777777" w:rsidTr="0016249E">
        <w:tc>
          <w:tcPr>
            <w:tcW w:w="7650" w:type="dxa"/>
          </w:tcPr>
          <w:p w14:paraId="779497AC" w14:textId="44D16787" w:rsidR="0096704B" w:rsidRPr="00A37C9F" w:rsidRDefault="0096704B" w:rsidP="00E850AF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</w:t>
            </w:r>
            <w:r w:rsidRPr="008D1089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  <w:r w:rsidRPr="008D1089">
              <w:rPr>
                <w:rFonts w:ascii="Verdana" w:hAnsi="Verdana"/>
                <w:sz w:val="20"/>
                <w:szCs w:val="20"/>
              </w:rPr>
              <w:t xml:space="preserve"> Gina, Bonne, </w:t>
            </w:r>
            <w:r w:rsidR="007060E9">
              <w:rPr>
                <w:rFonts w:ascii="Verdana" w:hAnsi="Verdana"/>
                <w:sz w:val="20"/>
                <w:szCs w:val="20"/>
              </w:rPr>
              <w:t>d</w:t>
            </w:r>
            <w:r w:rsidR="007060E9" w:rsidRPr="008D1089">
              <w:rPr>
                <w:rFonts w:ascii="Verdana" w:hAnsi="Verdana"/>
                <w:sz w:val="20"/>
                <w:szCs w:val="20"/>
              </w:rPr>
              <w:t>irectrice</w:t>
            </w:r>
            <w:r w:rsidR="007060E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060E9">
              <w:rPr>
                <w:rFonts w:ascii="Verdana" w:hAnsi="Verdana"/>
                <w:sz w:val="20"/>
                <w:szCs w:val="20"/>
              </w:rPr>
              <w:t>p.i</w:t>
            </w:r>
            <w:proofErr w:type="spellEnd"/>
            <w:r w:rsidR="007060E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14:paraId="1A8BA848" w14:textId="307D7698" w:rsidR="0096704B" w:rsidRPr="002A0933" w:rsidRDefault="0034271D" w:rsidP="00E850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96704B" w14:paraId="05CADFED" w14:textId="77777777" w:rsidTr="0016249E">
        <w:tc>
          <w:tcPr>
            <w:tcW w:w="9062" w:type="dxa"/>
            <w:gridSpan w:val="2"/>
          </w:tcPr>
          <w:p w14:paraId="3E5CB650" w14:textId="245EE3BB" w:rsidR="0096704B" w:rsidRDefault="0096704B" w:rsidP="00E850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</w:t>
            </w:r>
            <w:r w:rsidR="0034271D">
              <w:rPr>
                <w:rFonts w:ascii="Verdana" w:hAnsi="Verdana"/>
                <w:i/>
                <w:iCs/>
                <w:sz w:val="20"/>
                <w:szCs w:val="20"/>
              </w:rPr>
              <w:t xml:space="preserve">du </w:t>
            </w:r>
            <w:r w:rsidR="003D5515">
              <w:rPr>
                <w:rFonts w:ascii="Verdana" w:hAnsi="Verdana"/>
                <w:i/>
                <w:iCs/>
                <w:sz w:val="20"/>
                <w:szCs w:val="20"/>
              </w:rPr>
              <w:t>16</w:t>
            </w:r>
            <w:r w:rsidR="0034271D">
              <w:rPr>
                <w:rFonts w:ascii="Verdana" w:hAnsi="Verdana"/>
                <w:i/>
                <w:iCs/>
                <w:sz w:val="20"/>
                <w:szCs w:val="20"/>
              </w:rPr>
              <w:t>/05/</w:t>
            </w:r>
            <w:r w:rsidR="00C70DAF">
              <w:rPr>
                <w:rFonts w:ascii="Verdana" w:hAnsi="Verdana"/>
                <w:i/>
                <w:iCs/>
                <w:sz w:val="20"/>
                <w:szCs w:val="20"/>
              </w:rPr>
              <w:t>2026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52FD37CD" w14:textId="77777777" w:rsidR="0096704B" w:rsidRPr="0016249E" w:rsidRDefault="0096704B" w:rsidP="0016249E">
      <w:pPr>
        <w:pStyle w:val="Paragraphe"/>
        <w:spacing w:after="120" w:line="276" w:lineRule="auto"/>
        <w:rPr>
          <w:sz w:val="6"/>
          <w:szCs w:val="6"/>
        </w:rPr>
      </w:pPr>
      <w:bookmarkStart w:id="0" w:name="_Hlk24535240"/>
    </w:p>
    <w:p w14:paraId="57528FDC" w14:textId="77777777" w:rsidR="0096704B" w:rsidRPr="0008468B" w:rsidRDefault="0096704B" w:rsidP="003D5515">
      <w:pPr>
        <w:pStyle w:val="Titrepartie"/>
        <w:spacing w:after="80" w:line="276" w:lineRule="auto"/>
        <w:contextualSpacing w:val="0"/>
      </w:pPr>
      <w:r w:rsidRPr="0008468B">
        <w:t>Résumé</w:t>
      </w:r>
    </w:p>
    <w:p w14:paraId="077765CD" w14:textId="0E009397" w:rsidR="002D6895" w:rsidRDefault="00D5541A" w:rsidP="003D5515">
      <w:pPr>
        <w:pStyle w:val="Paragraphe"/>
        <w:spacing w:after="80" w:line="276" w:lineRule="auto"/>
      </w:pPr>
      <w:r w:rsidRPr="00D5541A">
        <w:t xml:space="preserve">Le paysage international des ressources financières évolue rapidement. Cela s'accompagne de changements importants, tant en ce qui concerne le volume des ressources financières que les modalités d'accès à ces ressources. </w:t>
      </w:r>
      <w:r w:rsidR="001F48D5">
        <w:t>La COI est accrédité</w:t>
      </w:r>
      <w:r w:rsidR="002D6895">
        <w:t>e</w:t>
      </w:r>
      <w:r w:rsidR="001F48D5">
        <w:t xml:space="preserve"> auprès d</w:t>
      </w:r>
      <w:r w:rsidR="00F53C60">
        <w:t>’</w:t>
      </w:r>
      <w:r w:rsidR="00D13066">
        <w:t xml:space="preserve">un </w:t>
      </w:r>
      <w:r w:rsidR="001F48D5">
        <w:t xml:space="preserve">fonds climat, le fonds vert pour le climat </w:t>
      </w:r>
      <w:r w:rsidR="00D13066">
        <w:t>et peut accéder le fond pertes et dommages grâce à son accréditation auprès du FVC</w:t>
      </w:r>
      <w:r w:rsidR="00F53C60">
        <w:t>.</w:t>
      </w:r>
      <w:r w:rsidR="00D13066">
        <w:t xml:space="preserve"> Ces</w:t>
      </w:r>
      <w:r w:rsidR="00F53C60">
        <w:t xml:space="preserve"> accréditations</w:t>
      </w:r>
      <w:r w:rsidR="002D6895">
        <w:t xml:space="preserve"> constituent des leviers de financement pour lesquels le Secrétariat général doit redoubler d’efforts pour y accéder</w:t>
      </w:r>
      <w:r w:rsidR="001F48D5">
        <w:t>.</w:t>
      </w:r>
    </w:p>
    <w:p w14:paraId="5950230A" w14:textId="005EA4F2" w:rsidR="001A1A14" w:rsidRDefault="002D6895" w:rsidP="003D5515">
      <w:pPr>
        <w:pStyle w:val="Paragraphe"/>
        <w:spacing w:after="80" w:line="276" w:lineRule="auto"/>
      </w:pPr>
      <w:r>
        <w:t>Il est proposé que la COI se dote d’un</w:t>
      </w:r>
      <w:r w:rsidR="00D5541A">
        <w:t xml:space="preserve"> cadre stratégique pour la mobilisation de ressources et pour améliorer son modèle économique. De ce fait, </w:t>
      </w:r>
      <w:r w:rsidR="001F48D5">
        <w:t>deux actions</w:t>
      </w:r>
      <w:r w:rsidR="005844A3">
        <w:t xml:space="preserve"> structurantes </w:t>
      </w:r>
      <w:r w:rsidR="00D5541A">
        <w:t xml:space="preserve">sont en cours de </w:t>
      </w:r>
      <w:r w:rsidR="001F48D5">
        <w:t>formulation :</w:t>
      </w:r>
      <w:r w:rsidR="005844A3">
        <w:t xml:space="preserve"> (1) l'élaboration d'une stratégie de mobilisation des ressources innovante</w:t>
      </w:r>
      <w:r>
        <w:t xml:space="preserve">s, </w:t>
      </w:r>
      <w:r w:rsidR="005844A3">
        <w:t>alignée sur le Plan de Développement Stratégique (PDS), et (2) l'organisation d'une réunion de haut niveau avec les partenaires techniques et financiers (PTF) d'ici la fin 2026</w:t>
      </w:r>
      <w:r w:rsidR="001F48D5">
        <w:t>, début de 2027</w:t>
      </w:r>
      <w:r w:rsidR="005844A3">
        <w:t>.</w:t>
      </w:r>
      <w:r w:rsidR="00616A9E">
        <w:t xml:space="preserve"> </w:t>
      </w:r>
    </w:p>
    <w:p w14:paraId="28286C14" w14:textId="08876A7C" w:rsidR="001A1A14" w:rsidRPr="001A1A14" w:rsidRDefault="001A1A14" w:rsidP="003D5515">
      <w:pPr>
        <w:pStyle w:val="Paragraphe"/>
        <w:spacing w:after="80" w:line="276" w:lineRule="auto"/>
      </w:pPr>
      <w:r w:rsidRPr="001A1A14">
        <w:t>En parallèle, un exercice</w:t>
      </w:r>
      <w:r>
        <w:t xml:space="preserve"> </w:t>
      </w:r>
      <w:r w:rsidRPr="001A1A14">
        <w:t xml:space="preserve">de cartographie des partenaires </w:t>
      </w:r>
      <w:r>
        <w:t xml:space="preserve">est en cours. Cet exercice permettra </w:t>
      </w:r>
      <w:r w:rsidR="002D6895">
        <w:t>de</w:t>
      </w:r>
      <w:r>
        <w:t xml:space="preserve"> consolider une base de donn</w:t>
      </w:r>
      <w:r w:rsidR="002D6895">
        <w:t>é</w:t>
      </w:r>
      <w:r>
        <w:t xml:space="preserve">es des sources de financement et les mécanismes d’accès. </w:t>
      </w:r>
    </w:p>
    <w:p w14:paraId="20EA9662" w14:textId="561AA67B" w:rsidR="005844A3" w:rsidRDefault="005844A3" w:rsidP="003D5515">
      <w:pPr>
        <w:pStyle w:val="Paragraphe"/>
        <w:spacing w:after="80" w:line="276" w:lineRule="auto"/>
      </w:pPr>
      <w:r>
        <w:t xml:space="preserve">La présente fiche rend compte de l'état d'avancement </w:t>
      </w:r>
      <w:r w:rsidR="008577C2">
        <w:t>pour la mise en place d’une</w:t>
      </w:r>
      <w:r w:rsidR="00BD6CC2">
        <w:t xml:space="preserve"> stratégie de mobilisation des </w:t>
      </w:r>
      <w:r w:rsidR="008577C2">
        <w:t>ressources</w:t>
      </w:r>
      <w:r w:rsidR="002D6895">
        <w:t xml:space="preserve"> avec un objectif de diversification des sources de financement et de compétitivité dans un contexte évolutif marqué par une diminution des financements en subventions ou spécifiquement dédiés</w:t>
      </w:r>
      <w:r w:rsidR="008577C2">
        <w:t>.</w:t>
      </w:r>
      <w:r w:rsidR="00616A9E">
        <w:t xml:space="preserve"> </w:t>
      </w:r>
    </w:p>
    <w:p w14:paraId="73722E71" w14:textId="4131B346" w:rsidR="00234699" w:rsidRDefault="00234699" w:rsidP="003D5515">
      <w:pPr>
        <w:pStyle w:val="Paragraphe"/>
        <w:spacing w:after="80" w:line="276" w:lineRule="auto"/>
      </w:pPr>
    </w:p>
    <w:p w14:paraId="4C206309" w14:textId="0FE230AE" w:rsidR="0096704B" w:rsidRPr="0008468B" w:rsidRDefault="0096704B" w:rsidP="003D5515">
      <w:pPr>
        <w:pStyle w:val="Titrepartie"/>
        <w:spacing w:after="80" w:line="276" w:lineRule="auto"/>
        <w:contextualSpacing w:val="0"/>
      </w:pPr>
      <w:r w:rsidRPr="0008468B">
        <w:t>Etat d’avancement</w:t>
      </w:r>
    </w:p>
    <w:p w14:paraId="11844071" w14:textId="3B12EB14" w:rsidR="0096704B" w:rsidRDefault="00F36CF7" w:rsidP="003D5515">
      <w:pPr>
        <w:pStyle w:val="Sous-partie2"/>
        <w:spacing w:after="80" w:line="276" w:lineRule="auto"/>
        <w:contextualSpacing w:val="0"/>
      </w:pPr>
      <w:r w:rsidRPr="00F36CF7">
        <w:t xml:space="preserve">Développement de la Stratégie de </w:t>
      </w:r>
      <w:r w:rsidR="007A746B">
        <w:t>m</w:t>
      </w:r>
      <w:r w:rsidRPr="00F36CF7">
        <w:t xml:space="preserve">obilisation des </w:t>
      </w:r>
      <w:r w:rsidR="007A746B">
        <w:t>r</w:t>
      </w:r>
      <w:r w:rsidRPr="00F36CF7">
        <w:t>essources</w:t>
      </w:r>
      <w:r w:rsidR="0096704B">
        <w:t xml:space="preserve"> </w:t>
      </w:r>
    </w:p>
    <w:p w14:paraId="4068F5F5" w14:textId="3E506546" w:rsidR="008577C2" w:rsidRDefault="008577C2" w:rsidP="003D5515">
      <w:pPr>
        <w:pStyle w:val="Titrepartie"/>
        <w:numPr>
          <w:ilvl w:val="0"/>
          <w:numId w:val="0"/>
        </w:numPr>
        <w:spacing w:after="80" w:line="276" w:lineRule="auto"/>
        <w:contextualSpacing w:val="0"/>
        <w:rPr>
          <w:b w:val="0"/>
          <w:bCs w:val="0"/>
          <w:color w:val="auto"/>
          <w:sz w:val="20"/>
        </w:rPr>
      </w:pPr>
      <w:r w:rsidRPr="008577C2">
        <w:rPr>
          <w:b w:val="0"/>
          <w:bCs w:val="0"/>
          <w:color w:val="auto"/>
          <w:sz w:val="20"/>
        </w:rPr>
        <w:t xml:space="preserve">Un processus participatif a été engagé au niveau du </w:t>
      </w:r>
      <w:r w:rsidR="00F53C60" w:rsidRPr="008577C2">
        <w:rPr>
          <w:b w:val="0"/>
          <w:bCs w:val="0"/>
          <w:color w:val="auto"/>
          <w:sz w:val="20"/>
        </w:rPr>
        <w:t>Secrétariat</w:t>
      </w:r>
      <w:r w:rsidRPr="008577C2">
        <w:rPr>
          <w:b w:val="0"/>
          <w:bCs w:val="0"/>
          <w:color w:val="auto"/>
          <w:sz w:val="20"/>
        </w:rPr>
        <w:t xml:space="preserve"> général en impliquant l’ensemble des services, les chargés de mission et les coordinateurs des projets. Un premier atelier interne d'analyse contextuelle a permis de dégager une proposition d'objectifs stratégiques et d'axes d'actions prioritaires. </w:t>
      </w:r>
    </w:p>
    <w:p w14:paraId="20FCC54A" w14:textId="77777777" w:rsidR="008577C2" w:rsidRPr="00271D26" w:rsidRDefault="008577C2" w:rsidP="003D5515">
      <w:pPr>
        <w:spacing w:after="80" w:line="276" w:lineRule="auto"/>
        <w:jc w:val="both"/>
        <w:rPr>
          <w:rFonts w:ascii="Verdana" w:hAnsi="Verdana" w:cs="Calibri"/>
          <w:sz w:val="20"/>
          <w:szCs w:val="20"/>
        </w:rPr>
      </w:pPr>
      <w:r w:rsidRPr="00271D26">
        <w:rPr>
          <w:rFonts w:ascii="Verdana" w:hAnsi="Verdana" w:cs="Calibri"/>
          <w:sz w:val="20"/>
          <w:szCs w:val="20"/>
        </w:rPr>
        <w:t>Cet atelier a permis de :</w:t>
      </w:r>
    </w:p>
    <w:p w14:paraId="1C295EF5" w14:textId="77777777" w:rsidR="008577C2" w:rsidRPr="00271D26" w:rsidRDefault="008577C2" w:rsidP="003D5515">
      <w:pPr>
        <w:numPr>
          <w:ilvl w:val="0"/>
          <w:numId w:val="5"/>
        </w:numPr>
        <w:spacing w:after="80" w:line="276" w:lineRule="auto"/>
        <w:jc w:val="both"/>
        <w:rPr>
          <w:rFonts w:ascii="Verdana" w:hAnsi="Verdana" w:cs="Calibri"/>
          <w:sz w:val="20"/>
          <w:szCs w:val="20"/>
        </w:rPr>
      </w:pPr>
      <w:r w:rsidRPr="00271D26">
        <w:rPr>
          <w:rFonts w:ascii="Verdana" w:hAnsi="Verdana" w:cs="Calibri"/>
          <w:b/>
          <w:bCs/>
          <w:sz w:val="20"/>
          <w:szCs w:val="20"/>
        </w:rPr>
        <w:t>Analyser le contexte financier actuel :</w:t>
      </w:r>
      <w:r w:rsidRPr="00271D26">
        <w:rPr>
          <w:rFonts w:ascii="Verdana" w:hAnsi="Verdana" w:cs="Calibri"/>
          <w:sz w:val="20"/>
          <w:szCs w:val="20"/>
        </w:rPr>
        <w:t> Confirmation de la contraction de</w:t>
      </w:r>
      <w:r>
        <w:rPr>
          <w:rFonts w:ascii="Verdana" w:hAnsi="Verdana" w:cs="Calibri"/>
          <w:sz w:val="20"/>
          <w:szCs w:val="20"/>
        </w:rPr>
        <w:t xml:space="preserve">s financements mondiaux </w:t>
      </w:r>
      <w:r w:rsidRPr="00271D26">
        <w:rPr>
          <w:rFonts w:ascii="Verdana" w:hAnsi="Verdana" w:cs="Calibri"/>
          <w:sz w:val="20"/>
          <w:szCs w:val="20"/>
        </w:rPr>
        <w:t xml:space="preserve">et du virage vers </w:t>
      </w:r>
      <w:r>
        <w:rPr>
          <w:rFonts w:ascii="Verdana" w:hAnsi="Verdana" w:cs="Calibri"/>
          <w:sz w:val="20"/>
          <w:szCs w:val="20"/>
        </w:rPr>
        <w:t>d’autres mécanismes plus compétitifs</w:t>
      </w:r>
      <w:r w:rsidRPr="00271D26">
        <w:rPr>
          <w:rFonts w:ascii="Verdana" w:hAnsi="Verdana" w:cs="Calibri"/>
          <w:sz w:val="20"/>
          <w:szCs w:val="20"/>
        </w:rPr>
        <w:t>.</w:t>
      </w:r>
    </w:p>
    <w:p w14:paraId="3575D758" w14:textId="77777777" w:rsidR="008577C2" w:rsidRPr="008577C2" w:rsidRDefault="008577C2" w:rsidP="003D5515">
      <w:pPr>
        <w:pStyle w:val="Paragraphedeliste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577C2">
        <w:rPr>
          <w:rFonts w:ascii="Verdana" w:hAnsi="Verdana" w:cs="Calibri"/>
          <w:b/>
          <w:bCs/>
          <w:sz w:val="20"/>
          <w:szCs w:val="20"/>
        </w:rPr>
        <w:t>Identifier les forces et faiblesses internes de la COI, ainsi que les opportunités et menaces</w:t>
      </w:r>
      <w:r w:rsidRPr="008577C2">
        <w:rPr>
          <w:rFonts w:ascii="Verdana" w:hAnsi="Verdana" w:cs="Calibri"/>
          <w:sz w:val="20"/>
          <w:szCs w:val="20"/>
        </w:rPr>
        <w:t xml:space="preserve"> en matière de mobilisation des ressources.</w:t>
      </w:r>
    </w:p>
    <w:p w14:paraId="582FC6DB" w14:textId="77777777" w:rsidR="008577C2" w:rsidRPr="00271D26" w:rsidRDefault="008577C2" w:rsidP="003D5515">
      <w:pPr>
        <w:numPr>
          <w:ilvl w:val="0"/>
          <w:numId w:val="5"/>
        </w:numPr>
        <w:spacing w:after="80" w:line="276" w:lineRule="auto"/>
        <w:jc w:val="both"/>
        <w:rPr>
          <w:rFonts w:ascii="Verdana" w:hAnsi="Verdana" w:cs="Calibri"/>
          <w:sz w:val="20"/>
          <w:szCs w:val="20"/>
        </w:rPr>
      </w:pPr>
      <w:r w:rsidRPr="00271D26">
        <w:rPr>
          <w:rFonts w:ascii="Verdana" w:hAnsi="Verdana" w:cs="Calibri"/>
          <w:b/>
          <w:bCs/>
          <w:sz w:val="20"/>
          <w:szCs w:val="20"/>
        </w:rPr>
        <w:t>Définir une proposition préliminaire d'objectifs et d'actions prioritaires</w:t>
      </w:r>
      <w:r>
        <w:rPr>
          <w:rFonts w:ascii="Verdana" w:hAnsi="Verdana" w:cs="Calibri"/>
          <w:sz w:val="20"/>
          <w:szCs w:val="20"/>
        </w:rPr>
        <w:t xml:space="preserve"> pour la mobilisation des ressources.</w:t>
      </w:r>
    </w:p>
    <w:p w14:paraId="360476B8" w14:textId="0F90378F" w:rsidR="00D1508B" w:rsidRPr="005956F8" w:rsidRDefault="005956F8" w:rsidP="003D5515">
      <w:pPr>
        <w:pStyle w:val="Sous-partie2"/>
      </w:pPr>
      <w:r w:rsidRPr="005956F8">
        <w:t>Processus de revue interne et prochaines étapes</w:t>
      </w:r>
    </w:p>
    <w:p w14:paraId="1C6D0C42" w14:textId="7818D025" w:rsidR="00A13177" w:rsidRPr="008577C2" w:rsidRDefault="005956F8" w:rsidP="003D5515">
      <w:pPr>
        <w:pStyle w:val="Paragraphedeliste"/>
        <w:numPr>
          <w:ilvl w:val="0"/>
          <w:numId w:val="7"/>
        </w:numPr>
        <w:spacing w:after="80" w:line="276" w:lineRule="auto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577C2">
        <w:rPr>
          <w:rFonts w:ascii="Verdana" w:hAnsi="Verdana" w:cs="Calibri"/>
          <w:b/>
          <w:bCs/>
          <w:sz w:val="20"/>
          <w:szCs w:val="20"/>
        </w:rPr>
        <w:t>Revue en cours</w:t>
      </w:r>
      <w:r w:rsidRPr="008577C2">
        <w:rPr>
          <w:rFonts w:ascii="Verdana" w:hAnsi="Verdana" w:cs="Calibri"/>
          <w:sz w:val="20"/>
          <w:szCs w:val="20"/>
        </w:rPr>
        <w:t xml:space="preserve"> : Le document de travail synthétisant ces propositions</w:t>
      </w:r>
      <w:r w:rsidR="00711F9B" w:rsidRPr="008577C2">
        <w:rPr>
          <w:rFonts w:ascii="Verdana" w:hAnsi="Verdana" w:cs="Calibri"/>
          <w:sz w:val="20"/>
          <w:szCs w:val="20"/>
        </w:rPr>
        <w:t xml:space="preserve"> d’objectifs et actions prioritaires</w:t>
      </w:r>
      <w:r w:rsidRPr="008577C2">
        <w:rPr>
          <w:rFonts w:ascii="Verdana" w:hAnsi="Verdana" w:cs="Calibri"/>
          <w:sz w:val="20"/>
          <w:szCs w:val="20"/>
        </w:rPr>
        <w:t xml:space="preserve"> est actuellement en phase de revue interne au sein du Secrétariat général.</w:t>
      </w:r>
    </w:p>
    <w:p w14:paraId="39ABC239" w14:textId="07A82924" w:rsidR="00A13177" w:rsidRPr="008577C2" w:rsidRDefault="00A13177" w:rsidP="003D5515">
      <w:pPr>
        <w:pStyle w:val="Paragraphedeliste"/>
        <w:numPr>
          <w:ilvl w:val="0"/>
          <w:numId w:val="7"/>
        </w:numPr>
        <w:spacing w:after="80" w:line="276" w:lineRule="auto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577C2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Consultations </w:t>
      </w:r>
      <w:proofErr w:type="gramStart"/>
      <w:r w:rsidRPr="008577C2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externes:</w:t>
      </w:r>
      <w:proofErr w:type="gramEnd"/>
      <w:r w:rsidRPr="008577C2">
        <w:rPr>
          <w:rFonts w:ascii="Verdana" w:hAnsi="Verdana" w:cs="Segoe UI"/>
          <w:color w:val="0F1115"/>
          <w:sz w:val="20"/>
          <w:szCs w:val="20"/>
        </w:rPr>
        <w:t xml:space="preserve"> Conformément à une approche inclusive et pragmatique, le Secrétariat général prévoit de </w:t>
      </w:r>
      <w:r w:rsidR="00F53C60" w:rsidRPr="008577C2">
        <w:rPr>
          <w:rFonts w:ascii="Verdana" w:hAnsi="Verdana" w:cs="Segoe UI"/>
          <w:color w:val="0F1115"/>
          <w:sz w:val="20"/>
          <w:szCs w:val="20"/>
        </w:rPr>
        <w:t>conduire une</w:t>
      </w:r>
      <w:r w:rsidRPr="008577C2">
        <w:rPr>
          <w:rFonts w:ascii="Verdana" w:hAnsi="Verdana" w:cs="Segoe UI"/>
          <w:color w:val="0F1115"/>
          <w:sz w:val="20"/>
          <w:szCs w:val="20"/>
        </w:rPr>
        <w:t xml:space="preserve"> série de consultations ciblées avec :</w:t>
      </w:r>
    </w:p>
    <w:p w14:paraId="36A38D71" w14:textId="77777777" w:rsidR="003D5515" w:rsidRPr="008577C2" w:rsidRDefault="003D5515" w:rsidP="003D5515">
      <w:pPr>
        <w:pStyle w:val="Paragraphedeliste"/>
        <w:numPr>
          <w:ilvl w:val="1"/>
          <w:numId w:val="7"/>
        </w:numPr>
        <w:spacing w:after="80" w:line="276" w:lineRule="auto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577C2">
        <w:rPr>
          <w:rFonts w:ascii="Verdana" w:hAnsi="Verdana" w:cs="Segoe UI"/>
          <w:color w:val="0F1115"/>
          <w:sz w:val="20"/>
          <w:szCs w:val="20"/>
        </w:rPr>
        <w:lastRenderedPageBreak/>
        <w:t>Les</w:t>
      </w:r>
      <w:r>
        <w:rPr>
          <w:rFonts w:ascii="Verdana" w:hAnsi="Verdana" w:cs="Segoe UI"/>
          <w:color w:val="0F1115"/>
          <w:sz w:val="20"/>
          <w:szCs w:val="20"/>
        </w:rPr>
        <w:t xml:space="preserve"> </w:t>
      </w:r>
      <w:r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États membres</w:t>
      </w:r>
      <w:r w:rsidRPr="008577C2">
        <w:rPr>
          <w:rFonts w:ascii="Verdana" w:hAnsi="Verdana" w:cs="Segoe UI"/>
          <w:color w:val="0F1115"/>
          <w:sz w:val="20"/>
          <w:szCs w:val="20"/>
        </w:rPr>
        <w:t>, en vue de s'assurer de l'alignement des axes stratégiques proposés avec les priorités nationales et régionales des États membres.</w:t>
      </w:r>
    </w:p>
    <w:p w14:paraId="52CABE41" w14:textId="01B0AD11" w:rsidR="00A13177" w:rsidRPr="008577C2" w:rsidRDefault="00A13177" w:rsidP="003D5515">
      <w:pPr>
        <w:pStyle w:val="Paragraphedeliste"/>
        <w:numPr>
          <w:ilvl w:val="1"/>
          <w:numId w:val="7"/>
        </w:numPr>
        <w:spacing w:after="80" w:line="276" w:lineRule="auto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577C2">
        <w:rPr>
          <w:rFonts w:ascii="Verdana" w:hAnsi="Verdana" w:cs="Segoe UI"/>
          <w:color w:val="0F1115"/>
          <w:sz w:val="20"/>
          <w:szCs w:val="20"/>
        </w:rPr>
        <w:t>Les</w:t>
      </w:r>
      <w:r w:rsidR="003D5515">
        <w:rPr>
          <w:rFonts w:ascii="Verdana" w:hAnsi="Verdana" w:cs="Segoe UI"/>
          <w:color w:val="0F1115"/>
          <w:sz w:val="20"/>
          <w:szCs w:val="20"/>
        </w:rPr>
        <w:t xml:space="preserve"> </w:t>
      </w:r>
      <w:r w:rsidRPr="008577C2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partenaires techniques et financiers</w:t>
      </w:r>
      <w:r w:rsidR="003D5515">
        <w:rPr>
          <w:rFonts w:ascii="Verdana" w:hAnsi="Verdana" w:cs="Segoe UI"/>
          <w:color w:val="0F1115"/>
          <w:sz w:val="20"/>
          <w:szCs w:val="20"/>
        </w:rPr>
        <w:t xml:space="preserve"> </w:t>
      </w:r>
      <w:r w:rsidRPr="008577C2">
        <w:rPr>
          <w:rFonts w:ascii="Verdana" w:hAnsi="Verdana" w:cs="Segoe UI"/>
          <w:color w:val="0F1115"/>
          <w:sz w:val="20"/>
          <w:szCs w:val="20"/>
        </w:rPr>
        <w:t>clés, afin de recueillir leurs orientations stratégiques, leurs instruments financiers disponibles et leurs attentes vis-à-vis de la COI.</w:t>
      </w:r>
    </w:p>
    <w:p w14:paraId="135A8D14" w14:textId="738B18BE" w:rsidR="00A13177" w:rsidRPr="008577C2" w:rsidRDefault="00A13177" w:rsidP="003D5515">
      <w:pPr>
        <w:spacing w:after="80" w:line="276" w:lineRule="auto"/>
        <w:jc w:val="both"/>
        <w:rPr>
          <w:rFonts w:ascii="Verdana" w:hAnsi="Verdana" w:cs="Calibri"/>
          <w:sz w:val="20"/>
          <w:szCs w:val="20"/>
        </w:rPr>
      </w:pPr>
      <w:r w:rsidRPr="008577C2">
        <w:rPr>
          <w:rFonts w:ascii="Verdana" w:hAnsi="Verdana" w:cs="Segoe UI"/>
          <w:color w:val="0F1115"/>
          <w:sz w:val="20"/>
          <w:szCs w:val="20"/>
        </w:rPr>
        <w:t>Ces consultations constitueront une étape préparatoire essentielle à l'atelier de finalisation.</w:t>
      </w:r>
    </w:p>
    <w:p w14:paraId="777CF2D6" w14:textId="71EC0518" w:rsidR="00EA0B5F" w:rsidRPr="001A1A14" w:rsidRDefault="00B31E11" w:rsidP="003D551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80" w:afterAutospacing="0" w:line="276" w:lineRule="auto"/>
        <w:jc w:val="both"/>
        <w:rPr>
          <w:rFonts w:ascii="Verdana" w:hAnsi="Verdana" w:cs="Segoe UI"/>
          <w:color w:val="0F1115"/>
          <w:sz w:val="20"/>
          <w:szCs w:val="20"/>
        </w:rPr>
      </w:pPr>
      <w:r w:rsidRPr="001A1A14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Atelier de finalisation</w:t>
      </w:r>
      <w:r w:rsidR="001F337D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 :</w:t>
      </w:r>
      <w:r w:rsidR="003D5515">
        <w:rPr>
          <w:rFonts w:ascii="Verdana" w:hAnsi="Verdana" w:cs="Segoe UI"/>
          <w:color w:val="0F1115"/>
          <w:sz w:val="20"/>
          <w:szCs w:val="20"/>
        </w:rPr>
        <w:t xml:space="preserve"> </w:t>
      </w:r>
      <w:r w:rsidRPr="001A1A14">
        <w:rPr>
          <w:rFonts w:ascii="Verdana" w:hAnsi="Verdana" w:cs="Segoe UI"/>
          <w:color w:val="0F1115"/>
          <w:sz w:val="20"/>
          <w:szCs w:val="20"/>
        </w:rPr>
        <w:t xml:space="preserve">Un second atelier interne est programmé pour la seconde moitié du deuxième </w:t>
      </w:r>
      <w:r w:rsidR="001F337D">
        <w:rPr>
          <w:rFonts w:ascii="Verdana" w:hAnsi="Verdana" w:cs="Segoe UI"/>
          <w:color w:val="0F1115"/>
          <w:sz w:val="20"/>
          <w:szCs w:val="20"/>
        </w:rPr>
        <w:t>semestre</w:t>
      </w:r>
      <w:r w:rsidR="001F337D" w:rsidRPr="001A1A14">
        <w:rPr>
          <w:rFonts w:ascii="Verdana" w:hAnsi="Verdana" w:cs="Segoe UI"/>
          <w:color w:val="0F1115"/>
          <w:sz w:val="20"/>
          <w:szCs w:val="20"/>
        </w:rPr>
        <w:t xml:space="preserve"> </w:t>
      </w:r>
      <w:r w:rsidRPr="001A1A14">
        <w:rPr>
          <w:rFonts w:ascii="Verdana" w:hAnsi="Verdana" w:cs="Segoe UI"/>
          <w:color w:val="0F1115"/>
          <w:sz w:val="20"/>
          <w:szCs w:val="20"/>
        </w:rPr>
        <w:t xml:space="preserve">2026. Il aura pour objectif d'intégrer les retours des consultations menées </w:t>
      </w:r>
      <w:r w:rsidR="00D13066">
        <w:rPr>
          <w:rFonts w:ascii="Verdana" w:hAnsi="Verdana" w:cs="Segoe UI"/>
          <w:color w:val="0F1115"/>
          <w:sz w:val="20"/>
          <w:szCs w:val="20"/>
        </w:rPr>
        <w:t xml:space="preserve">avec les partenaires et autres acteurs (instruments </w:t>
      </w:r>
      <w:r w:rsidR="00F53C60">
        <w:rPr>
          <w:rFonts w:ascii="Verdana" w:hAnsi="Verdana" w:cs="Segoe UI"/>
          <w:color w:val="0F1115"/>
          <w:sz w:val="20"/>
          <w:szCs w:val="20"/>
        </w:rPr>
        <w:t>financières</w:t>
      </w:r>
      <w:r w:rsidR="00D13066">
        <w:rPr>
          <w:rFonts w:ascii="Verdana" w:hAnsi="Verdana" w:cs="Segoe UI"/>
          <w:color w:val="0F1115"/>
          <w:sz w:val="20"/>
          <w:szCs w:val="20"/>
        </w:rPr>
        <w:t>)</w:t>
      </w:r>
      <w:r w:rsidRPr="001A1A14">
        <w:rPr>
          <w:rFonts w:ascii="Verdana" w:hAnsi="Verdana" w:cs="Segoe UI"/>
          <w:color w:val="0F1115"/>
          <w:sz w:val="20"/>
          <w:szCs w:val="20"/>
        </w:rPr>
        <w:t xml:space="preserve">, de finaliser les objectifs stratégiques, de prioriser les axes d'intervention et de définir un plan d'action opérationnel assorti d'indicateurs de performance. </w:t>
      </w:r>
    </w:p>
    <w:p w14:paraId="1B7104EE" w14:textId="65F199B5" w:rsidR="005956F8" w:rsidRDefault="005956F8" w:rsidP="003D551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80" w:afterAutospacing="0" w:line="276" w:lineRule="auto"/>
        <w:jc w:val="both"/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</w:pPr>
      <w:r w:rsidRPr="008577C2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Soumission aux États membres : </w:t>
      </w:r>
      <w:r w:rsidRPr="008577C2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La stratégie </w:t>
      </w:r>
      <w:r w:rsidR="00BA65C7" w:rsidRPr="008577C2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de mobilisation des ressources </w:t>
      </w:r>
      <w:r w:rsidRPr="008577C2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finalisée sera présentée pour approbation </w:t>
      </w:r>
      <w:r w:rsidR="000A7C06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>par les</w:t>
      </w:r>
      <w:r w:rsidR="002D6895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 </w:t>
      </w:r>
      <w:r w:rsidRPr="008577C2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>instances statutaires.</w:t>
      </w:r>
      <w:r w:rsidR="000A7C06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 </w:t>
      </w:r>
    </w:p>
    <w:p w14:paraId="181DA839" w14:textId="60E1D11F" w:rsidR="000A7C06" w:rsidRPr="003D5515" w:rsidRDefault="000A7C06" w:rsidP="003D5515">
      <w:pPr>
        <w:pStyle w:val="ds-markdown-paragraph"/>
        <w:shd w:val="clear" w:color="auto" w:fill="FFFFFF"/>
        <w:spacing w:before="0" w:beforeAutospacing="0" w:after="80" w:afterAutospacing="0" w:line="276" w:lineRule="auto"/>
        <w:jc w:val="both"/>
        <w:rPr>
          <w:rStyle w:val="lev"/>
          <w:rFonts w:ascii="Verdana" w:eastAsiaTheme="majorEastAsia" w:hAnsi="Verdana" w:cs="Segoe UI"/>
          <w:color w:val="0F1115"/>
          <w:sz w:val="20"/>
          <w:szCs w:val="20"/>
        </w:rPr>
      </w:pPr>
      <w:r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>Comme demandé par le Comité des OPL n°02/2</w:t>
      </w:r>
      <w:r w:rsidR="009F4B73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>6, le Secrétariat général soumet à l’attention du 40</w:t>
      </w:r>
      <w:r w:rsidR="009F4B73" w:rsidRPr="0016249E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  <w:vertAlign w:val="superscript"/>
        </w:rPr>
        <w:t>ème</w:t>
      </w:r>
      <w:r w:rsidR="009F4B73">
        <w:rPr>
          <w:rStyle w:val="lev"/>
          <w:rFonts w:ascii="Verdana" w:eastAsiaTheme="majorEastAsia" w:hAnsi="Verdana" w:cs="Segoe UI"/>
          <w:b w:val="0"/>
          <w:bCs w:val="0"/>
          <w:color w:val="0F1115"/>
          <w:sz w:val="20"/>
          <w:szCs w:val="20"/>
        </w:rPr>
        <w:t xml:space="preserve"> des ministres un rapport intérimaire sur la mobilisation des ressources en vue d’un débat d’orientation. </w:t>
      </w:r>
      <w:r w:rsidR="009F4B73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Les membres du Conseil pourront ainsi fixer </w:t>
      </w:r>
      <w:proofErr w:type="gramStart"/>
      <w:r w:rsidR="009F4B73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des orientations sur</w:t>
      </w:r>
      <w:proofErr w:type="gramEnd"/>
      <w:r w:rsidR="00414FBA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 :</w:t>
      </w:r>
    </w:p>
    <w:p w14:paraId="68C85D38" w14:textId="4E4F085B" w:rsidR="00414FBA" w:rsidRPr="003D5515" w:rsidRDefault="00414FBA" w:rsidP="003D55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80" w:afterAutospacing="0" w:line="276" w:lineRule="auto"/>
        <w:jc w:val="both"/>
        <w:rPr>
          <w:rStyle w:val="lev"/>
          <w:rFonts w:ascii="Verdana" w:eastAsiaTheme="majorEastAsia" w:hAnsi="Verdana" w:cs="Segoe UI"/>
          <w:color w:val="0F1115"/>
          <w:sz w:val="20"/>
          <w:szCs w:val="20"/>
        </w:rPr>
      </w:pPr>
      <w:r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Le ciblage des partenaires ; </w:t>
      </w:r>
    </w:p>
    <w:p w14:paraId="21E5B56D" w14:textId="1049F591" w:rsidR="00414FBA" w:rsidRPr="003D5515" w:rsidRDefault="00414FBA" w:rsidP="003D55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80" w:afterAutospacing="0" w:line="276" w:lineRule="auto"/>
        <w:jc w:val="both"/>
        <w:rPr>
          <w:rStyle w:val="lev"/>
          <w:rFonts w:ascii="Verdana" w:eastAsiaTheme="majorEastAsia" w:hAnsi="Verdana" w:cs="Segoe UI"/>
          <w:color w:val="0F1115"/>
          <w:sz w:val="20"/>
          <w:szCs w:val="20"/>
        </w:rPr>
      </w:pPr>
      <w:r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Les mécanismes de dialogue renforcé à mettre en place avec les observateurs et partenaires ; </w:t>
      </w:r>
    </w:p>
    <w:p w14:paraId="4F1E0BB6" w14:textId="15C0D9FC" w:rsidR="00414FBA" w:rsidRPr="003D5515" w:rsidRDefault="0093071B" w:rsidP="003D55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80" w:afterAutospacing="0" w:line="276" w:lineRule="auto"/>
        <w:jc w:val="both"/>
        <w:rPr>
          <w:rStyle w:val="lev"/>
          <w:rFonts w:ascii="Verdana" w:eastAsiaTheme="majorEastAsia" w:hAnsi="Verdana" w:cs="Segoe UI"/>
          <w:color w:val="0F1115"/>
          <w:sz w:val="20"/>
          <w:szCs w:val="20"/>
        </w:rPr>
      </w:pPr>
      <w:r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Le format et les messages clés pour la </w:t>
      </w:r>
      <w:r w:rsidR="0044242B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réunion</w:t>
      </w:r>
      <w:r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 de haut niveau des partenaires</w:t>
      </w:r>
      <w:r w:rsidR="009025DC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 xml:space="preserve"> devant se tenir fin 2026-début 2027 </w:t>
      </w:r>
      <w:r w:rsidR="0044242B" w:rsidRPr="003D5515">
        <w:rPr>
          <w:rStyle w:val="lev"/>
          <w:rFonts w:ascii="Verdana" w:eastAsiaTheme="majorEastAsia" w:hAnsi="Verdana" w:cs="Segoe UI"/>
          <w:color w:val="0F1115"/>
          <w:sz w:val="20"/>
          <w:szCs w:val="20"/>
        </w:rPr>
        <w:t>dont la note conceptuelle est soumise pour validation</w:t>
      </w:r>
    </w:p>
    <w:bookmarkEnd w:id="0"/>
    <w:p w14:paraId="1F64CBDA" w14:textId="77777777" w:rsidR="008577C2" w:rsidRPr="003D5515" w:rsidRDefault="008577C2" w:rsidP="003D5515">
      <w:pPr>
        <w:pStyle w:val="Titrepartie"/>
        <w:numPr>
          <w:ilvl w:val="0"/>
          <w:numId w:val="0"/>
        </w:numPr>
        <w:spacing w:after="80" w:line="276" w:lineRule="auto"/>
        <w:ind w:left="360"/>
        <w:contextualSpacing w:val="0"/>
        <w:rPr>
          <w:b w:val="0"/>
          <w:bCs w:val="0"/>
          <w:color w:val="auto"/>
          <w:sz w:val="10"/>
          <w:szCs w:val="10"/>
        </w:rPr>
      </w:pPr>
    </w:p>
    <w:p w14:paraId="2F3F64C1" w14:textId="2C857914" w:rsidR="00BE7DF4" w:rsidRPr="001A1A14" w:rsidRDefault="001A1A14" w:rsidP="003D5515">
      <w:pPr>
        <w:pStyle w:val="Titrepartie"/>
        <w:spacing w:after="80" w:line="276" w:lineRule="auto"/>
        <w:contextualSpacing w:val="0"/>
        <w:rPr>
          <w:sz w:val="20"/>
        </w:rPr>
      </w:pPr>
      <w:r>
        <w:t xml:space="preserve"> Proposition de décision</w:t>
      </w:r>
    </w:p>
    <w:p w14:paraId="6CC17FCC" w14:textId="4B90945F" w:rsidR="001A1A14" w:rsidRDefault="001A1A14" w:rsidP="003D5515">
      <w:pPr>
        <w:pStyle w:val="Titrepartie"/>
        <w:numPr>
          <w:ilvl w:val="0"/>
          <w:numId w:val="0"/>
        </w:numPr>
        <w:spacing w:after="80" w:line="276" w:lineRule="auto"/>
        <w:ind w:left="720" w:hanging="360"/>
        <w:contextualSpacing w:val="0"/>
        <w:rPr>
          <w:b w:val="0"/>
          <w:bCs w:val="0"/>
          <w:color w:val="auto"/>
          <w:sz w:val="20"/>
        </w:rPr>
      </w:pPr>
      <w:r w:rsidRPr="001A1A14">
        <w:rPr>
          <w:b w:val="0"/>
          <w:bCs w:val="0"/>
          <w:color w:val="auto"/>
          <w:sz w:val="20"/>
        </w:rPr>
        <w:t xml:space="preserve">Le </w:t>
      </w:r>
      <w:r w:rsidR="00E25DE0">
        <w:rPr>
          <w:b w:val="0"/>
          <w:bCs w:val="0"/>
          <w:color w:val="auto"/>
          <w:sz w:val="20"/>
        </w:rPr>
        <w:t xml:space="preserve">Conseil des ministres : </w:t>
      </w:r>
    </w:p>
    <w:p w14:paraId="56A17427" w14:textId="54C4F3FE" w:rsidR="00985CE4" w:rsidRPr="005222EB" w:rsidRDefault="00E25DE0" w:rsidP="003D5515">
      <w:pPr>
        <w:pStyle w:val="Titrepartie"/>
        <w:numPr>
          <w:ilvl w:val="2"/>
          <w:numId w:val="16"/>
        </w:numPr>
        <w:spacing w:after="80" w:line="276" w:lineRule="auto"/>
        <w:ind w:left="993"/>
        <w:contextualSpacing w:val="0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Valide</w:t>
      </w:r>
      <w:r w:rsidR="005222EB" w:rsidRPr="0016249E">
        <w:rPr>
          <w:b w:val="0"/>
          <w:bCs w:val="0"/>
          <w:sz w:val="20"/>
        </w:rPr>
        <w:t xml:space="preserve"> </w:t>
      </w:r>
      <w:r w:rsidR="005222EB" w:rsidRPr="0016249E">
        <w:rPr>
          <w:b w:val="0"/>
          <w:bCs w:val="0"/>
          <w:color w:val="auto"/>
          <w:sz w:val="20"/>
        </w:rPr>
        <w:t xml:space="preserve">la note conceptuelle </w:t>
      </w:r>
      <w:r w:rsidR="00333C67" w:rsidRPr="0016249E">
        <w:rPr>
          <w:b w:val="0"/>
          <w:bCs w:val="0"/>
          <w:color w:val="auto"/>
          <w:sz w:val="20"/>
        </w:rPr>
        <w:t xml:space="preserve">sur la réunion de haut niveau avec les partenaires techniques et financiers </w:t>
      </w:r>
      <w:r w:rsidR="00DF624B" w:rsidRPr="0016249E">
        <w:rPr>
          <w:b w:val="0"/>
          <w:bCs w:val="0"/>
          <w:color w:val="auto"/>
          <w:sz w:val="20"/>
        </w:rPr>
        <w:t>et demande au Secrétariat général d’en assurer l’organisation en concertation avec la présidence en exercice</w:t>
      </w:r>
      <w:r w:rsidR="005222EB" w:rsidRPr="0016249E">
        <w:rPr>
          <w:b w:val="0"/>
          <w:bCs w:val="0"/>
          <w:color w:val="auto"/>
          <w:sz w:val="20"/>
        </w:rPr>
        <w:t> ;</w:t>
      </w:r>
      <w:r w:rsidR="003F4169" w:rsidRPr="0016249E">
        <w:rPr>
          <w:color w:val="auto"/>
          <w:sz w:val="20"/>
        </w:rPr>
        <w:t xml:space="preserve"> </w:t>
      </w:r>
    </w:p>
    <w:p w14:paraId="404A7099" w14:textId="72ED6D5B" w:rsidR="003D5DEF" w:rsidRDefault="00DF624B" w:rsidP="003D5515">
      <w:pPr>
        <w:pStyle w:val="Titrepartie"/>
        <w:numPr>
          <w:ilvl w:val="2"/>
          <w:numId w:val="16"/>
        </w:numPr>
        <w:spacing w:after="80" w:line="276" w:lineRule="auto"/>
        <w:ind w:left="993"/>
        <w:contextualSpacing w:val="0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Soutient</w:t>
      </w:r>
      <w:r w:rsidR="00263D01">
        <w:rPr>
          <w:b w:val="0"/>
          <w:bCs w:val="0"/>
          <w:color w:val="auto"/>
          <w:sz w:val="20"/>
        </w:rPr>
        <w:t xml:space="preserve"> les démarches du</w:t>
      </w:r>
      <w:r w:rsidR="00FB52D1">
        <w:rPr>
          <w:b w:val="0"/>
          <w:bCs w:val="0"/>
          <w:color w:val="auto"/>
          <w:sz w:val="20"/>
        </w:rPr>
        <w:t xml:space="preserve"> Secréta</w:t>
      </w:r>
      <w:r w:rsidR="00263D01">
        <w:rPr>
          <w:b w:val="0"/>
          <w:bCs w:val="0"/>
          <w:color w:val="auto"/>
          <w:sz w:val="20"/>
        </w:rPr>
        <w:t>riat</w:t>
      </w:r>
      <w:r w:rsidR="00FB52D1">
        <w:rPr>
          <w:b w:val="0"/>
          <w:bCs w:val="0"/>
          <w:color w:val="auto"/>
          <w:sz w:val="20"/>
        </w:rPr>
        <w:t xml:space="preserve"> général </w:t>
      </w:r>
      <w:r w:rsidR="00263D01">
        <w:rPr>
          <w:b w:val="0"/>
          <w:bCs w:val="0"/>
          <w:color w:val="auto"/>
          <w:sz w:val="20"/>
        </w:rPr>
        <w:t>pour</w:t>
      </w:r>
      <w:r w:rsidR="00015F24">
        <w:rPr>
          <w:b w:val="0"/>
          <w:bCs w:val="0"/>
          <w:color w:val="auto"/>
          <w:sz w:val="20"/>
        </w:rPr>
        <w:t xml:space="preserve"> renforcer le dialogue avec</w:t>
      </w:r>
      <w:r w:rsidR="00FB52D1">
        <w:rPr>
          <w:b w:val="0"/>
          <w:bCs w:val="0"/>
          <w:color w:val="auto"/>
          <w:sz w:val="20"/>
        </w:rPr>
        <w:t xml:space="preserve"> les observateurs</w:t>
      </w:r>
      <w:r w:rsidR="00986CA9">
        <w:rPr>
          <w:b w:val="0"/>
          <w:bCs w:val="0"/>
          <w:color w:val="auto"/>
          <w:sz w:val="20"/>
        </w:rPr>
        <w:t>, les partenaires</w:t>
      </w:r>
      <w:r w:rsidR="00015F24">
        <w:rPr>
          <w:b w:val="0"/>
          <w:bCs w:val="0"/>
          <w:color w:val="auto"/>
          <w:sz w:val="20"/>
        </w:rPr>
        <w:t xml:space="preserve"> et</w:t>
      </w:r>
      <w:r w:rsidR="00FB52D1">
        <w:rPr>
          <w:b w:val="0"/>
          <w:bCs w:val="0"/>
          <w:color w:val="auto"/>
          <w:sz w:val="20"/>
        </w:rPr>
        <w:t xml:space="preserve"> les institutions financières </w:t>
      </w:r>
      <w:r w:rsidR="00FA1AFF">
        <w:rPr>
          <w:b w:val="0"/>
          <w:bCs w:val="0"/>
          <w:color w:val="auto"/>
          <w:sz w:val="20"/>
        </w:rPr>
        <w:t xml:space="preserve">ciblés </w:t>
      </w:r>
      <w:r w:rsidR="00015F24">
        <w:rPr>
          <w:b w:val="0"/>
          <w:bCs w:val="0"/>
          <w:color w:val="auto"/>
          <w:sz w:val="20"/>
        </w:rPr>
        <w:t>pour mobiliser des ressources pour des projets et initiatives communes</w:t>
      </w:r>
      <w:r w:rsidR="003D5DEF">
        <w:rPr>
          <w:b w:val="0"/>
          <w:bCs w:val="0"/>
          <w:color w:val="auto"/>
          <w:sz w:val="20"/>
        </w:rPr>
        <w:t xml:space="preserve"> ; </w:t>
      </w:r>
    </w:p>
    <w:p w14:paraId="5B0423DE" w14:textId="068C521A" w:rsidR="00E9315D" w:rsidRDefault="003D5515" w:rsidP="003D5515">
      <w:pPr>
        <w:pStyle w:val="Titrepartie"/>
        <w:numPr>
          <w:ilvl w:val="2"/>
          <w:numId w:val="16"/>
        </w:numPr>
        <w:spacing w:after="80" w:line="276" w:lineRule="auto"/>
        <w:ind w:left="993"/>
        <w:contextualSpacing w:val="0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P</w:t>
      </w:r>
      <w:r w:rsidR="00E9315D" w:rsidRPr="00E9315D">
        <w:rPr>
          <w:b w:val="0"/>
          <w:bCs w:val="0"/>
          <w:color w:val="auto"/>
          <w:sz w:val="20"/>
        </w:rPr>
        <w:t>rend note de l’état d’avancement du processus et marque son soutien à la poursuite des travaux selon le calendrier proposé.</w:t>
      </w:r>
    </w:p>
    <w:p w14:paraId="748A4E6C" w14:textId="07474B85" w:rsidR="001A1A14" w:rsidRDefault="003D5DEF" w:rsidP="003D5515">
      <w:pPr>
        <w:pStyle w:val="Titrepartie"/>
        <w:numPr>
          <w:ilvl w:val="2"/>
          <w:numId w:val="16"/>
        </w:numPr>
        <w:spacing w:after="80" w:line="276" w:lineRule="auto"/>
        <w:ind w:left="993"/>
        <w:contextualSpacing w:val="0"/>
        <w:rPr>
          <w:b w:val="0"/>
          <w:bCs w:val="0"/>
          <w:i/>
          <w:iCs/>
          <w:color w:val="auto"/>
          <w:sz w:val="20"/>
        </w:rPr>
      </w:pPr>
      <w:r w:rsidRPr="0016249E">
        <w:rPr>
          <w:b w:val="0"/>
          <w:bCs w:val="0"/>
          <w:i/>
          <w:iCs/>
          <w:color w:val="auto"/>
          <w:sz w:val="20"/>
        </w:rPr>
        <w:t>[</w:t>
      </w:r>
      <w:proofErr w:type="gramStart"/>
      <w:r w:rsidRPr="0016249E">
        <w:rPr>
          <w:b w:val="0"/>
          <w:bCs w:val="0"/>
          <w:i/>
          <w:iCs/>
          <w:color w:val="auto"/>
          <w:sz w:val="20"/>
        </w:rPr>
        <w:t>indiquer</w:t>
      </w:r>
      <w:proofErr w:type="gramEnd"/>
      <w:r w:rsidRPr="0016249E">
        <w:rPr>
          <w:b w:val="0"/>
          <w:bCs w:val="0"/>
          <w:i/>
          <w:iCs/>
          <w:color w:val="auto"/>
          <w:sz w:val="20"/>
        </w:rPr>
        <w:t xml:space="preserve"> les éventuelles orientations formulées par le Conseil]</w:t>
      </w:r>
      <w:r w:rsidR="002D6895" w:rsidRPr="0016249E">
        <w:rPr>
          <w:b w:val="0"/>
          <w:bCs w:val="0"/>
          <w:i/>
          <w:iCs/>
          <w:color w:val="auto"/>
          <w:sz w:val="20"/>
        </w:rPr>
        <w:t>.</w:t>
      </w:r>
      <w:r w:rsidR="009D05C5" w:rsidRPr="0016249E">
        <w:rPr>
          <w:b w:val="0"/>
          <w:bCs w:val="0"/>
          <w:i/>
          <w:iCs/>
          <w:color w:val="auto"/>
          <w:sz w:val="20"/>
        </w:rPr>
        <w:t xml:space="preserve">    </w:t>
      </w:r>
    </w:p>
    <w:p w14:paraId="717E9E02" w14:textId="77777777" w:rsidR="003D4143" w:rsidRDefault="003D4143" w:rsidP="003D5515">
      <w:pPr>
        <w:pStyle w:val="Titrepartie"/>
        <w:numPr>
          <w:ilvl w:val="0"/>
          <w:numId w:val="0"/>
        </w:numPr>
        <w:spacing w:after="80" w:line="276" w:lineRule="auto"/>
        <w:ind w:left="720" w:hanging="360"/>
        <w:contextualSpacing w:val="0"/>
        <w:rPr>
          <w:b w:val="0"/>
          <w:bCs w:val="0"/>
          <w:i/>
          <w:iCs/>
          <w:color w:val="auto"/>
          <w:sz w:val="20"/>
        </w:rPr>
      </w:pPr>
    </w:p>
    <w:p w14:paraId="571C7AEB" w14:textId="0EC608D5" w:rsidR="003D4143" w:rsidRDefault="003D4143" w:rsidP="003D5515">
      <w:pPr>
        <w:pStyle w:val="Titrepartie"/>
        <w:spacing w:after="80"/>
        <w:contextualSpacing w:val="0"/>
      </w:pPr>
      <w:r>
        <w:t>Annexe</w:t>
      </w:r>
      <w:r w:rsidR="003D5515">
        <w:t>s</w:t>
      </w:r>
    </w:p>
    <w:p w14:paraId="6C30B453" w14:textId="68F6BC59" w:rsidR="003D4143" w:rsidRDefault="0060769D" w:rsidP="003D5515">
      <w:pPr>
        <w:pStyle w:val="Paragraphe"/>
        <w:numPr>
          <w:ilvl w:val="0"/>
          <w:numId w:val="18"/>
        </w:numPr>
        <w:spacing w:after="80"/>
      </w:pPr>
      <w:r>
        <w:t xml:space="preserve">Annexe 1 - </w:t>
      </w:r>
      <w:r w:rsidR="003D4143">
        <w:t>Rapport intérimaire</w:t>
      </w:r>
      <w:r>
        <w:t xml:space="preserve"> de la stratégie de mobilisation des ressources</w:t>
      </w:r>
    </w:p>
    <w:p w14:paraId="34807D02" w14:textId="0200CE30" w:rsidR="0060769D" w:rsidRPr="0016249E" w:rsidRDefault="0060769D" w:rsidP="003D5515">
      <w:pPr>
        <w:pStyle w:val="Paragraphe"/>
        <w:numPr>
          <w:ilvl w:val="0"/>
          <w:numId w:val="18"/>
        </w:numPr>
        <w:spacing w:after="80"/>
      </w:pPr>
      <w:r>
        <w:t>Annexe 2 - Note conceptuelle de la réunion de haut niveau des partenaires</w:t>
      </w:r>
    </w:p>
    <w:sectPr w:rsidR="0060769D" w:rsidRPr="0016249E" w:rsidSect="003D5515">
      <w:headerReference w:type="default" r:id="rId8"/>
      <w:footerReference w:type="default" r:id="rId9"/>
      <w:pgSz w:w="11906" w:h="16838"/>
      <w:pgMar w:top="1276" w:right="1417" w:bottom="851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923B" w14:textId="77777777" w:rsidR="00E7268A" w:rsidRDefault="00E7268A" w:rsidP="0096704B">
      <w:pPr>
        <w:spacing w:after="0" w:line="240" w:lineRule="auto"/>
      </w:pPr>
      <w:r>
        <w:separator/>
      </w:r>
    </w:p>
  </w:endnote>
  <w:endnote w:type="continuationSeparator" w:id="0">
    <w:p w14:paraId="1EE4ED4B" w14:textId="77777777" w:rsidR="00E7268A" w:rsidRDefault="00E7268A" w:rsidP="0096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058A0C82" w14:textId="77777777" w:rsidR="0096704B" w:rsidRDefault="0096704B" w:rsidP="000F4728">
        <w:pPr>
          <w:pStyle w:val="Pieddepage"/>
          <w:pBdr>
            <w:top w:val="single" w:sz="4" w:space="1" w:color="E97132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E80D0" w14:textId="77777777" w:rsidR="0096704B" w:rsidRDefault="00967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FDD3" w14:textId="77777777" w:rsidR="00E7268A" w:rsidRDefault="00E7268A" w:rsidP="0096704B">
      <w:pPr>
        <w:spacing w:after="0" w:line="240" w:lineRule="auto"/>
      </w:pPr>
      <w:r>
        <w:separator/>
      </w:r>
    </w:p>
  </w:footnote>
  <w:footnote w:type="continuationSeparator" w:id="0">
    <w:p w14:paraId="55215B2E" w14:textId="77777777" w:rsidR="00E7268A" w:rsidRDefault="00E7268A" w:rsidP="0096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5F39" w14:textId="3E4765C7" w:rsidR="0096704B" w:rsidRDefault="0096704B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2CBD74B9" wp14:editId="7B339939">
          <wp:extent cx="1090909" cy="360000"/>
          <wp:effectExtent l="0" t="0" r="0" b="2540"/>
          <wp:docPr id="2122617711" name="Image 2122617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 w:rsidR="0034271D">
      <w:rPr>
        <w:rFonts w:ascii="Verdana" w:hAnsi="Verdana"/>
        <w:b/>
        <w:bCs/>
        <w:sz w:val="20"/>
        <w:szCs w:val="20"/>
      </w:rPr>
      <w:t xml:space="preserve"> </w:t>
    </w:r>
    <w:r w:rsidR="00782616">
      <w:rPr>
        <w:rFonts w:ascii="Verdana" w:hAnsi="Verdana"/>
        <w:b/>
        <w:bCs/>
        <w:sz w:val="20"/>
        <w:szCs w:val="20"/>
      </w:rPr>
      <w:t>3</w:t>
    </w:r>
  </w:p>
  <w:p w14:paraId="45F8CCDF" w14:textId="77777777" w:rsidR="0096704B" w:rsidRDefault="0096704B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55D"/>
    <w:multiLevelType w:val="hybridMultilevel"/>
    <w:tmpl w:val="F7341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72D"/>
    <w:multiLevelType w:val="hybridMultilevel"/>
    <w:tmpl w:val="82EC2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D882A76"/>
    <w:multiLevelType w:val="multilevel"/>
    <w:tmpl w:val="B04C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266A"/>
    <w:multiLevelType w:val="hybridMultilevel"/>
    <w:tmpl w:val="986CE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711A"/>
    <w:multiLevelType w:val="multilevel"/>
    <w:tmpl w:val="7ED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861A7"/>
    <w:multiLevelType w:val="hybridMultilevel"/>
    <w:tmpl w:val="0FB866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6B6D"/>
    <w:multiLevelType w:val="multilevel"/>
    <w:tmpl w:val="F1F4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05475"/>
    <w:multiLevelType w:val="hybridMultilevel"/>
    <w:tmpl w:val="692087EC"/>
    <w:lvl w:ilvl="0" w:tplc="E1FC1254">
      <w:numFmt w:val="bullet"/>
      <w:lvlText w:val="-"/>
      <w:lvlJc w:val="left"/>
      <w:pPr>
        <w:ind w:left="720" w:hanging="360"/>
      </w:pPr>
      <w:rPr>
        <w:rFonts w:ascii="Verdana" w:eastAsiaTheme="majorEastAsia" w:hAnsi="Verdana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D30BE"/>
    <w:multiLevelType w:val="multilevel"/>
    <w:tmpl w:val="59F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47F32"/>
    <w:multiLevelType w:val="multilevel"/>
    <w:tmpl w:val="91F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2716E"/>
    <w:multiLevelType w:val="hybridMultilevel"/>
    <w:tmpl w:val="B204CEE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B0FC2"/>
    <w:multiLevelType w:val="multilevel"/>
    <w:tmpl w:val="5622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218489">
    <w:abstractNumId w:val="2"/>
  </w:num>
  <w:num w:numId="2" w16cid:durableId="1356728711">
    <w:abstractNumId w:val="4"/>
  </w:num>
  <w:num w:numId="3" w16cid:durableId="1895433528">
    <w:abstractNumId w:val="6"/>
  </w:num>
  <w:num w:numId="4" w16cid:durableId="1955937056">
    <w:abstractNumId w:val="2"/>
  </w:num>
  <w:num w:numId="5" w16cid:durableId="887490329">
    <w:abstractNumId w:val="3"/>
  </w:num>
  <w:num w:numId="6" w16cid:durableId="1236473300">
    <w:abstractNumId w:val="2"/>
  </w:num>
  <w:num w:numId="7" w16cid:durableId="1549757694">
    <w:abstractNumId w:val="1"/>
  </w:num>
  <w:num w:numId="8" w16cid:durableId="993485513">
    <w:abstractNumId w:val="7"/>
  </w:num>
  <w:num w:numId="9" w16cid:durableId="1055422736">
    <w:abstractNumId w:val="12"/>
  </w:num>
  <w:num w:numId="10" w16cid:durableId="1174610610">
    <w:abstractNumId w:val="2"/>
  </w:num>
  <w:num w:numId="11" w16cid:durableId="1030647481">
    <w:abstractNumId w:val="11"/>
  </w:num>
  <w:num w:numId="12" w16cid:durableId="1421220407">
    <w:abstractNumId w:val="2"/>
  </w:num>
  <w:num w:numId="13" w16cid:durableId="1498304333">
    <w:abstractNumId w:val="9"/>
  </w:num>
  <w:num w:numId="14" w16cid:durableId="1836991769">
    <w:abstractNumId w:val="5"/>
  </w:num>
  <w:num w:numId="15" w16cid:durableId="1437673045">
    <w:abstractNumId w:val="2"/>
  </w:num>
  <w:num w:numId="16" w16cid:durableId="95295754">
    <w:abstractNumId w:val="10"/>
  </w:num>
  <w:num w:numId="17" w16cid:durableId="1125924770">
    <w:abstractNumId w:val="8"/>
  </w:num>
  <w:num w:numId="18" w16cid:durableId="1143035372">
    <w:abstractNumId w:val="0"/>
  </w:num>
  <w:num w:numId="19" w16cid:durableId="162805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4B"/>
    <w:rsid w:val="00015F24"/>
    <w:rsid w:val="00041CC5"/>
    <w:rsid w:val="00043BB2"/>
    <w:rsid w:val="0005575C"/>
    <w:rsid w:val="00066F58"/>
    <w:rsid w:val="000726A9"/>
    <w:rsid w:val="000A7C06"/>
    <w:rsid w:val="0011781B"/>
    <w:rsid w:val="00130468"/>
    <w:rsid w:val="00155400"/>
    <w:rsid w:val="001568F2"/>
    <w:rsid w:val="001573F5"/>
    <w:rsid w:val="0016249E"/>
    <w:rsid w:val="001711F4"/>
    <w:rsid w:val="001916B6"/>
    <w:rsid w:val="00195974"/>
    <w:rsid w:val="001A1A14"/>
    <w:rsid w:val="001F337D"/>
    <w:rsid w:val="001F48D5"/>
    <w:rsid w:val="001F56AD"/>
    <w:rsid w:val="00233AF0"/>
    <w:rsid w:val="00234699"/>
    <w:rsid w:val="00263D01"/>
    <w:rsid w:val="00271D26"/>
    <w:rsid w:val="00285008"/>
    <w:rsid w:val="002D6895"/>
    <w:rsid w:val="002E7032"/>
    <w:rsid w:val="00301F3C"/>
    <w:rsid w:val="00333C67"/>
    <w:rsid w:val="0034271D"/>
    <w:rsid w:val="003868AF"/>
    <w:rsid w:val="003A32C7"/>
    <w:rsid w:val="003B73F5"/>
    <w:rsid w:val="003C041B"/>
    <w:rsid w:val="003C0548"/>
    <w:rsid w:val="003C48FF"/>
    <w:rsid w:val="003D04B8"/>
    <w:rsid w:val="003D4143"/>
    <w:rsid w:val="003D5515"/>
    <w:rsid w:val="003D5DEF"/>
    <w:rsid w:val="003F4169"/>
    <w:rsid w:val="0041079F"/>
    <w:rsid w:val="00414FBA"/>
    <w:rsid w:val="0042295C"/>
    <w:rsid w:val="0044242B"/>
    <w:rsid w:val="00456ED3"/>
    <w:rsid w:val="00457B9E"/>
    <w:rsid w:val="004617E2"/>
    <w:rsid w:val="004843EC"/>
    <w:rsid w:val="004B1F77"/>
    <w:rsid w:val="00504331"/>
    <w:rsid w:val="005222EB"/>
    <w:rsid w:val="00526F5B"/>
    <w:rsid w:val="005437C1"/>
    <w:rsid w:val="00547AE2"/>
    <w:rsid w:val="00551345"/>
    <w:rsid w:val="005844A3"/>
    <w:rsid w:val="005956F8"/>
    <w:rsid w:val="005B732A"/>
    <w:rsid w:val="005D3E00"/>
    <w:rsid w:val="00600B21"/>
    <w:rsid w:val="00605C3A"/>
    <w:rsid w:val="0060769D"/>
    <w:rsid w:val="00616A9E"/>
    <w:rsid w:val="0063551E"/>
    <w:rsid w:val="00641DB9"/>
    <w:rsid w:val="00664641"/>
    <w:rsid w:val="006830E2"/>
    <w:rsid w:val="00695E0C"/>
    <w:rsid w:val="006B53EC"/>
    <w:rsid w:val="0070455D"/>
    <w:rsid w:val="007060E9"/>
    <w:rsid w:val="00711F9B"/>
    <w:rsid w:val="0074370A"/>
    <w:rsid w:val="00782616"/>
    <w:rsid w:val="007A16B3"/>
    <w:rsid w:val="007A746B"/>
    <w:rsid w:val="007B4002"/>
    <w:rsid w:val="007C55FD"/>
    <w:rsid w:val="007E5FFF"/>
    <w:rsid w:val="007F4CD3"/>
    <w:rsid w:val="00802C8C"/>
    <w:rsid w:val="00806507"/>
    <w:rsid w:val="008119FE"/>
    <w:rsid w:val="00835358"/>
    <w:rsid w:val="008577C2"/>
    <w:rsid w:val="008753B6"/>
    <w:rsid w:val="00883B40"/>
    <w:rsid w:val="008B200B"/>
    <w:rsid w:val="008B70A8"/>
    <w:rsid w:val="009025DC"/>
    <w:rsid w:val="009165E6"/>
    <w:rsid w:val="0093071B"/>
    <w:rsid w:val="00953C12"/>
    <w:rsid w:val="0096704B"/>
    <w:rsid w:val="00980D00"/>
    <w:rsid w:val="00985CE4"/>
    <w:rsid w:val="00986CA9"/>
    <w:rsid w:val="009D05C5"/>
    <w:rsid w:val="009D50CB"/>
    <w:rsid w:val="009F4B73"/>
    <w:rsid w:val="00A13177"/>
    <w:rsid w:val="00A27C9F"/>
    <w:rsid w:val="00A67BF4"/>
    <w:rsid w:val="00A87AF5"/>
    <w:rsid w:val="00AD13EF"/>
    <w:rsid w:val="00AE250B"/>
    <w:rsid w:val="00AE3EF4"/>
    <w:rsid w:val="00B31E11"/>
    <w:rsid w:val="00B57F5E"/>
    <w:rsid w:val="00BA01D7"/>
    <w:rsid w:val="00BA0748"/>
    <w:rsid w:val="00BA65C7"/>
    <w:rsid w:val="00BD52C5"/>
    <w:rsid w:val="00BD6CC2"/>
    <w:rsid w:val="00BE7DF4"/>
    <w:rsid w:val="00C01D08"/>
    <w:rsid w:val="00C064BB"/>
    <w:rsid w:val="00C70DAF"/>
    <w:rsid w:val="00C7115D"/>
    <w:rsid w:val="00CC1BF7"/>
    <w:rsid w:val="00CC6FFF"/>
    <w:rsid w:val="00CD022D"/>
    <w:rsid w:val="00CD0A94"/>
    <w:rsid w:val="00CD277B"/>
    <w:rsid w:val="00D03F36"/>
    <w:rsid w:val="00D13066"/>
    <w:rsid w:val="00D1508B"/>
    <w:rsid w:val="00D5541A"/>
    <w:rsid w:val="00D73367"/>
    <w:rsid w:val="00D84F9E"/>
    <w:rsid w:val="00DE6AC7"/>
    <w:rsid w:val="00DF624B"/>
    <w:rsid w:val="00E25DE0"/>
    <w:rsid w:val="00E31738"/>
    <w:rsid w:val="00E42129"/>
    <w:rsid w:val="00E70445"/>
    <w:rsid w:val="00E7268A"/>
    <w:rsid w:val="00E9315D"/>
    <w:rsid w:val="00EA0B5F"/>
    <w:rsid w:val="00EC659F"/>
    <w:rsid w:val="00EE04A3"/>
    <w:rsid w:val="00EE34A8"/>
    <w:rsid w:val="00F125F8"/>
    <w:rsid w:val="00F12A12"/>
    <w:rsid w:val="00F36CF7"/>
    <w:rsid w:val="00F41608"/>
    <w:rsid w:val="00F53C60"/>
    <w:rsid w:val="00F63BAC"/>
    <w:rsid w:val="00F85A86"/>
    <w:rsid w:val="00FA1AFF"/>
    <w:rsid w:val="00FA509E"/>
    <w:rsid w:val="00FB2F8B"/>
    <w:rsid w:val="00FB52D1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F23"/>
  <w15:chartTrackingRefBased/>
  <w15:docId w15:val="{814FD5E0-1FD5-430E-B348-0CD0311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4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6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0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0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0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0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0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0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04B"/>
    <w:rPr>
      <w:i/>
      <w:iCs/>
      <w:color w:val="404040" w:themeColor="text1" w:themeTint="BF"/>
    </w:rPr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,r2"/>
    <w:basedOn w:val="Normal"/>
    <w:link w:val="ParagraphedelisteCar"/>
    <w:uiPriority w:val="34"/>
    <w:qFormat/>
    <w:rsid w:val="009670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0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0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04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6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04B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6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04B"/>
    <w:rPr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9670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96704B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96704B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96704B"/>
    <w:rPr>
      <w:rFonts w:ascii="Verdana" w:hAnsi="Verdana" w:cs="Calibri"/>
      <w:kern w:val="0"/>
      <w:sz w:val="20"/>
      <w:szCs w:val="20"/>
      <w:lang w:val="fr-FR"/>
      <w14:ligatures w14:val="none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34"/>
    <w:qFormat/>
    <w:rsid w:val="0096704B"/>
  </w:style>
  <w:style w:type="character" w:customStyle="1" w:styleId="TitrepartieCar">
    <w:name w:val="Titre partie Car"/>
    <w:basedOn w:val="ParagraphedelisteCar"/>
    <w:link w:val="Titrepartie"/>
    <w:rsid w:val="0096704B"/>
    <w:rPr>
      <w:rFonts w:ascii="Verdana" w:hAnsi="Verdana" w:cs="Calibri"/>
      <w:b/>
      <w:bCs/>
      <w:color w:val="0070C0"/>
      <w:kern w:val="0"/>
      <w:sz w:val="22"/>
      <w:szCs w:val="20"/>
      <w:lang w:val="fr-FR"/>
      <w14:ligatures w14:val="none"/>
    </w:rPr>
  </w:style>
  <w:style w:type="paragraph" w:customStyle="1" w:styleId="Sous-partie2">
    <w:name w:val="Sous-partie 2"/>
    <w:basedOn w:val="Paragraphedeliste"/>
    <w:link w:val="Sous-partie2Car"/>
    <w:qFormat/>
    <w:rsid w:val="0096704B"/>
    <w:pPr>
      <w:numPr>
        <w:ilvl w:val="1"/>
        <w:numId w:val="1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Sous-partie2Car">
    <w:name w:val="Sous-partie 2 Car"/>
    <w:basedOn w:val="ParagraphedelisteCar"/>
    <w:link w:val="Sous-partie2"/>
    <w:rsid w:val="0096704B"/>
    <w:rPr>
      <w:rFonts w:ascii="Verdana" w:hAnsi="Verdana" w:cs="Calibri"/>
      <w:color w:val="0070C0"/>
      <w:kern w:val="0"/>
      <w:sz w:val="20"/>
      <w:szCs w:val="20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6704B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704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704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6704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41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1C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1CC5"/>
    <w:rPr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1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1CC5"/>
    <w:rPr>
      <w:b/>
      <w:bCs/>
      <w:kern w:val="0"/>
      <w:sz w:val="20"/>
      <w:szCs w:val="20"/>
      <w:lang w:val="fr-FR"/>
      <w14:ligatures w14:val="none"/>
    </w:rPr>
  </w:style>
  <w:style w:type="paragraph" w:customStyle="1" w:styleId="ds-markdown-paragraph">
    <w:name w:val="ds-markdown-paragraph"/>
    <w:basedOn w:val="Normal"/>
    <w:rsid w:val="00A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13177"/>
    <w:rPr>
      <w:b/>
      <w:bCs/>
    </w:rPr>
  </w:style>
  <w:style w:type="paragraph" w:styleId="Rvision">
    <w:name w:val="Revision"/>
    <w:hidden/>
    <w:uiPriority w:val="99"/>
    <w:semiHidden/>
    <w:rsid w:val="004617E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A1BC-8878-4C26-8477-D7B77F58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4535</Characters>
  <Application>Microsoft Office Word</Application>
  <DocSecurity>0</DocSecurity>
  <Lines>90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Alihasina RAKOTONDRAMANANA</dc:creator>
  <cp:keywords/>
  <dc:description/>
  <cp:lastModifiedBy>Gilles RIBOUET</cp:lastModifiedBy>
  <cp:revision>2</cp:revision>
  <dcterms:created xsi:type="dcterms:W3CDTF">2026-05-18T05:27:00Z</dcterms:created>
  <dcterms:modified xsi:type="dcterms:W3CDTF">2026-05-18T05:27:00Z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f655f0e1-9fa3-4657-9eb9-95ce994a0843</vt:lpwstr>
  </property>
</Properties>
</file>