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1808" w14:textId="77777777" w:rsidR="001E06E2" w:rsidRDefault="001E06E2" w:rsidP="00854EEA">
      <w:pPr>
        <w:jc w:val="center"/>
        <w:rPr>
          <w:rFonts w:ascii="Verdana" w:hAnsi="Verdana"/>
          <w:b/>
          <w:bCs/>
          <w:sz w:val="2"/>
          <w:szCs w:val="2"/>
        </w:rPr>
      </w:pPr>
    </w:p>
    <w:p w14:paraId="6F7F88B2" w14:textId="09DBD160" w:rsidR="00C12C93" w:rsidRPr="00816DAC" w:rsidRDefault="000F5D8C" w:rsidP="00854EEA">
      <w:pPr>
        <w:jc w:val="center"/>
        <w:rPr>
          <w:rFonts w:ascii="Verdana" w:hAnsi="Verdana"/>
          <w:b/>
          <w:bCs/>
          <w:sz w:val="2"/>
          <w:szCs w:val="2"/>
        </w:rPr>
      </w:pPr>
      <w:r>
        <w:rPr>
          <w:rFonts w:ascii="Verdana" w:hAnsi="Verdana"/>
          <w:b/>
          <w:bCs/>
          <w:sz w:val="2"/>
          <w:szCs w:val="2"/>
        </w:rPr>
        <w:t>2</w:t>
      </w:r>
      <w:r w:rsidR="00427960">
        <w:rPr>
          <w:rFonts w:ascii="Verdana" w:hAnsi="Verdana"/>
          <w:b/>
          <w:bCs/>
          <w:sz w:val="2"/>
          <w:szCs w:val="2"/>
        </w:rPr>
        <w:t>E</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31439BD8" w:rsidR="00EC22CC" w:rsidRDefault="00682D3E" w:rsidP="00854EEA">
            <w:pPr>
              <w:jc w:val="center"/>
              <w:rPr>
                <w:rFonts w:ascii="Verdana" w:hAnsi="Verdana"/>
                <w:b/>
                <w:bCs/>
                <w:sz w:val="20"/>
                <w:szCs w:val="20"/>
              </w:rPr>
            </w:pPr>
            <w:r>
              <w:rPr>
                <w:rFonts w:ascii="Verdana" w:hAnsi="Verdana"/>
                <w:b/>
                <w:bCs/>
                <w:sz w:val="20"/>
                <w:szCs w:val="20"/>
              </w:rPr>
              <w:t>Réduction des risques de catastrophes</w:t>
            </w:r>
          </w:p>
        </w:tc>
      </w:tr>
      <w:tr w:rsidR="00EC22CC" w14:paraId="7F1B63D2" w14:textId="77777777" w:rsidTr="002A0933">
        <w:tc>
          <w:tcPr>
            <w:tcW w:w="7225" w:type="dxa"/>
          </w:tcPr>
          <w:p w14:paraId="056D9B10" w14:textId="1A30904C" w:rsidR="00EC22CC" w:rsidRPr="002A096E" w:rsidRDefault="00C471FC" w:rsidP="002A096E">
            <w:pPr>
              <w:rPr>
                <w:rFonts w:ascii="Verdana" w:hAnsi="Verdana"/>
                <w:sz w:val="20"/>
                <w:szCs w:val="20"/>
              </w:rPr>
            </w:pPr>
            <w:r>
              <w:rPr>
                <w:rFonts w:ascii="Verdana" w:hAnsi="Verdana"/>
                <w:sz w:val="20"/>
                <w:szCs w:val="20"/>
              </w:rPr>
              <w:t>Comité des OPL n°0</w:t>
            </w:r>
            <w:r w:rsidR="00A37110">
              <w:rPr>
                <w:rFonts w:ascii="Verdana" w:hAnsi="Verdana"/>
                <w:sz w:val="20"/>
                <w:szCs w:val="20"/>
              </w:rPr>
              <w:t>2</w:t>
            </w:r>
            <w:r>
              <w:rPr>
                <w:rFonts w:ascii="Verdana" w:hAnsi="Verdana"/>
                <w:sz w:val="20"/>
                <w:szCs w:val="20"/>
              </w:rPr>
              <w:t>/202</w:t>
            </w:r>
            <w:r w:rsidR="002175AF">
              <w:rPr>
                <w:rFonts w:ascii="Verdana" w:hAnsi="Verdana"/>
                <w:sz w:val="20"/>
                <w:szCs w:val="20"/>
              </w:rPr>
              <w:t>6</w:t>
            </w:r>
            <w:r>
              <w:rPr>
                <w:rFonts w:ascii="Verdana" w:hAnsi="Verdana"/>
                <w:sz w:val="20"/>
                <w:szCs w:val="20"/>
              </w:rPr>
              <w:t xml:space="preserve"> | </w:t>
            </w:r>
            <w:r w:rsidR="00A37110">
              <w:rPr>
                <w:rFonts w:ascii="Verdana" w:hAnsi="Verdana"/>
                <w:sz w:val="20"/>
                <w:szCs w:val="20"/>
              </w:rPr>
              <w:t>05-07</w:t>
            </w:r>
            <w:r w:rsidR="00C362AF">
              <w:rPr>
                <w:rFonts w:ascii="Verdana" w:hAnsi="Verdana"/>
                <w:sz w:val="20"/>
                <w:szCs w:val="20"/>
              </w:rPr>
              <w:t xml:space="preserve"> mai 20</w:t>
            </w:r>
            <w:r w:rsidR="002175AF">
              <w:rPr>
                <w:rFonts w:ascii="Verdana" w:hAnsi="Verdana"/>
                <w:sz w:val="20"/>
                <w:szCs w:val="20"/>
              </w:rPr>
              <w:t>26</w:t>
            </w:r>
            <w:r>
              <w:rPr>
                <w:rFonts w:ascii="Verdana" w:hAnsi="Verdana"/>
                <w:sz w:val="20"/>
                <w:szCs w:val="20"/>
              </w:rPr>
              <w:t xml:space="preserve">, </w:t>
            </w:r>
            <w:r w:rsidR="000F5D8C">
              <w:rPr>
                <w:rFonts w:ascii="Verdana" w:hAnsi="Verdana"/>
                <w:sz w:val="20"/>
                <w:szCs w:val="20"/>
              </w:rPr>
              <w:t>Maurice</w:t>
            </w:r>
          </w:p>
        </w:tc>
        <w:tc>
          <w:tcPr>
            <w:tcW w:w="1837" w:type="dxa"/>
          </w:tcPr>
          <w:p w14:paraId="58E25D1F" w14:textId="3B8E43D8" w:rsidR="00EC22CC" w:rsidRPr="002A0933" w:rsidRDefault="002A096E" w:rsidP="00854EEA">
            <w:pPr>
              <w:jc w:val="center"/>
              <w:rPr>
                <w:rFonts w:ascii="Verdana" w:hAnsi="Verdana"/>
                <w:sz w:val="20"/>
                <w:szCs w:val="20"/>
              </w:rPr>
            </w:pPr>
            <w:r w:rsidRPr="002A0933">
              <w:rPr>
                <w:rFonts w:ascii="Verdana" w:hAnsi="Verdana"/>
                <w:sz w:val="20"/>
                <w:szCs w:val="20"/>
              </w:rPr>
              <w:t>Point</w:t>
            </w:r>
            <w:r w:rsidR="00C144E8">
              <w:rPr>
                <w:rFonts w:ascii="Verdana" w:hAnsi="Verdana"/>
                <w:sz w:val="20"/>
                <w:szCs w:val="20"/>
              </w:rPr>
              <w:t xml:space="preserve"> </w:t>
            </w:r>
            <w:r w:rsidR="000F5D8C">
              <w:rPr>
                <w:rFonts w:ascii="Verdana" w:hAnsi="Verdana"/>
                <w:sz w:val="20"/>
                <w:szCs w:val="20"/>
              </w:rPr>
              <w:t>2.1</w:t>
            </w:r>
            <w:r w:rsidR="00682D3E">
              <w:rPr>
                <w:rFonts w:ascii="Verdana" w:hAnsi="Verdana"/>
                <w:sz w:val="20"/>
                <w:szCs w:val="20"/>
              </w:rPr>
              <w:t>2</w:t>
            </w:r>
            <w:r w:rsidR="00C2045B">
              <w:rPr>
                <w:rFonts w:ascii="Verdana" w:hAnsi="Verdana"/>
                <w:sz w:val="20"/>
                <w:szCs w:val="20"/>
              </w:rPr>
              <w:t>.</w:t>
            </w:r>
          </w:p>
        </w:tc>
      </w:tr>
      <w:tr w:rsidR="00C2045B" w14:paraId="537D1DE5" w14:textId="77777777" w:rsidTr="00565904">
        <w:tc>
          <w:tcPr>
            <w:tcW w:w="9062" w:type="dxa"/>
            <w:gridSpan w:val="2"/>
          </w:tcPr>
          <w:p w14:paraId="5AC1AFAB" w14:textId="166EEA28" w:rsidR="00C2045B" w:rsidRPr="000F5D8C" w:rsidRDefault="00C2045B" w:rsidP="00C2045B">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b/>
                <w:bCs/>
                <w:sz w:val="20"/>
                <w:szCs w:val="20"/>
              </w:rPr>
              <w:t>Gina Bonne</w:t>
            </w:r>
            <w:r>
              <w:rPr>
                <w:rFonts w:ascii="Verdana" w:hAnsi="Verdana"/>
                <w:sz w:val="20"/>
                <w:szCs w:val="20"/>
              </w:rPr>
              <w:t xml:space="preserve">, chargée de mission DI-4, </w:t>
            </w:r>
          </w:p>
        </w:tc>
      </w:tr>
      <w:tr w:rsidR="00A90305" w14:paraId="6896DB30" w14:textId="77777777" w:rsidTr="009F5233">
        <w:tc>
          <w:tcPr>
            <w:tcW w:w="9062" w:type="dxa"/>
            <w:gridSpan w:val="2"/>
          </w:tcPr>
          <w:p w14:paraId="0495241B" w14:textId="50B638E2" w:rsidR="00A90305" w:rsidRDefault="00A90305" w:rsidP="00A90305">
            <w:pPr>
              <w:rPr>
                <w:rFonts w:ascii="Verdana" w:hAnsi="Verdana"/>
                <w:sz w:val="20"/>
                <w:szCs w:val="20"/>
              </w:rPr>
            </w:pPr>
            <w:r>
              <w:rPr>
                <w:rFonts w:ascii="Verdana" w:hAnsi="Verdana"/>
                <w:i/>
                <w:iCs/>
                <w:sz w:val="20"/>
                <w:szCs w:val="20"/>
              </w:rPr>
              <w:t xml:space="preserve">Version du </w:t>
            </w:r>
            <w:r w:rsidR="00C2045B">
              <w:rPr>
                <w:rFonts w:ascii="Verdana" w:hAnsi="Verdana"/>
                <w:i/>
                <w:iCs/>
                <w:sz w:val="20"/>
                <w:szCs w:val="20"/>
              </w:rPr>
              <w:t>3</w:t>
            </w:r>
            <w:r w:rsidR="0026645E">
              <w:rPr>
                <w:rFonts w:ascii="Verdana" w:hAnsi="Verdana"/>
                <w:i/>
                <w:iCs/>
                <w:sz w:val="20"/>
                <w:szCs w:val="20"/>
              </w:rPr>
              <w:t>0</w:t>
            </w:r>
            <w:r w:rsidR="00427960">
              <w:rPr>
                <w:rFonts w:ascii="Verdana" w:hAnsi="Verdana"/>
                <w:i/>
                <w:iCs/>
                <w:sz w:val="20"/>
                <w:szCs w:val="20"/>
              </w:rPr>
              <w:t>/</w:t>
            </w:r>
            <w:r w:rsidR="002175AF">
              <w:rPr>
                <w:rFonts w:ascii="Verdana" w:hAnsi="Verdana"/>
                <w:i/>
                <w:iCs/>
                <w:sz w:val="20"/>
                <w:szCs w:val="20"/>
              </w:rPr>
              <w:t>04</w:t>
            </w:r>
            <w:r w:rsidR="00427960">
              <w:rPr>
                <w:rFonts w:ascii="Verdana" w:hAnsi="Verdana"/>
                <w:i/>
                <w:iCs/>
                <w:sz w:val="20"/>
                <w:szCs w:val="20"/>
              </w:rPr>
              <w:t>/2</w:t>
            </w:r>
            <w:r w:rsidR="002175AF">
              <w:rPr>
                <w:rFonts w:ascii="Verdana" w:hAnsi="Verdana"/>
                <w:i/>
                <w:iCs/>
                <w:sz w:val="20"/>
                <w:szCs w:val="20"/>
              </w:rPr>
              <w:t>6</w:t>
            </w:r>
            <w:r w:rsidR="00427960">
              <w:rPr>
                <w:rFonts w:ascii="Verdana" w:hAnsi="Verdana"/>
                <w:i/>
                <w:iCs/>
                <w:sz w:val="20"/>
                <w:szCs w:val="20"/>
              </w:rPr>
              <w:t xml:space="preserve"> </w:t>
            </w:r>
          </w:p>
        </w:tc>
      </w:tr>
    </w:tbl>
    <w:p w14:paraId="1EE47A0F" w14:textId="5E9C9425" w:rsidR="00682D3E" w:rsidRDefault="00682D3E" w:rsidP="00682D3E">
      <w:pPr>
        <w:pStyle w:val="paragraph"/>
        <w:spacing w:before="0" w:beforeAutospacing="0" w:after="0" w:afterAutospacing="0"/>
        <w:jc w:val="both"/>
        <w:textAlignment w:val="baseline"/>
        <w:rPr>
          <w:rFonts w:ascii="Segoe UI" w:hAnsi="Segoe UI" w:cs="Segoe UI"/>
          <w:sz w:val="18"/>
          <w:szCs w:val="18"/>
        </w:rPr>
      </w:pPr>
    </w:p>
    <w:p w14:paraId="3E2B4826" w14:textId="37EC266F" w:rsidR="00682D3E" w:rsidRPr="00682D3E" w:rsidRDefault="00682D3E" w:rsidP="00682D3E">
      <w:pPr>
        <w:pStyle w:val="Titrepartie"/>
      </w:pPr>
      <w:r w:rsidRPr="00682D3E">
        <w:rPr>
          <w:rStyle w:val="normaltextrun"/>
          <w:rFonts w:ascii="Calibri" w:hAnsi="Calibri"/>
          <w:color w:val="0F6FC6"/>
          <w:sz w:val="28"/>
          <w:szCs w:val="28"/>
        </w:rPr>
        <w:t>Résumé </w:t>
      </w:r>
    </w:p>
    <w:p w14:paraId="1D7BA436" w14:textId="4B6E4111"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Le renforcement de la résilience, inscrit comme l’un des piliers du Plan de développement stratégique 2023-2030, est au cœur de plusieurs initiatives mises en œuvre par la COI au bénéfice de ses États membres, en particulier pour faire face aux catastrophes. La région du </w:t>
      </w:r>
      <w:r w:rsidR="00D10F58">
        <w:rPr>
          <w:rStyle w:val="normaltextrun"/>
          <w:rFonts w:ascii="Verdana" w:hAnsi="Verdana" w:cs="Segoe UI"/>
          <w:sz w:val="20"/>
          <w:szCs w:val="20"/>
        </w:rPr>
        <w:t>S</w:t>
      </w:r>
      <w:r>
        <w:rPr>
          <w:rStyle w:val="normaltextrun"/>
          <w:rFonts w:ascii="Verdana" w:hAnsi="Verdana" w:cs="Segoe UI"/>
          <w:sz w:val="20"/>
          <w:szCs w:val="20"/>
        </w:rPr>
        <w:t>ud-</w:t>
      </w:r>
      <w:r w:rsidR="00D10F58">
        <w:rPr>
          <w:rStyle w:val="normaltextrun"/>
          <w:rFonts w:ascii="Verdana" w:hAnsi="Verdana" w:cs="Segoe UI"/>
          <w:sz w:val="20"/>
          <w:szCs w:val="20"/>
        </w:rPr>
        <w:t>O</w:t>
      </w:r>
      <w:r>
        <w:rPr>
          <w:rStyle w:val="normaltextrun"/>
          <w:rFonts w:ascii="Verdana" w:hAnsi="Verdana" w:cs="Segoe UI"/>
          <w:sz w:val="20"/>
          <w:szCs w:val="20"/>
        </w:rPr>
        <w:t>uest de l’océan Indien reste fortement exposée à des aléas majeurs tels que des cyclones tropicaux plus fréquents et plus intenses, des précipitations extrêmes, des épisodes de sécheresses prolongées et des inondations côtières récurrentes, mettant à rude épreuve les capacités de préparation et de réponse. Ces événements endommagent régulièrement les infrastructures critiques, perturbent les services essentiels et les chaînes d’approvisionnement, et compromettent les progrès socio-économiques. </w:t>
      </w:r>
    </w:p>
    <w:p w14:paraId="2B576D42" w14:textId="6D302F44"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Au-delà de </w:t>
      </w:r>
      <w:r w:rsidR="00D10F58">
        <w:rPr>
          <w:rStyle w:val="normaltextrun"/>
          <w:rFonts w:ascii="Verdana" w:hAnsi="Verdana" w:cs="Segoe UI"/>
          <w:sz w:val="20"/>
          <w:szCs w:val="20"/>
        </w:rPr>
        <w:t>c</w:t>
      </w:r>
      <w:r>
        <w:rPr>
          <w:rStyle w:val="normaltextrun"/>
          <w:rFonts w:ascii="Verdana" w:hAnsi="Verdana" w:cs="Segoe UI"/>
          <w:sz w:val="20"/>
          <w:szCs w:val="20"/>
        </w:rPr>
        <w:t>es risques climatique</w:t>
      </w:r>
      <w:r w:rsidR="00D10F58">
        <w:rPr>
          <w:rStyle w:val="normaltextrun"/>
          <w:rFonts w:ascii="Verdana" w:hAnsi="Verdana" w:cs="Segoe UI"/>
          <w:sz w:val="20"/>
          <w:szCs w:val="20"/>
        </w:rPr>
        <w:t>s</w:t>
      </w:r>
      <w:r>
        <w:rPr>
          <w:rStyle w:val="normaltextrun"/>
          <w:rFonts w:ascii="Verdana" w:hAnsi="Verdana" w:cs="Segoe UI"/>
          <w:sz w:val="20"/>
          <w:szCs w:val="20"/>
        </w:rPr>
        <w:t xml:space="preserve">, </w:t>
      </w:r>
      <w:r w:rsidR="004F2FD6">
        <w:rPr>
          <w:rStyle w:val="normaltextrun"/>
          <w:rFonts w:ascii="Verdana" w:hAnsi="Verdana" w:cs="Segoe UI"/>
          <w:sz w:val="20"/>
          <w:szCs w:val="20"/>
        </w:rPr>
        <w:t xml:space="preserve">nos pays font face à </w:t>
      </w:r>
      <w:r>
        <w:rPr>
          <w:rStyle w:val="normaltextrun"/>
          <w:rFonts w:ascii="Verdana" w:hAnsi="Verdana" w:cs="Segoe UI"/>
          <w:sz w:val="20"/>
          <w:szCs w:val="20"/>
        </w:rPr>
        <w:t>d’autres type</w:t>
      </w:r>
      <w:r w:rsidR="00D10F58">
        <w:rPr>
          <w:rStyle w:val="normaltextrun"/>
          <w:rFonts w:ascii="Verdana" w:hAnsi="Verdana" w:cs="Segoe UI"/>
          <w:sz w:val="20"/>
          <w:szCs w:val="20"/>
        </w:rPr>
        <w:t>s</w:t>
      </w:r>
      <w:r>
        <w:rPr>
          <w:rStyle w:val="normaltextrun"/>
          <w:rFonts w:ascii="Verdana" w:hAnsi="Verdana" w:cs="Segoe UI"/>
          <w:sz w:val="20"/>
          <w:szCs w:val="20"/>
        </w:rPr>
        <w:t xml:space="preserve"> de risques tel</w:t>
      </w:r>
      <w:r w:rsidR="004F2FD6">
        <w:rPr>
          <w:rStyle w:val="normaltextrun"/>
          <w:rFonts w:ascii="Verdana" w:hAnsi="Verdana" w:cs="Segoe UI"/>
          <w:sz w:val="20"/>
          <w:szCs w:val="20"/>
        </w:rPr>
        <w:t>s</w:t>
      </w:r>
      <w:r>
        <w:rPr>
          <w:rStyle w:val="normaltextrun"/>
          <w:rFonts w:ascii="Verdana" w:hAnsi="Verdana" w:cs="Segoe UI"/>
          <w:sz w:val="20"/>
          <w:szCs w:val="20"/>
        </w:rPr>
        <w:t xml:space="preserve"> que </w:t>
      </w:r>
      <w:r w:rsidR="004F2FD6">
        <w:rPr>
          <w:rStyle w:val="normaltextrun"/>
          <w:rFonts w:ascii="Verdana" w:hAnsi="Verdana" w:cs="Segoe UI"/>
          <w:sz w:val="20"/>
          <w:szCs w:val="20"/>
        </w:rPr>
        <w:t xml:space="preserve">les risques </w:t>
      </w:r>
      <w:r>
        <w:rPr>
          <w:rStyle w:val="normaltextrun"/>
          <w:rFonts w:ascii="Verdana" w:hAnsi="Verdana" w:cs="Segoe UI"/>
          <w:sz w:val="20"/>
          <w:szCs w:val="20"/>
        </w:rPr>
        <w:t>sanitaire</w:t>
      </w:r>
      <w:r w:rsidR="004F2FD6">
        <w:rPr>
          <w:rStyle w:val="normaltextrun"/>
          <w:rFonts w:ascii="Verdana" w:hAnsi="Verdana" w:cs="Segoe UI"/>
          <w:sz w:val="20"/>
          <w:szCs w:val="20"/>
        </w:rPr>
        <w:t>s, les risques d’</w:t>
      </w:r>
      <w:r>
        <w:rPr>
          <w:rStyle w:val="normaltextrun"/>
          <w:rFonts w:ascii="Verdana" w:hAnsi="Verdana" w:cs="Segoe UI"/>
          <w:sz w:val="20"/>
          <w:szCs w:val="20"/>
        </w:rPr>
        <w:t xml:space="preserve">incendie et </w:t>
      </w:r>
      <w:r w:rsidR="004F2FD6">
        <w:rPr>
          <w:rStyle w:val="normaltextrun"/>
          <w:rFonts w:ascii="Verdana" w:hAnsi="Verdana" w:cs="Segoe UI"/>
          <w:sz w:val="20"/>
          <w:szCs w:val="20"/>
        </w:rPr>
        <w:t xml:space="preserve">de </w:t>
      </w:r>
      <w:r>
        <w:rPr>
          <w:rStyle w:val="normaltextrun"/>
          <w:rFonts w:ascii="Verdana" w:hAnsi="Verdana" w:cs="Segoe UI"/>
          <w:sz w:val="20"/>
          <w:szCs w:val="20"/>
        </w:rPr>
        <w:t>pollution. </w:t>
      </w:r>
    </w:p>
    <w:p w14:paraId="540734F2" w14:textId="37C07E97"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Grâce au </w:t>
      </w:r>
      <w:r w:rsidRPr="001D04B5">
        <w:rPr>
          <w:rStyle w:val="normaltextrun"/>
          <w:rFonts w:ascii="Verdana" w:hAnsi="Verdana" w:cs="Segoe UI"/>
          <w:b/>
          <w:bCs/>
          <w:sz w:val="20"/>
          <w:szCs w:val="20"/>
        </w:rPr>
        <w:t>programme RDRM</w:t>
      </w:r>
      <w:r w:rsidR="004067F4" w:rsidRPr="001D04B5">
        <w:rPr>
          <w:rStyle w:val="normaltextrun"/>
          <w:rFonts w:ascii="Verdana" w:hAnsi="Verdana" w:cs="Segoe UI"/>
          <w:b/>
          <w:bCs/>
          <w:sz w:val="20"/>
          <w:szCs w:val="20"/>
        </w:rPr>
        <w:t xml:space="preserve"> financé par l’Union européenne</w:t>
      </w:r>
      <w:r w:rsidRPr="001D04B5">
        <w:rPr>
          <w:rStyle w:val="normaltextrun"/>
          <w:rFonts w:ascii="Verdana" w:hAnsi="Verdana" w:cs="Segoe UI"/>
          <w:b/>
          <w:bCs/>
          <w:sz w:val="20"/>
          <w:szCs w:val="20"/>
        </w:rPr>
        <w:t>, la COI a posé les bases d’une coopération régionale renforcée en matière de réduction des risques de catastrophes en mettant en réseau les services nationaux de gestion des catastrophes</w:t>
      </w:r>
      <w:r>
        <w:rPr>
          <w:rStyle w:val="normaltextrun"/>
          <w:rFonts w:ascii="Verdana" w:hAnsi="Verdana" w:cs="Segoe UI"/>
          <w:sz w:val="20"/>
          <w:szCs w:val="20"/>
        </w:rPr>
        <w:t xml:space="preserve">. Ce programme a également favorisé le partage de connaissances et d’expériences entre les différents acteurs de la réduction des risques de catastrophes via différentes activités régionales. Il a aussi contribué à la création de groupes de travail techniques afin d’alimenter la réflexion collective et de promouvoir des actions conjointes, notamment sur la résilience urbaine et l’utilisation des services climatiques pour renforcer la préparation. Malgré les avancées enregistrées, beaucoup de ces résultats doivent être consolidés, en s’appuyant notamment sur un réseau de partenaires tels que </w:t>
      </w:r>
      <w:r w:rsidR="00673345">
        <w:rPr>
          <w:rStyle w:val="normaltextrun"/>
          <w:rFonts w:ascii="Verdana" w:hAnsi="Verdana" w:cs="Segoe UI"/>
          <w:sz w:val="20"/>
          <w:szCs w:val="20"/>
        </w:rPr>
        <w:t>le bureau des Nations unies pour la réduction des risques de catastrophes (</w:t>
      </w:r>
      <w:r>
        <w:rPr>
          <w:rStyle w:val="normaltextrun"/>
          <w:rFonts w:ascii="Verdana" w:hAnsi="Verdana" w:cs="Segoe UI"/>
          <w:sz w:val="20"/>
          <w:szCs w:val="20"/>
        </w:rPr>
        <w:t>UNDRR</w:t>
      </w:r>
      <w:r w:rsidR="00673345">
        <w:rPr>
          <w:rStyle w:val="normaltextrun"/>
          <w:rFonts w:ascii="Verdana" w:hAnsi="Verdana" w:cs="Segoe UI"/>
          <w:sz w:val="20"/>
          <w:szCs w:val="20"/>
        </w:rPr>
        <w:t>)</w:t>
      </w:r>
      <w:r>
        <w:rPr>
          <w:rStyle w:val="normaltextrun"/>
          <w:rFonts w:ascii="Verdana" w:hAnsi="Verdana" w:cs="Segoe UI"/>
          <w:sz w:val="20"/>
          <w:szCs w:val="20"/>
        </w:rPr>
        <w:t xml:space="preserve">, UN-Habitat, </w:t>
      </w:r>
      <w:r w:rsidR="00673345">
        <w:rPr>
          <w:rStyle w:val="normaltextrun"/>
          <w:rFonts w:ascii="Verdana" w:hAnsi="Verdana" w:cs="Segoe UI"/>
          <w:sz w:val="20"/>
          <w:szCs w:val="20"/>
        </w:rPr>
        <w:t>PNUD</w:t>
      </w:r>
      <w:r>
        <w:rPr>
          <w:rStyle w:val="normaltextrun"/>
          <w:rFonts w:ascii="Verdana" w:hAnsi="Verdana" w:cs="Segoe UI"/>
          <w:sz w:val="20"/>
          <w:szCs w:val="20"/>
        </w:rPr>
        <w:t>, T</w:t>
      </w:r>
      <w:proofErr w:type="spellStart"/>
      <w:r>
        <w:rPr>
          <w:rStyle w:val="normaltextrun"/>
          <w:rFonts w:ascii="Verdana" w:hAnsi="Verdana" w:cs="Segoe UI"/>
          <w:sz w:val="20"/>
          <w:szCs w:val="20"/>
        </w:rPr>
        <w:t>etraTech</w:t>
      </w:r>
      <w:proofErr w:type="spellEnd"/>
      <w:r>
        <w:rPr>
          <w:rStyle w:val="normaltextrun"/>
          <w:rFonts w:ascii="Verdana" w:hAnsi="Verdana" w:cs="Segoe UI"/>
          <w:sz w:val="20"/>
          <w:szCs w:val="20"/>
        </w:rPr>
        <w:t>, l’Ordre de Malte, la PIROI</w:t>
      </w:r>
      <w:r w:rsidR="00673345">
        <w:rPr>
          <w:rStyle w:val="normaltextrun"/>
          <w:rFonts w:ascii="Verdana" w:hAnsi="Verdana" w:cs="Segoe UI"/>
          <w:sz w:val="20"/>
          <w:szCs w:val="20"/>
        </w:rPr>
        <w:t>,</w:t>
      </w:r>
      <w:r>
        <w:rPr>
          <w:rStyle w:val="normaltextrun"/>
          <w:rFonts w:ascii="Verdana" w:hAnsi="Verdana" w:cs="Segoe UI"/>
          <w:sz w:val="20"/>
          <w:szCs w:val="20"/>
        </w:rPr>
        <w:t> etc.</w:t>
      </w:r>
    </w:p>
    <w:p w14:paraId="33871C0E" w14:textId="417801FF"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À l’issue du dernier comité de pilotage du programme RDRM, tenu le 13 mars, les membres ont partagé un constat unanime. Malgré un financement relativement limité, </w:t>
      </w:r>
      <w:r w:rsidRPr="001D04B5">
        <w:rPr>
          <w:rStyle w:val="normaltextrun"/>
          <w:rFonts w:ascii="Verdana" w:hAnsi="Verdana" w:cs="Segoe UI"/>
          <w:b/>
          <w:bCs/>
          <w:sz w:val="20"/>
          <w:szCs w:val="20"/>
        </w:rPr>
        <w:t>le programme</w:t>
      </w:r>
      <w:r w:rsidR="001D04B5" w:rsidRPr="001D04B5">
        <w:rPr>
          <w:rStyle w:val="normaltextrun"/>
          <w:rFonts w:ascii="Verdana" w:hAnsi="Verdana" w:cs="Segoe UI"/>
          <w:b/>
          <w:bCs/>
          <w:sz w:val="20"/>
          <w:szCs w:val="20"/>
        </w:rPr>
        <w:t xml:space="preserve"> RDRM</w:t>
      </w:r>
      <w:r w:rsidRPr="001D04B5">
        <w:rPr>
          <w:rStyle w:val="normaltextrun"/>
          <w:rFonts w:ascii="Verdana" w:hAnsi="Verdana" w:cs="Segoe UI"/>
          <w:b/>
          <w:bCs/>
          <w:sz w:val="20"/>
          <w:szCs w:val="20"/>
        </w:rPr>
        <w:t xml:space="preserve"> a apporté un appui structurel et opérationnel substantiel aux acteurs de la réduction des risques de catastrophes</w:t>
      </w:r>
      <w:r>
        <w:rPr>
          <w:rStyle w:val="normaltextrun"/>
          <w:rFonts w:ascii="Verdana" w:hAnsi="Verdana" w:cs="Segoe UI"/>
          <w:sz w:val="20"/>
          <w:szCs w:val="20"/>
        </w:rPr>
        <w:t xml:space="preserve"> dans la région. Les cérémonies officielles de remise d’équipements du projet RDRM, organisées en février à Madagascar et en avril aux Seychelles, ont été des occasions solennelles pour faire le point sur les réalisations du programme dans ces pays. Des cérémonies similaires sont prévues à Maurice en mai et aux Comores en juin, en marge du Conseil des ministres. </w:t>
      </w:r>
    </w:p>
    <w:p w14:paraId="614C0D64" w14:textId="139E16D5" w:rsidR="00682D3E" w:rsidRDefault="00682D3E" w:rsidP="00682D3E">
      <w:pPr>
        <w:pStyle w:val="paragraph"/>
        <w:spacing w:before="0" w:beforeAutospacing="0" w:after="0" w:afterAutospacing="0"/>
        <w:jc w:val="both"/>
        <w:textAlignment w:val="baseline"/>
        <w:rPr>
          <w:rStyle w:val="eop"/>
          <w:rFonts w:ascii="Verdana" w:hAnsi="Verdana" w:cs="Segoe UI"/>
          <w:sz w:val="20"/>
          <w:szCs w:val="20"/>
          <w:bdr w:val="none" w:sz="0" w:space="0" w:color="auto" w:frame="1"/>
          <w:shd w:val="clear" w:color="auto" w:fill="C6C6C6"/>
        </w:rPr>
      </w:pPr>
      <w:r>
        <w:rPr>
          <w:rStyle w:val="normaltextrun"/>
          <w:rFonts w:ascii="Verdana" w:hAnsi="Verdana" w:cs="Segoe UI"/>
          <w:sz w:val="20"/>
          <w:szCs w:val="20"/>
          <w:lang w:val="fr-CI"/>
        </w:rPr>
        <w:t xml:space="preserve">À l’approche de la clôture du programme RDRM, prévue le 13 mai 2026, cette fiche met en lumière les perspectives visant à </w:t>
      </w:r>
      <w:r w:rsidRPr="00207084">
        <w:rPr>
          <w:rStyle w:val="normaltextrun"/>
          <w:rFonts w:ascii="Verdana" w:hAnsi="Verdana" w:cs="Segoe UI"/>
          <w:b/>
          <w:bCs/>
          <w:sz w:val="20"/>
          <w:szCs w:val="20"/>
          <w:lang w:val="fr-CI"/>
        </w:rPr>
        <w:t>pérenniser les acquis de cette initiative et, plus largement, à faire progresser l’agenda régional pour le renforcement de la résilience et la réduction des risques de catastrophes, en s’alignant sur les cadres internationaux</w:t>
      </w:r>
      <w:r>
        <w:rPr>
          <w:rStyle w:val="normaltextrun"/>
          <w:rFonts w:ascii="Verdana" w:hAnsi="Verdana" w:cs="Segoe UI"/>
          <w:sz w:val="20"/>
          <w:szCs w:val="20"/>
          <w:lang w:val="fr-CI"/>
        </w:rPr>
        <w:t xml:space="preserve"> tels que le Cadre de Sendai pour la </w:t>
      </w:r>
      <w:r w:rsidR="00A41215">
        <w:rPr>
          <w:rStyle w:val="normaltextrun"/>
          <w:rFonts w:ascii="Verdana" w:hAnsi="Verdana" w:cs="Segoe UI"/>
          <w:sz w:val="20"/>
          <w:szCs w:val="20"/>
          <w:lang w:val="fr-CI"/>
        </w:rPr>
        <w:t>réduction des risques de catastrophes (RRC)</w:t>
      </w:r>
      <w:r>
        <w:rPr>
          <w:rStyle w:val="normaltextrun"/>
          <w:rFonts w:ascii="Verdana" w:hAnsi="Verdana" w:cs="Segoe UI"/>
          <w:sz w:val="20"/>
          <w:szCs w:val="20"/>
          <w:lang w:val="fr-CI"/>
        </w:rPr>
        <w:t>, l’initiative Early Warnings for All (EW4All) ou encore l’Agenda d’Antigua-et-Barbuda pour les petits États insulaires en développement.</w:t>
      </w:r>
    </w:p>
    <w:p w14:paraId="213CEED8" w14:textId="77777777" w:rsidR="00A41215" w:rsidRDefault="00A41215" w:rsidP="00682D3E">
      <w:pPr>
        <w:pStyle w:val="paragraph"/>
        <w:spacing w:before="0" w:beforeAutospacing="0" w:after="0" w:afterAutospacing="0"/>
        <w:jc w:val="both"/>
        <w:textAlignment w:val="baseline"/>
        <w:rPr>
          <w:rFonts w:ascii="Segoe UI" w:hAnsi="Segoe UI" w:cs="Segoe UI"/>
          <w:sz w:val="18"/>
          <w:szCs w:val="18"/>
        </w:rPr>
      </w:pPr>
    </w:p>
    <w:p w14:paraId="3DAA9A08" w14:textId="39A3A17F" w:rsidR="00682D3E" w:rsidRPr="00A41215" w:rsidRDefault="00682D3E" w:rsidP="00A41215">
      <w:pPr>
        <w:pStyle w:val="Titrepartie"/>
      </w:pPr>
      <w:r w:rsidRPr="00A41215">
        <w:rPr>
          <w:rStyle w:val="normaltextrun"/>
          <w:rFonts w:ascii="Calibri" w:hAnsi="Calibri"/>
          <w:color w:val="0F6FC6"/>
          <w:sz w:val="28"/>
          <w:szCs w:val="28"/>
          <w:lang w:val="fr-CI"/>
        </w:rPr>
        <w:t>Etat d’avancement </w:t>
      </w:r>
    </w:p>
    <w:p w14:paraId="54E4038A" w14:textId="6352B305" w:rsidR="00682D3E" w:rsidRPr="00A41215" w:rsidRDefault="00682D3E" w:rsidP="00A41215">
      <w:pPr>
        <w:pStyle w:val="Sous-partie2"/>
      </w:pPr>
      <w:r w:rsidRPr="00A41215">
        <w:rPr>
          <w:rStyle w:val="normaltextrun"/>
        </w:rPr>
        <w:t>Clôture du projet RDRM-IO</w:t>
      </w:r>
    </w:p>
    <w:p w14:paraId="4A68AEC8" w14:textId="1C0067D0"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Le projet de renforcement de la résilience et de gestion de la réponse aux catastrophes (RDRM-IO), dont la convention de financement a été signée entre la COI et l’Union européenne en décembre 2020 pour un montant de 6.85 millions d’euros</w:t>
      </w:r>
      <w:r w:rsidR="006F63B6">
        <w:rPr>
          <w:rStyle w:val="normaltextrun"/>
          <w:rFonts w:ascii="Verdana" w:hAnsi="Verdana" w:cs="Segoe UI"/>
          <w:sz w:val="20"/>
          <w:szCs w:val="20"/>
        </w:rPr>
        <w:t>,</w:t>
      </w:r>
      <w:r>
        <w:rPr>
          <w:rStyle w:val="normaltextrun"/>
          <w:rFonts w:ascii="Verdana" w:hAnsi="Verdana" w:cs="Segoe UI"/>
          <w:sz w:val="20"/>
          <w:szCs w:val="20"/>
        </w:rPr>
        <w:t xml:space="preserve"> a été officiellement lancé en février 2022. Sa phase opérationnelle s’achèvera le 13 mai 2026.</w:t>
      </w:r>
    </w:p>
    <w:p w14:paraId="2D060CD8" w14:textId="183577A6"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Le dernier comité de pilotage, tenu le 13 mars 2026 à Maurice, a salué de manière générale les résultats satisfaisant</w:t>
      </w:r>
      <w:r w:rsidR="006F63B6">
        <w:rPr>
          <w:rStyle w:val="normaltextrun"/>
          <w:rFonts w:ascii="Verdana" w:hAnsi="Verdana" w:cs="Segoe UI"/>
          <w:sz w:val="20"/>
          <w:szCs w:val="20"/>
        </w:rPr>
        <w:t>s</w:t>
      </w:r>
      <w:r>
        <w:rPr>
          <w:rStyle w:val="normaltextrun"/>
          <w:rFonts w:ascii="Verdana" w:hAnsi="Verdana" w:cs="Segoe UI"/>
          <w:sz w:val="20"/>
          <w:szCs w:val="20"/>
        </w:rPr>
        <w:t xml:space="preserve"> du programme dans son ensemble. Le taux global de décaissement de la convention de financement s’élève à environ 92 %, incluant le contrat </w:t>
      </w:r>
      <w:r>
        <w:rPr>
          <w:rStyle w:val="normaltextrun"/>
          <w:rFonts w:ascii="Verdana" w:hAnsi="Verdana" w:cs="Segoe UI"/>
          <w:sz w:val="20"/>
          <w:szCs w:val="20"/>
        </w:rPr>
        <w:lastRenderedPageBreak/>
        <w:t>de subvention avec la PIROI, clôturé au premier semestre 2025, le contrat avec l’UNDRR, arrivé à terme en mars 2026, ainsi que le devis-programme mis en œuvre par la COI, qui prendra fin le 13 mai 2026.</w:t>
      </w:r>
    </w:p>
    <w:p w14:paraId="5C277A4E" w14:textId="563BDB98"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Les activités programmées pour 2026 ont été dans l’ensemble réalisées. Le dernier comité de pilotage a salué l’approche collaborative et complémentaire entre les trois partenaires de mise en œuvre du programme RDRM-IO tout au long de son exécution.</w:t>
      </w:r>
    </w:p>
    <w:p w14:paraId="718BF93F" w14:textId="51642A36"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Le dernier atelier de la Plateforme régionale pour la réduction des risques de catastrophes, tenu du 9 au 11 mars à Maurice, illustre cette dynamique de partenariat. Axé sur la gouvernance des risques et la résilience urbaine, il a été conjointement organisé par la COI et l’UNDRR, avec la participation de la PIROI.</w:t>
      </w:r>
    </w:p>
    <w:p w14:paraId="21E5C9D8" w14:textId="4B1223B6"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À l’issue des échanges, un groupe de travail technique sur la résilience urbaine a été structuré. Les lettres de désignation officielles de ses membres sont attendues d’ici juin, après l’adoption de ses termes de référence par les participants.</w:t>
      </w:r>
    </w:p>
    <w:p w14:paraId="077D22F0" w14:textId="37F56C4E"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Concernant le devis-programme mis en œuvre par la COI, les réalisations globales sont jugées satisfaisantes, </w:t>
      </w:r>
      <w:r w:rsidRPr="001D04B5">
        <w:rPr>
          <w:rStyle w:val="normaltextrun"/>
          <w:rFonts w:ascii="Verdana" w:hAnsi="Verdana" w:cs="Segoe UI"/>
          <w:b/>
          <w:bCs/>
          <w:sz w:val="20"/>
          <w:szCs w:val="20"/>
        </w:rPr>
        <w:t>malgré certains défis liés notamment à la gestion des appels d’offres et au dédouanement des équipements</w:t>
      </w:r>
      <w:r>
        <w:rPr>
          <w:rStyle w:val="normaltextrun"/>
          <w:rFonts w:ascii="Verdana" w:hAnsi="Verdana" w:cs="Segoe UI"/>
          <w:sz w:val="20"/>
          <w:szCs w:val="20"/>
        </w:rPr>
        <w:t>. Un deuxième avenant sans coût additionnel a été approuvé par l’UE en mars afin de lever ces contraintes et de permettre la livraison de l’ensemble des équipements dans des conditions optimales.</w:t>
      </w:r>
    </w:p>
    <w:p w14:paraId="66B1FEE4" w14:textId="5D48B7A3"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Cette extension a permis de trouver des solutions adaptées et d’assurer la </w:t>
      </w:r>
      <w:r w:rsidRPr="005F5C28">
        <w:rPr>
          <w:rStyle w:val="normaltextrun"/>
          <w:rFonts w:ascii="Verdana" w:hAnsi="Verdana" w:cs="Segoe UI"/>
          <w:b/>
          <w:bCs/>
          <w:sz w:val="20"/>
          <w:szCs w:val="20"/>
        </w:rPr>
        <w:t>livraison complète des équipements d’une valeur totale d’un peu plus d’un million d’euros</w:t>
      </w:r>
      <w:r>
        <w:rPr>
          <w:rStyle w:val="normaltextrun"/>
          <w:rFonts w:ascii="Verdana" w:hAnsi="Verdana" w:cs="Segoe UI"/>
          <w:sz w:val="20"/>
          <w:szCs w:val="20"/>
        </w:rPr>
        <w:t>. Le taux de décaissement sur le devis-programme est d’environ 90 %.</w:t>
      </w:r>
    </w:p>
    <w:p w14:paraId="558C6963" w14:textId="45D6FA02"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Les cérémonies officielles de remise des équipements ont déjà eu lieu à Madagascar en février et aux Seychelles en avril. À Maurice, elles sont prévues à la mi-mai, en parallèle de la remise des certificats aux bénéficiaires d’une formation en systèmes d’information géographique organisée dans le cadre du projet. Aux Comores, la cérémonie est programmée en marge du Conseil des ministres du 8 juin à Moroni.</w:t>
      </w:r>
    </w:p>
    <w:p w14:paraId="06B3DEC6" w14:textId="6341E7C8"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Par ailleurs, une dernière activité régionale est prévue à Madagascar du 4 au 9 mai dans le cadre du projet RDRM, consacrée à l’émergence de l’utilisation des drones dans la gestion des risques de catastrophes. À l’issue de cet atelier d’échange et d’apprentissage entre pairs, des orientations et des feuilles de route nationales devraient être formulées afin de favoriser une intégration optimale des drones dans l’ensemble du cycle de gestion des risques de catastrophes.</w:t>
      </w:r>
    </w:p>
    <w:p w14:paraId="3D76034F" w14:textId="1F33606A"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Concernant les perspectives post-clôture du programme, l’atelier régional sur la gouvernance des risques et la résilience urbaine a permis d’explorer quelques pistes pour poursuivre les actions régionales de la COI, avec l’appui de ses partenaires, dans le domaine de la réduction des risques de catastrophes.</w:t>
      </w:r>
    </w:p>
    <w:p w14:paraId="7369BC12" w14:textId="11068546"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Il a notamment été proposé d’évaluer la </w:t>
      </w:r>
      <w:r w:rsidRPr="005955A3">
        <w:rPr>
          <w:rStyle w:val="normaltextrun"/>
          <w:rFonts w:ascii="Verdana" w:hAnsi="Verdana" w:cs="Segoe UI"/>
          <w:b/>
          <w:bCs/>
          <w:sz w:val="20"/>
          <w:szCs w:val="20"/>
        </w:rPr>
        <w:t>faisabilité de soumettre une proposition dans le cadre de l’appel à projets du Fonds pour les pertes et dommages</w:t>
      </w:r>
      <w:r>
        <w:rPr>
          <w:rStyle w:val="normaltextrun"/>
          <w:rFonts w:ascii="Verdana" w:hAnsi="Verdana" w:cs="Segoe UI"/>
          <w:sz w:val="20"/>
          <w:szCs w:val="20"/>
        </w:rPr>
        <w:t>. </w:t>
      </w:r>
    </w:p>
    <w:p w14:paraId="3A60FE98" w14:textId="42337BD6"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À moyen terme, la </w:t>
      </w:r>
      <w:r w:rsidRPr="005955A3">
        <w:rPr>
          <w:rStyle w:val="normaltextrun"/>
          <w:rFonts w:ascii="Verdana" w:hAnsi="Verdana" w:cs="Segoe UI"/>
          <w:b/>
          <w:bCs/>
          <w:sz w:val="20"/>
          <w:szCs w:val="20"/>
        </w:rPr>
        <w:t xml:space="preserve">co-construction avec les États membres d’un programme régional d’envergure, à soumettre au Fonds vert pour le climat </w:t>
      </w:r>
      <w:r>
        <w:rPr>
          <w:rStyle w:val="normaltextrun"/>
          <w:rFonts w:ascii="Verdana" w:hAnsi="Verdana" w:cs="Segoe UI"/>
          <w:sz w:val="20"/>
          <w:szCs w:val="20"/>
        </w:rPr>
        <w:t>et intégrant plusieurs dimensions de la RRC, a également été évoquée comme une option stratégique.</w:t>
      </w:r>
    </w:p>
    <w:p w14:paraId="3613D108" w14:textId="71421095" w:rsidR="00682D3E" w:rsidRDefault="00682D3E" w:rsidP="00682D3E">
      <w:pPr>
        <w:pStyle w:val="paragraph"/>
        <w:spacing w:before="0" w:beforeAutospacing="0" w:after="0" w:afterAutospacing="0"/>
        <w:jc w:val="both"/>
        <w:textAlignment w:val="baseline"/>
        <w:rPr>
          <w:rStyle w:val="eop"/>
          <w:rFonts w:ascii="Verdana" w:hAnsi="Verdana" w:cs="Segoe UI"/>
          <w:sz w:val="20"/>
          <w:szCs w:val="20"/>
          <w:bdr w:val="none" w:sz="0" w:space="0" w:color="auto" w:frame="1"/>
          <w:shd w:val="clear" w:color="auto" w:fill="C6C6C6"/>
        </w:rPr>
      </w:pPr>
      <w:r>
        <w:rPr>
          <w:rStyle w:val="normaltextrun"/>
          <w:rFonts w:ascii="Verdana" w:hAnsi="Verdana" w:cs="Segoe UI"/>
          <w:sz w:val="20"/>
          <w:szCs w:val="20"/>
        </w:rPr>
        <w:t xml:space="preserve">Par ailleurs, la Coalition for </w:t>
      </w:r>
      <w:proofErr w:type="spellStart"/>
      <w:r>
        <w:rPr>
          <w:rStyle w:val="normaltextrun"/>
          <w:rFonts w:ascii="Verdana" w:hAnsi="Verdana" w:cs="Segoe UI"/>
          <w:sz w:val="20"/>
          <w:szCs w:val="20"/>
        </w:rPr>
        <w:t>Disaster</w:t>
      </w:r>
      <w:proofErr w:type="spellEnd"/>
      <w:r>
        <w:rPr>
          <w:rStyle w:val="normaltextrun"/>
          <w:rFonts w:ascii="Verdana" w:hAnsi="Verdana" w:cs="Segoe UI"/>
          <w:sz w:val="20"/>
          <w:szCs w:val="20"/>
        </w:rPr>
        <w:t xml:space="preserve"> </w:t>
      </w:r>
      <w:proofErr w:type="spellStart"/>
      <w:r>
        <w:rPr>
          <w:rStyle w:val="normaltextrun"/>
          <w:rFonts w:ascii="Verdana" w:hAnsi="Verdana" w:cs="Segoe UI"/>
          <w:sz w:val="20"/>
          <w:szCs w:val="20"/>
        </w:rPr>
        <w:t>Resilient</w:t>
      </w:r>
      <w:proofErr w:type="spellEnd"/>
      <w:r>
        <w:rPr>
          <w:rStyle w:val="normaltextrun"/>
          <w:rFonts w:ascii="Verdana" w:hAnsi="Verdana" w:cs="Segoe UI"/>
          <w:sz w:val="20"/>
          <w:szCs w:val="20"/>
        </w:rPr>
        <w:t xml:space="preserve"> Infrastructure (CDRI), représentée lors de l’atelier, a exprimé son intérêt à collaborer avec la COI et a rappelé l’existence de son programme dédié aux petits États insulaires en développement, auquel participent notamment Maurice et les Seychelles. Il a ainsi été recommandé d’engager des échanges avec la CDRI afin d’explorer des opportunités concrètes de collaboration.</w:t>
      </w:r>
    </w:p>
    <w:p w14:paraId="5560E1DE" w14:textId="77777777" w:rsidR="000E5A6E" w:rsidRDefault="000E5A6E" w:rsidP="00682D3E">
      <w:pPr>
        <w:pStyle w:val="paragraph"/>
        <w:spacing w:before="0" w:beforeAutospacing="0" w:after="0" w:afterAutospacing="0"/>
        <w:jc w:val="both"/>
        <w:textAlignment w:val="baseline"/>
        <w:rPr>
          <w:rFonts w:ascii="Segoe UI" w:hAnsi="Segoe UI" w:cs="Segoe UI"/>
          <w:sz w:val="18"/>
          <w:szCs w:val="18"/>
        </w:rPr>
      </w:pPr>
    </w:p>
    <w:p w14:paraId="3146E225" w14:textId="77777777" w:rsidR="00682D3E" w:rsidRPr="000E5A6E" w:rsidRDefault="00682D3E" w:rsidP="000E5A6E">
      <w:pPr>
        <w:pStyle w:val="Sous-partie2"/>
      </w:pPr>
      <w:r w:rsidRPr="000E5A6E">
        <w:rPr>
          <w:rStyle w:val="normaltextrun"/>
        </w:rPr>
        <w:t>Collaboration avec les agences des Nations Unies</w:t>
      </w:r>
      <w:r w:rsidRPr="000E5A6E">
        <w:rPr>
          <w:rStyle w:val="eop"/>
        </w:rPr>
        <w:t> </w:t>
      </w:r>
    </w:p>
    <w:p w14:paraId="075E6ECD" w14:textId="35ADC1D7" w:rsidR="00682D3E" w:rsidRDefault="00682D3E" w:rsidP="000E5A6E">
      <w:pPr>
        <w:pStyle w:val="paragraph"/>
        <w:numPr>
          <w:ilvl w:val="2"/>
          <w:numId w:val="3"/>
        </w:numPr>
        <w:spacing w:before="0" w:beforeAutospacing="0" w:after="0" w:afterAutospacing="0"/>
        <w:textAlignment w:val="baseline"/>
        <w:rPr>
          <w:rFonts w:ascii="Calibri" w:hAnsi="Calibri" w:cs="Calibri"/>
          <w:color w:val="404040"/>
        </w:rPr>
      </w:pPr>
      <w:r>
        <w:rPr>
          <w:rStyle w:val="normaltextrun"/>
          <w:rFonts w:ascii="Calibri" w:hAnsi="Calibri" w:cs="Calibri"/>
          <w:b/>
          <w:bCs/>
          <w:i/>
          <w:iCs/>
          <w:color w:val="404040"/>
        </w:rPr>
        <w:t>Bureau des Nations unies pour la réduction des risques de catastrophes</w:t>
      </w:r>
    </w:p>
    <w:p w14:paraId="4CCD5B48" w14:textId="483CC539"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La collaboration entre la COI et le Bureau des Nations Unies pour la réduction des risques de catastrophes (UNDRR), initiée en 2011 à travers le programme ISLANDS</w:t>
      </w:r>
      <w:r w:rsidR="00352C98">
        <w:rPr>
          <w:rStyle w:val="normaltextrun"/>
          <w:rFonts w:ascii="Verdana" w:hAnsi="Verdana" w:cs="Segoe UI"/>
          <w:sz w:val="20"/>
          <w:szCs w:val="20"/>
        </w:rPr>
        <w:t xml:space="preserve"> également financé par l’UE</w:t>
      </w:r>
      <w:r>
        <w:rPr>
          <w:rStyle w:val="normaltextrun"/>
          <w:rFonts w:ascii="Verdana" w:hAnsi="Verdana" w:cs="Segoe UI"/>
          <w:sz w:val="20"/>
          <w:szCs w:val="20"/>
        </w:rPr>
        <w:t>, s’est considérablement renforcée au cours des cinq dernières années, notamment dans le cadre du programme RDRM-IO, mis en œuvre conjointement avec le bureau régional Afrique de l’UNDRR.</w:t>
      </w:r>
    </w:p>
    <w:p w14:paraId="7D33A475" w14:textId="5E66F758"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À l’approche de la clôture de ce programme, l’UNDRR a exprimé son intérêt à poursuivre et approfondir cette coopération, notamment à travers la co-construction de nouvelles initiatives, projets ou programmes conjoints. Des consultations techniques sont prévues </w:t>
      </w:r>
      <w:r>
        <w:rPr>
          <w:rStyle w:val="normaltextrun"/>
          <w:rFonts w:ascii="Verdana" w:hAnsi="Verdana" w:cs="Segoe UI"/>
          <w:sz w:val="20"/>
          <w:szCs w:val="20"/>
        </w:rPr>
        <w:lastRenderedPageBreak/>
        <w:t>dans les prochaines semaines afin d’explorer ces perspectives, tant dans le cadre d’initiatives existantes telles que HYDROMET que de nouvelles pistes de collaboration.</w:t>
      </w:r>
    </w:p>
    <w:p w14:paraId="41390B66" w14:textId="4E8040DC" w:rsidR="00682D3E" w:rsidRDefault="00682D3E" w:rsidP="00682D3E">
      <w:pPr>
        <w:pStyle w:val="paragraph"/>
        <w:spacing w:before="0" w:beforeAutospacing="0" w:after="0" w:afterAutospacing="0"/>
        <w:jc w:val="both"/>
        <w:textAlignment w:val="baseline"/>
        <w:rPr>
          <w:rStyle w:val="eop"/>
          <w:rFonts w:ascii="Verdana" w:hAnsi="Verdana" w:cs="Segoe UI"/>
          <w:sz w:val="20"/>
          <w:szCs w:val="20"/>
          <w:bdr w:val="none" w:sz="0" w:space="0" w:color="auto" w:frame="1"/>
          <w:shd w:val="clear" w:color="auto" w:fill="C6C6C6"/>
        </w:rPr>
      </w:pPr>
      <w:r>
        <w:rPr>
          <w:rStyle w:val="normaltextrun"/>
          <w:rFonts w:ascii="Verdana" w:hAnsi="Verdana" w:cs="Segoe UI"/>
          <w:sz w:val="20"/>
          <w:szCs w:val="20"/>
        </w:rPr>
        <w:t xml:space="preserve">En conséquence, </w:t>
      </w:r>
      <w:r w:rsidRPr="00352C98">
        <w:rPr>
          <w:rStyle w:val="normaltextrun"/>
          <w:rFonts w:ascii="Verdana" w:hAnsi="Verdana" w:cs="Segoe UI"/>
          <w:b/>
          <w:bCs/>
          <w:sz w:val="20"/>
          <w:szCs w:val="20"/>
        </w:rPr>
        <w:t xml:space="preserve">le Secrétariat général soumet </w:t>
      </w:r>
      <w:r w:rsidR="00DD6F67">
        <w:rPr>
          <w:rStyle w:val="normaltextrun"/>
          <w:rFonts w:ascii="Verdana" w:hAnsi="Verdana" w:cs="Segoe UI"/>
          <w:b/>
          <w:bCs/>
          <w:sz w:val="20"/>
          <w:szCs w:val="20"/>
        </w:rPr>
        <w:t>aux instances</w:t>
      </w:r>
      <w:r w:rsidRPr="00352C98">
        <w:rPr>
          <w:rStyle w:val="normaltextrun"/>
          <w:rFonts w:ascii="Verdana" w:hAnsi="Verdana" w:cs="Segoe UI"/>
          <w:b/>
          <w:bCs/>
          <w:sz w:val="20"/>
          <w:szCs w:val="20"/>
        </w:rPr>
        <w:t xml:space="preserve"> une demande d’accord pour poursuivre ces consultations techniques avec l’UNDRR</w:t>
      </w:r>
      <w:r>
        <w:rPr>
          <w:rStyle w:val="normaltextrun"/>
          <w:rFonts w:ascii="Verdana" w:hAnsi="Verdana" w:cs="Segoe UI"/>
          <w:sz w:val="20"/>
          <w:szCs w:val="20"/>
        </w:rPr>
        <w:t>, en vue de renforcer la collaboration existante et d’envisager la formulation et la mise en œuvre d’un futur programme régional de réduction des risques de catastrophes.</w:t>
      </w:r>
    </w:p>
    <w:p w14:paraId="5F90EC33" w14:textId="77777777" w:rsidR="00352C98" w:rsidRDefault="00352C98" w:rsidP="00682D3E">
      <w:pPr>
        <w:pStyle w:val="paragraph"/>
        <w:spacing w:before="0" w:beforeAutospacing="0" w:after="0" w:afterAutospacing="0"/>
        <w:jc w:val="both"/>
        <w:textAlignment w:val="baseline"/>
        <w:rPr>
          <w:rFonts w:ascii="Segoe UI" w:hAnsi="Segoe UI" w:cs="Segoe UI"/>
          <w:sz w:val="18"/>
          <w:szCs w:val="18"/>
        </w:rPr>
      </w:pPr>
    </w:p>
    <w:p w14:paraId="44771B4D" w14:textId="35C3F45A" w:rsidR="00682D3E" w:rsidRDefault="00682D3E" w:rsidP="00352C98">
      <w:pPr>
        <w:pStyle w:val="paragraph"/>
        <w:numPr>
          <w:ilvl w:val="2"/>
          <w:numId w:val="3"/>
        </w:numPr>
        <w:spacing w:before="0" w:beforeAutospacing="0" w:after="0" w:afterAutospacing="0"/>
        <w:textAlignment w:val="baseline"/>
        <w:rPr>
          <w:rFonts w:ascii="Calibri" w:hAnsi="Calibri" w:cs="Calibri"/>
          <w:color w:val="404040"/>
        </w:rPr>
      </w:pPr>
      <w:r>
        <w:rPr>
          <w:rStyle w:val="normaltextrun"/>
          <w:rFonts w:ascii="Calibri" w:hAnsi="Calibri" w:cs="Calibri"/>
          <w:b/>
          <w:bCs/>
          <w:i/>
          <w:iCs/>
          <w:color w:val="404040"/>
        </w:rPr>
        <w:t>UN</w:t>
      </w:r>
      <w:r w:rsidR="00DD6F67">
        <w:rPr>
          <w:rStyle w:val="normaltextrun"/>
          <w:rFonts w:ascii="Calibri" w:hAnsi="Calibri" w:cs="Calibri"/>
          <w:b/>
          <w:bCs/>
          <w:i/>
          <w:iCs/>
          <w:color w:val="404040"/>
        </w:rPr>
        <w:t>-H</w:t>
      </w:r>
      <w:r>
        <w:rPr>
          <w:rStyle w:val="normaltextrun"/>
          <w:rFonts w:ascii="Calibri" w:hAnsi="Calibri" w:cs="Calibri"/>
          <w:b/>
          <w:bCs/>
          <w:i/>
          <w:iCs/>
          <w:color w:val="404040"/>
        </w:rPr>
        <w:t>abitat</w:t>
      </w:r>
    </w:p>
    <w:p w14:paraId="285F2B3F" w14:textId="2153C73A"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La collaboration technique engagée avec UN-Habitat dans le cadre du projet RDRM-IO, notamment sur la thématique de la résilience urbaine, s’est poursuivie à travers sa participation active aux échanges régionaux organisés par la COI. Cela inclut en particulier l’atelier de mars 2026, au cours duquel ont été présentés les diagnostics nationaux sur la résilience urbaine à Madagascar, Maurice et aux Comores, constituant une base de travail pour l’identification d’initiatives régionales communes.</w:t>
      </w:r>
    </w:p>
    <w:p w14:paraId="660AD44B" w14:textId="260EC295"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Afin de consolider ce partenariat, un </w:t>
      </w:r>
      <w:r w:rsidRPr="00030269">
        <w:rPr>
          <w:rStyle w:val="normaltextrun"/>
          <w:rFonts w:ascii="Verdana" w:hAnsi="Verdana" w:cs="Segoe UI"/>
          <w:b/>
          <w:bCs/>
          <w:sz w:val="20"/>
          <w:szCs w:val="20"/>
        </w:rPr>
        <w:t xml:space="preserve">projet de </w:t>
      </w:r>
      <w:proofErr w:type="spellStart"/>
      <w:r w:rsidRPr="00030269">
        <w:rPr>
          <w:rStyle w:val="normaltextrun"/>
          <w:rFonts w:ascii="Verdana" w:hAnsi="Verdana" w:cs="Segoe UI"/>
          <w:b/>
          <w:bCs/>
          <w:sz w:val="20"/>
          <w:szCs w:val="20"/>
        </w:rPr>
        <w:t>MoU</w:t>
      </w:r>
      <w:proofErr w:type="spellEnd"/>
      <w:r>
        <w:rPr>
          <w:rStyle w:val="normaltextrun"/>
          <w:rFonts w:ascii="Verdana" w:hAnsi="Verdana" w:cs="Segoe UI"/>
          <w:sz w:val="20"/>
          <w:szCs w:val="20"/>
        </w:rPr>
        <w:t xml:space="preserve"> avait été transmis aux OPL il y a plus d’un an et examiné lors du dernier comité, qui a formulé quelques recommandations préalables à sa signature. Ces observations ont été intégrées dans </w:t>
      </w:r>
      <w:r w:rsidRPr="00030269">
        <w:rPr>
          <w:rStyle w:val="normaltextrun"/>
          <w:rFonts w:ascii="Verdana" w:hAnsi="Verdana" w:cs="Segoe UI"/>
          <w:b/>
          <w:bCs/>
          <w:sz w:val="20"/>
          <w:szCs w:val="20"/>
        </w:rPr>
        <w:t xml:space="preserve">une version révisée du </w:t>
      </w:r>
      <w:proofErr w:type="spellStart"/>
      <w:r w:rsidRPr="00030269">
        <w:rPr>
          <w:rStyle w:val="normaltextrun"/>
          <w:rFonts w:ascii="Verdana" w:hAnsi="Verdana" w:cs="Segoe UI"/>
          <w:b/>
          <w:bCs/>
          <w:sz w:val="20"/>
          <w:szCs w:val="20"/>
        </w:rPr>
        <w:t>MoU</w:t>
      </w:r>
      <w:proofErr w:type="spellEnd"/>
      <w:r w:rsidRPr="00030269">
        <w:rPr>
          <w:rStyle w:val="normaltextrun"/>
          <w:rFonts w:ascii="Verdana" w:hAnsi="Verdana" w:cs="Segoe UI"/>
          <w:b/>
          <w:bCs/>
          <w:sz w:val="20"/>
          <w:szCs w:val="20"/>
        </w:rPr>
        <w:t>, annexée à la présente fiche</w:t>
      </w:r>
      <w:r>
        <w:rPr>
          <w:rStyle w:val="normaltextrun"/>
          <w:rFonts w:ascii="Verdana" w:hAnsi="Verdana" w:cs="Segoe UI"/>
          <w:sz w:val="20"/>
          <w:szCs w:val="20"/>
        </w:rPr>
        <w:t>.</w:t>
      </w:r>
    </w:p>
    <w:p w14:paraId="487F3B3B" w14:textId="1F4B95B0" w:rsidR="00682D3E" w:rsidRDefault="00682D3E" w:rsidP="00682D3E">
      <w:pPr>
        <w:pStyle w:val="paragraph"/>
        <w:spacing w:before="0" w:beforeAutospacing="0" w:after="0" w:afterAutospacing="0"/>
        <w:jc w:val="both"/>
        <w:textAlignment w:val="baseline"/>
        <w:rPr>
          <w:rStyle w:val="eop"/>
          <w:rFonts w:ascii="Verdana" w:hAnsi="Verdana" w:cs="Segoe UI"/>
          <w:sz w:val="20"/>
          <w:szCs w:val="20"/>
          <w:bdr w:val="none" w:sz="0" w:space="0" w:color="auto" w:frame="1"/>
          <w:shd w:val="clear" w:color="auto" w:fill="C6C6C6"/>
        </w:rPr>
      </w:pPr>
      <w:r>
        <w:rPr>
          <w:rStyle w:val="normaltextrun"/>
          <w:rFonts w:ascii="Verdana" w:hAnsi="Verdana" w:cs="Segoe UI"/>
          <w:sz w:val="20"/>
          <w:szCs w:val="20"/>
        </w:rPr>
        <w:t xml:space="preserve">De ce fait, une décision des instances est recherchée pour conclure le </w:t>
      </w:r>
      <w:proofErr w:type="spellStart"/>
      <w:r>
        <w:rPr>
          <w:rStyle w:val="normaltextrun"/>
          <w:rFonts w:ascii="Verdana" w:hAnsi="Verdana" w:cs="Segoe UI"/>
          <w:sz w:val="20"/>
          <w:szCs w:val="20"/>
        </w:rPr>
        <w:t>MoU</w:t>
      </w:r>
      <w:proofErr w:type="spellEnd"/>
      <w:r>
        <w:rPr>
          <w:rStyle w:val="normaltextrun"/>
          <w:rFonts w:ascii="Verdana" w:hAnsi="Verdana" w:cs="Segoe UI"/>
          <w:sz w:val="20"/>
          <w:szCs w:val="20"/>
        </w:rPr>
        <w:t xml:space="preserve"> entre la COI et UN Habitat.  </w:t>
      </w:r>
    </w:p>
    <w:p w14:paraId="52289945" w14:textId="77777777" w:rsidR="00030269" w:rsidRDefault="00030269" w:rsidP="00682D3E">
      <w:pPr>
        <w:pStyle w:val="paragraph"/>
        <w:spacing w:before="0" w:beforeAutospacing="0" w:after="0" w:afterAutospacing="0"/>
        <w:jc w:val="both"/>
        <w:textAlignment w:val="baseline"/>
        <w:rPr>
          <w:rFonts w:ascii="Segoe UI" w:hAnsi="Segoe UI" w:cs="Segoe UI"/>
          <w:sz w:val="18"/>
          <w:szCs w:val="18"/>
        </w:rPr>
      </w:pPr>
    </w:p>
    <w:p w14:paraId="5410152F" w14:textId="73EE367E" w:rsidR="00682D3E" w:rsidRDefault="00682D3E" w:rsidP="00030269">
      <w:pPr>
        <w:pStyle w:val="paragraph"/>
        <w:numPr>
          <w:ilvl w:val="2"/>
          <w:numId w:val="3"/>
        </w:numPr>
        <w:spacing w:before="0" w:beforeAutospacing="0" w:after="0" w:afterAutospacing="0"/>
        <w:textAlignment w:val="baseline"/>
        <w:rPr>
          <w:rFonts w:ascii="Calibri" w:hAnsi="Calibri" w:cs="Calibri"/>
          <w:color w:val="404040"/>
        </w:rPr>
      </w:pPr>
      <w:r>
        <w:rPr>
          <w:rStyle w:val="normaltextrun"/>
          <w:rFonts w:ascii="Calibri" w:hAnsi="Calibri" w:cs="Calibri"/>
          <w:b/>
          <w:bCs/>
          <w:i/>
          <w:iCs/>
          <w:color w:val="404040"/>
        </w:rPr>
        <w:t>Organisation Internationale pour les Migrations (OIM)</w:t>
      </w:r>
      <w:r>
        <w:rPr>
          <w:rStyle w:val="eop"/>
          <w:rFonts w:ascii="Calibri" w:hAnsi="Calibri" w:cs="Calibri"/>
          <w:color w:val="404040"/>
          <w:bdr w:val="none" w:sz="0" w:space="0" w:color="auto" w:frame="1"/>
          <w:shd w:val="clear" w:color="auto" w:fill="C6C6C6"/>
        </w:rPr>
        <w:t> </w:t>
      </w:r>
    </w:p>
    <w:p w14:paraId="0809823F" w14:textId="77E3087B" w:rsidR="00682D3E" w:rsidRDefault="00682D3E" w:rsidP="00682D3E">
      <w:pPr>
        <w:pStyle w:val="paragraph"/>
        <w:spacing w:before="0" w:beforeAutospacing="0" w:after="0" w:afterAutospacing="0"/>
        <w:jc w:val="both"/>
        <w:textAlignment w:val="baseline"/>
        <w:rPr>
          <w:rStyle w:val="normaltextrun"/>
          <w:rFonts w:ascii="Verdana" w:hAnsi="Verdana" w:cs="Segoe UI"/>
          <w:sz w:val="20"/>
          <w:szCs w:val="20"/>
        </w:rPr>
      </w:pPr>
      <w:r>
        <w:rPr>
          <w:rStyle w:val="normaltextrun"/>
          <w:rFonts w:ascii="Verdana" w:hAnsi="Verdana" w:cs="Segoe UI"/>
          <w:sz w:val="20"/>
          <w:szCs w:val="20"/>
        </w:rPr>
        <w:t>Depuis 2024, l’OIM a engagé des consultations avec la COI dans le cadre de la conception et de la mise en œuvre du programme régional RE2CLID (Regional </w:t>
      </w:r>
      <w:proofErr w:type="spellStart"/>
      <w:r>
        <w:rPr>
          <w:rStyle w:val="normaltextrun"/>
          <w:rFonts w:ascii="Verdana" w:hAnsi="Verdana" w:cs="Segoe UI"/>
          <w:sz w:val="20"/>
          <w:szCs w:val="20"/>
        </w:rPr>
        <w:t>Responses</w:t>
      </w:r>
      <w:proofErr w:type="spellEnd"/>
      <w:r>
        <w:rPr>
          <w:rStyle w:val="normaltextrun"/>
          <w:rFonts w:ascii="Verdana" w:hAnsi="Verdana" w:cs="Segoe UI"/>
          <w:sz w:val="20"/>
          <w:szCs w:val="20"/>
        </w:rPr>
        <w:t xml:space="preserve"> to </w:t>
      </w:r>
      <w:proofErr w:type="spellStart"/>
      <w:r>
        <w:rPr>
          <w:rStyle w:val="normaltextrun"/>
          <w:rFonts w:ascii="Verdana" w:hAnsi="Verdana" w:cs="Segoe UI"/>
          <w:sz w:val="20"/>
          <w:szCs w:val="20"/>
        </w:rPr>
        <w:t>Climate</w:t>
      </w:r>
      <w:proofErr w:type="spellEnd"/>
      <w:r>
        <w:rPr>
          <w:rStyle w:val="normaltextrun"/>
          <w:rFonts w:ascii="Verdana" w:hAnsi="Verdana" w:cs="Segoe UI"/>
          <w:sz w:val="20"/>
          <w:szCs w:val="20"/>
        </w:rPr>
        <w:t> </w:t>
      </w:r>
      <w:proofErr w:type="spellStart"/>
      <w:r>
        <w:rPr>
          <w:rStyle w:val="normaltextrun"/>
          <w:rFonts w:ascii="Verdana" w:hAnsi="Verdana" w:cs="Segoe UI"/>
          <w:sz w:val="20"/>
          <w:szCs w:val="20"/>
        </w:rPr>
        <w:t>Displacement</w:t>
      </w:r>
      <w:proofErr w:type="spellEnd"/>
      <w:r>
        <w:rPr>
          <w:rStyle w:val="normaltextrun"/>
          <w:rFonts w:ascii="Verdana" w:hAnsi="Verdana" w:cs="Segoe UI"/>
          <w:sz w:val="20"/>
          <w:szCs w:val="20"/>
        </w:rPr>
        <w:t>), financé par l’Union européenne et mis en œuvre à Madagascar, Maurice, aux Comores et aux Seychelles. Ces échanges techniques ont permis de mettre en avant des actions s’inscrivant dans la continuité du projet RDRM, notamment en termes de planification stratégique pour la Gestion des Risques de Catastrophes, dont RE2CLID pourra tirer parti et consolider. Il a été convenu de maintenir un cadre de concertation avec l’OIM afin de garantir la synergie et la complémentarité entre les différentes initiatives régionales</w:t>
      </w:r>
      <w:r w:rsidR="007D44C3">
        <w:rPr>
          <w:rStyle w:val="normaltextrun"/>
          <w:rFonts w:ascii="Verdana" w:hAnsi="Verdana" w:cs="Segoe UI"/>
          <w:sz w:val="20"/>
          <w:szCs w:val="20"/>
        </w:rPr>
        <w:t xml:space="preserve"> tout en veillant à une capitalisation et une pérennisation des acquis du programme RDRM-IO</w:t>
      </w:r>
      <w:r>
        <w:rPr>
          <w:rStyle w:val="normaltextrun"/>
          <w:rFonts w:ascii="Verdana" w:hAnsi="Verdana" w:cs="Segoe UI"/>
          <w:sz w:val="20"/>
          <w:szCs w:val="20"/>
        </w:rPr>
        <w:t>.</w:t>
      </w:r>
    </w:p>
    <w:p w14:paraId="5256FF68" w14:textId="77777777" w:rsidR="007D44C3" w:rsidRDefault="007D44C3" w:rsidP="00682D3E">
      <w:pPr>
        <w:pStyle w:val="paragraph"/>
        <w:spacing w:before="0" w:beforeAutospacing="0" w:after="0" w:afterAutospacing="0"/>
        <w:jc w:val="both"/>
        <w:textAlignment w:val="baseline"/>
        <w:rPr>
          <w:rFonts w:ascii="Segoe UI" w:hAnsi="Segoe UI" w:cs="Segoe UI"/>
          <w:sz w:val="18"/>
          <w:szCs w:val="18"/>
        </w:rPr>
      </w:pPr>
    </w:p>
    <w:p w14:paraId="6FD65A04" w14:textId="77777777" w:rsidR="00682D3E" w:rsidRPr="007D44C3" w:rsidRDefault="00682D3E" w:rsidP="007D44C3">
      <w:pPr>
        <w:pStyle w:val="Sous-partie2"/>
      </w:pPr>
      <w:r w:rsidRPr="007D44C3">
        <w:rPr>
          <w:rStyle w:val="normaltextrun"/>
        </w:rPr>
        <w:t>Autres partenariats</w:t>
      </w:r>
      <w:r w:rsidRPr="007D44C3">
        <w:rPr>
          <w:rStyle w:val="eop"/>
        </w:rPr>
        <w:t> </w:t>
      </w:r>
    </w:p>
    <w:p w14:paraId="0D482EF6" w14:textId="6AE19D15" w:rsidR="00682D3E" w:rsidRDefault="00682D3E" w:rsidP="007D44C3">
      <w:pPr>
        <w:pStyle w:val="paragraph"/>
        <w:numPr>
          <w:ilvl w:val="2"/>
          <w:numId w:val="3"/>
        </w:numPr>
        <w:spacing w:before="0" w:beforeAutospacing="0" w:after="0" w:afterAutospacing="0"/>
        <w:textAlignment w:val="baseline"/>
        <w:rPr>
          <w:rFonts w:ascii="Calibri" w:hAnsi="Calibri" w:cs="Calibri"/>
          <w:color w:val="404040"/>
        </w:rPr>
      </w:pPr>
      <w:r>
        <w:rPr>
          <w:rStyle w:val="normaltextrun"/>
          <w:rFonts w:ascii="Calibri" w:hAnsi="Calibri" w:cs="Calibri"/>
          <w:b/>
          <w:bCs/>
          <w:i/>
          <w:iCs/>
          <w:color w:val="404040"/>
        </w:rPr>
        <w:t>Fédération Internationale de la Croix Rouge et du Croissant Rouge</w:t>
      </w:r>
    </w:p>
    <w:p w14:paraId="253E4F3D" w14:textId="63209D44"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Pour rappel le </w:t>
      </w:r>
      <w:proofErr w:type="spellStart"/>
      <w:r>
        <w:rPr>
          <w:rStyle w:val="normaltextrun"/>
          <w:rFonts w:ascii="Verdana" w:hAnsi="Verdana" w:cs="Segoe UI"/>
          <w:sz w:val="20"/>
          <w:szCs w:val="20"/>
        </w:rPr>
        <w:t>MoU</w:t>
      </w:r>
      <w:proofErr w:type="spellEnd"/>
      <w:r>
        <w:rPr>
          <w:rStyle w:val="normaltextrun"/>
          <w:rFonts w:ascii="Verdana" w:hAnsi="Verdana" w:cs="Segoe UI"/>
          <w:sz w:val="20"/>
          <w:szCs w:val="20"/>
        </w:rPr>
        <w:t xml:space="preserve"> entre la COI et la FICR a été signé au cours du second semestre 2025. À ce stade, sa mise en œuvre s’est principalement traduite par l’organisation d’activités conjointes de sensibilisation, notamment lors de l’atelier régional sur la gouvernance et le financement des risques organisé en octobre 2025 à l’ile de La Réunion par IORA en collaboration avec UNDRR.</w:t>
      </w:r>
    </w:p>
    <w:p w14:paraId="62728FA8" w14:textId="753E1AE2" w:rsidR="00682D3E" w:rsidRDefault="00682D3E" w:rsidP="00682D3E">
      <w:pPr>
        <w:pStyle w:val="paragraph"/>
        <w:spacing w:before="0" w:beforeAutospacing="0" w:after="0" w:afterAutospacing="0"/>
        <w:jc w:val="both"/>
        <w:textAlignment w:val="baseline"/>
        <w:rPr>
          <w:rStyle w:val="eop"/>
          <w:rFonts w:ascii="Verdana" w:hAnsi="Verdana" w:cs="Segoe UI"/>
          <w:sz w:val="20"/>
          <w:szCs w:val="20"/>
          <w:bdr w:val="none" w:sz="0" w:space="0" w:color="auto" w:frame="1"/>
          <w:shd w:val="clear" w:color="auto" w:fill="C6C6C6"/>
        </w:rPr>
      </w:pPr>
      <w:r>
        <w:rPr>
          <w:rStyle w:val="normaltextrun"/>
          <w:rFonts w:ascii="Verdana" w:hAnsi="Verdana" w:cs="Segoe UI"/>
          <w:sz w:val="20"/>
          <w:szCs w:val="20"/>
        </w:rPr>
        <w:t>Les sessions de sensibilisation sur le projet de Convention internationale relative au droit des catastrophes n’ont pas pu se tenir comme prévu. Toutefois, les consultations se poursuivent afin d’identifier des opportunités, à travers les prochains événements régionaux, pour intégrer des actions de sensibilisation et accompagner les États membres dans les négociations liées à cette convention. Un projet de plan de travail sur la durée du </w:t>
      </w:r>
      <w:proofErr w:type="spellStart"/>
      <w:r>
        <w:rPr>
          <w:rStyle w:val="normaltextrun"/>
          <w:rFonts w:ascii="Verdana" w:hAnsi="Verdana" w:cs="Segoe UI"/>
          <w:sz w:val="20"/>
          <w:szCs w:val="20"/>
        </w:rPr>
        <w:t>MoU</w:t>
      </w:r>
      <w:proofErr w:type="spellEnd"/>
      <w:r>
        <w:rPr>
          <w:rStyle w:val="normaltextrun"/>
          <w:rFonts w:ascii="Verdana" w:hAnsi="Verdana" w:cs="Segoe UI"/>
          <w:sz w:val="20"/>
          <w:szCs w:val="20"/>
        </w:rPr>
        <w:t> entre nos deux institutions sont en cours d’élaboration.</w:t>
      </w:r>
    </w:p>
    <w:p w14:paraId="3AA90D4C" w14:textId="77777777" w:rsidR="00991355" w:rsidRDefault="00991355" w:rsidP="00682D3E">
      <w:pPr>
        <w:pStyle w:val="paragraph"/>
        <w:spacing w:before="0" w:beforeAutospacing="0" w:after="0" w:afterAutospacing="0"/>
        <w:jc w:val="both"/>
        <w:textAlignment w:val="baseline"/>
        <w:rPr>
          <w:rFonts w:ascii="Segoe UI" w:hAnsi="Segoe UI" w:cs="Segoe UI"/>
          <w:sz w:val="18"/>
          <w:szCs w:val="18"/>
        </w:rPr>
      </w:pPr>
    </w:p>
    <w:p w14:paraId="5FFDF838" w14:textId="58F05250" w:rsidR="00682D3E" w:rsidRDefault="00682D3E" w:rsidP="00991355">
      <w:pPr>
        <w:pStyle w:val="paragraph"/>
        <w:numPr>
          <w:ilvl w:val="2"/>
          <w:numId w:val="3"/>
        </w:numPr>
        <w:spacing w:before="0" w:beforeAutospacing="0" w:after="0" w:afterAutospacing="0"/>
        <w:textAlignment w:val="baseline"/>
        <w:rPr>
          <w:rFonts w:ascii="Calibri" w:hAnsi="Calibri" w:cs="Calibri"/>
          <w:color w:val="404040"/>
        </w:rPr>
      </w:pPr>
      <w:proofErr w:type="spellStart"/>
      <w:r>
        <w:rPr>
          <w:rStyle w:val="normaltextrun"/>
          <w:rFonts w:ascii="Calibri" w:hAnsi="Calibri" w:cs="Calibri"/>
          <w:b/>
          <w:bCs/>
          <w:i/>
          <w:iCs/>
          <w:color w:val="404040"/>
        </w:rPr>
        <w:t>Australian</w:t>
      </w:r>
      <w:proofErr w:type="spellEnd"/>
      <w:r>
        <w:rPr>
          <w:rStyle w:val="normaltextrun"/>
          <w:rFonts w:ascii="Calibri" w:hAnsi="Calibri" w:cs="Calibri"/>
          <w:b/>
          <w:bCs/>
          <w:i/>
          <w:iCs/>
          <w:color w:val="404040"/>
        </w:rPr>
        <w:t xml:space="preserve"> AID</w:t>
      </w:r>
    </w:p>
    <w:p w14:paraId="2D287488" w14:textId="6C2A83AB"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Dans la continuité des collaborations antérieures avec l’Australie en matière de réduction des risques de catastrophes, notamment les études sur l’intégration des risques dans les politiques d’aménagement du territoire à Mohéli et à Tamatave, ainsi que l’accord de partenariat signé avec </w:t>
      </w:r>
      <w:proofErr w:type="spellStart"/>
      <w:r>
        <w:rPr>
          <w:rStyle w:val="normaltextrun"/>
          <w:rFonts w:ascii="Verdana" w:hAnsi="Verdana" w:cs="Segoe UI"/>
          <w:sz w:val="20"/>
          <w:szCs w:val="20"/>
        </w:rPr>
        <w:t>RedR</w:t>
      </w:r>
      <w:proofErr w:type="spellEnd"/>
      <w:r>
        <w:rPr>
          <w:rStyle w:val="normaltextrun"/>
          <w:rFonts w:ascii="Verdana" w:hAnsi="Verdana" w:cs="Segoe UI"/>
          <w:sz w:val="20"/>
          <w:szCs w:val="20"/>
        </w:rPr>
        <w:t> </w:t>
      </w:r>
      <w:proofErr w:type="spellStart"/>
      <w:r>
        <w:rPr>
          <w:rStyle w:val="normaltextrun"/>
          <w:rFonts w:ascii="Verdana" w:hAnsi="Verdana" w:cs="Segoe UI"/>
          <w:sz w:val="20"/>
          <w:szCs w:val="20"/>
        </w:rPr>
        <w:t>Australia</w:t>
      </w:r>
      <w:proofErr w:type="spellEnd"/>
      <w:r>
        <w:rPr>
          <w:rStyle w:val="normaltextrun"/>
          <w:rFonts w:ascii="Verdana" w:hAnsi="Verdana" w:cs="Segoe UI"/>
          <w:sz w:val="20"/>
          <w:szCs w:val="20"/>
        </w:rPr>
        <w:t xml:space="preserve"> en 2023 pour le déploiement d’une assistance technique auprès de la COI, le gouvernement australien a réaffirmé sa volonté de poursuivre son appui.</w:t>
      </w:r>
    </w:p>
    <w:p w14:paraId="040B4660" w14:textId="5E149B64"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Depuis que </w:t>
      </w:r>
      <w:proofErr w:type="spellStart"/>
      <w:r>
        <w:rPr>
          <w:rStyle w:val="normaltextrun"/>
          <w:rFonts w:ascii="Verdana" w:hAnsi="Verdana" w:cs="Segoe UI"/>
          <w:sz w:val="20"/>
          <w:szCs w:val="20"/>
        </w:rPr>
        <w:t>TetraTech</w:t>
      </w:r>
      <w:proofErr w:type="spellEnd"/>
      <w:r>
        <w:rPr>
          <w:rStyle w:val="normaltextrun"/>
          <w:rFonts w:ascii="Verdana" w:hAnsi="Verdana" w:cs="Segoe UI"/>
          <w:sz w:val="20"/>
          <w:szCs w:val="20"/>
        </w:rPr>
        <w:t xml:space="preserve"> a repris la gestion du fonds </w:t>
      </w:r>
      <w:proofErr w:type="spellStart"/>
      <w:r>
        <w:rPr>
          <w:rStyle w:val="normaltextrun"/>
          <w:rFonts w:ascii="Verdana" w:hAnsi="Verdana" w:cs="Segoe UI"/>
          <w:sz w:val="20"/>
          <w:szCs w:val="20"/>
        </w:rPr>
        <w:t>AusAID</w:t>
      </w:r>
      <w:proofErr w:type="spellEnd"/>
      <w:r>
        <w:rPr>
          <w:rStyle w:val="normaltextrun"/>
          <w:rFonts w:ascii="Verdana" w:hAnsi="Verdana" w:cs="Segoe UI"/>
          <w:sz w:val="20"/>
          <w:szCs w:val="20"/>
        </w:rPr>
        <w:t xml:space="preserve"> en 2024</w:t>
      </w:r>
      <w:r w:rsidR="00CF7B3B">
        <w:rPr>
          <w:rStyle w:val="normaltextrun"/>
          <w:rFonts w:ascii="Verdana" w:hAnsi="Verdana" w:cs="Segoe UI"/>
          <w:sz w:val="20"/>
          <w:szCs w:val="20"/>
        </w:rPr>
        <w:t xml:space="preserve"> </w:t>
      </w:r>
      <w:r>
        <w:rPr>
          <w:rStyle w:val="normaltextrun"/>
          <w:rFonts w:ascii="Verdana" w:hAnsi="Verdana" w:cs="Segoe UI"/>
          <w:sz w:val="20"/>
          <w:szCs w:val="20"/>
        </w:rPr>
        <w:t>pour une période de dix ans, un projet d’accord d’assistance technique est en cours d’examen. Celui-ci pourrait inclure le déploiement d’un expert a</w:t>
      </w:r>
      <w:r w:rsidR="00CF7B3B">
        <w:rPr>
          <w:rStyle w:val="normaltextrun"/>
          <w:rFonts w:ascii="Verdana" w:hAnsi="Verdana" w:cs="Segoe UI"/>
          <w:sz w:val="20"/>
          <w:szCs w:val="20"/>
        </w:rPr>
        <w:t>uprès de</w:t>
      </w:r>
      <w:r>
        <w:rPr>
          <w:rStyle w:val="normaltextrun"/>
          <w:rFonts w:ascii="Verdana" w:hAnsi="Verdana" w:cs="Segoe UI"/>
          <w:sz w:val="20"/>
          <w:szCs w:val="20"/>
        </w:rPr>
        <w:t xml:space="preserve"> la COI ou d’autres formes de </w:t>
      </w:r>
      <w:r>
        <w:rPr>
          <w:rStyle w:val="normaltextrun"/>
          <w:rFonts w:ascii="Verdana" w:hAnsi="Verdana" w:cs="Segoe UI"/>
          <w:sz w:val="20"/>
          <w:szCs w:val="20"/>
        </w:rPr>
        <w:lastRenderedPageBreak/>
        <w:t xml:space="preserve">soutien technique. Un retour sur la proposition </w:t>
      </w:r>
      <w:r w:rsidR="00CF7B3B">
        <w:rPr>
          <w:rStyle w:val="normaltextrun"/>
          <w:rFonts w:ascii="Verdana" w:hAnsi="Verdana" w:cs="Segoe UI"/>
          <w:sz w:val="20"/>
          <w:szCs w:val="20"/>
        </w:rPr>
        <w:t>initiale</w:t>
      </w:r>
      <w:r w:rsidR="00CF7B3B">
        <w:rPr>
          <w:rStyle w:val="normaltextrun"/>
          <w:rFonts w:ascii="Verdana" w:hAnsi="Verdana" w:cs="Segoe UI"/>
          <w:sz w:val="20"/>
          <w:szCs w:val="20"/>
        </w:rPr>
        <w:t xml:space="preserve"> </w:t>
      </w:r>
      <w:r>
        <w:rPr>
          <w:rStyle w:val="normaltextrun"/>
          <w:rFonts w:ascii="Verdana" w:hAnsi="Verdana" w:cs="Segoe UI"/>
          <w:sz w:val="20"/>
          <w:szCs w:val="20"/>
        </w:rPr>
        <w:t xml:space="preserve">d’accord de </w:t>
      </w:r>
      <w:proofErr w:type="spellStart"/>
      <w:r>
        <w:rPr>
          <w:rStyle w:val="normaltextrun"/>
          <w:rFonts w:ascii="Verdana" w:hAnsi="Verdana" w:cs="Segoe UI"/>
          <w:sz w:val="20"/>
          <w:szCs w:val="20"/>
        </w:rPr>
        <w:t>TetraTech</w:t>
      </w:r>
      <w:proofErr w:type="spellEnd"/>
      <w:r>
        <w:rPr>
          <w:rStyle w:val="normaltextrun"/>
          <w:rFonts w:ascii="Verdana" w:hAnsi="Verdana" w:cs="Segoe UI"/>
          <w:sz w:val="20"/>
          <w:szCs w:val="20"/>
        </w:rPr>
        <w:t xml:space="preserve"> intégrant les suggestions du Secrétariat général leur</w:t>
      </w:r>
      <w:r w:rsidR="00091A37">
        <w:rPr>
          <w:rStyle w:val="normaltextrun"/>
          <w:rFonts w:ascii="Verdana" w:hAnsi="Verdana" w:cs="Segoe UI"/>
          <w:sz w:val="20"/>
          <w:szCs w:val="20"/>
        </w:rPr>
        <w:t xml:space="preserve"> </w:t>
      </w:r>
      <w:r>
        <w:rPr>
          <w:rStyle w:val="normaltextrun"/>
          <w:rFonts w:ascii="Verdana" w:hAnsi="Verdana" w:cs="Segoe UI"/>
          <w:sz w:val="20"/>
          <w:szCs w:val="20"/>
        </w:rPr>
        <w:t>sera transmis</w:t>
      </w:r>
      <w:r w:rsidR="00091A37">
        <w:rPr>
          <w:rStyle w:val="normaltextrun"/>
          <w:rFonts w:ascii="Verdana" w:hAnsi="Verdana" w:cs="Segoe UI"/>
          <w:sz w:val="20"/>
          <w:szCs w:val="20"/>
        </w:rPr>
        <w:t xml:space="preserve"> </w:t>
      </w:r>
      <w:r>
        <w:rPr>
          <w:rStyle w:val="normaltextrun"/>
          <w:rFonts w:ascii="Verdana" w:hAnsi="Verdana" w:cs="Segoe UI"/>
          <w:sz w:val="20"/>
          <w:szCs w:val="20"/>
        </w:rPr>
        <w:t>dans les prochaines semaines.</w:t>
      </w:r>
    </w:p>
    <w:p w14:paraId="3F97707F" w14:textId="11EA209E" w:rsidR="00682D3E" w:rsidRDefault="00880CBC" w:rsidP="00682D3E">
      <w:pPr>
        <w:pStyle w:val="paragraph"/>
        <w:spacing w:before="0" w:beforeAutospacing="0" w:after="0" w:afterAutospacing="0"/>
        <w:jc w:val="both"/>
        <w:textAlignment w:val="baseline"/>
        <w:rPr>
          <w:rStyle w:val="normaltextrun"/>
          <w:rFonts w:ascii="Verdana" w:hAnsi="Verdana" w:cs="Segoe UI"/>
          <w:sz w:val="20"/>
          <w:szCs w:val="20"/>
        </w:rPr>
      </w:pPr>
      <w:r>
        <w:rPr>
          <w:rStyle w:val="normaltextrun"/>
          <w:rFonts w:ascii="Verdana" w:hAnsi="Verdana" w:cs="Segoe UI"/>
          <w:sz w:val="20"/>
          <w:szCs w:val="20"/>
        </w:rPr>
        <w:t>D’autres partenaires ont indiqué leur volonté de collaborer avec la COI sur cette thématique de la RRC, notamment l</w:t>
      </w:r>
      <w:r w:rsidR="00771EDA">
        <w:rPr>
          <w:rStyle w:val="normaltextrun"/>
          <w:rFonts w:ascii="Verdana" w:hAnsi="Verdana" w:cs="Segoe UI"/>
          <w:sz w:val="20"/>
          <w:szCs w:val="20"/>
        </w:rPr>
        <w:t>e Bureau du Haut-Représentant des Nations unies pour le</w:t>
      </w:r>
      <w:r w:rsidR="007A1854">
        <w:rPr>
          <w:rStyle w:val="normaltextrun"/>
          <w:rFonts w:ascii="Verdana" w:hAnsi="Verdana" w:cs="Segoe UI"/>
          <w:sz w:val="20"/>
          <w:szCs w:val="20"/>
        </w:rPr>
        <w:t>s pays les moins avancés, les pays enclavés en développement et les petits États insulaires en développement (UNOHRLLS</w:t>
      </w:r>
      <w:r>
        <w:rPr>
          <w:rStyle w:val="normaltextrun"/>
          <w:rFonts w:ascii="Verdana" w:hAnsi="Verdana" w:cs="Segoe UI"/>
          <w:sz w:val="20"/>
          <w:szCs w:val="20"/>
        </w:rPr>
        <w:t xml:space="preserve">) </w:t>
      </w:r>
      <w:r w:rsidR="00682D3E">
        <w:rPr>
          <w:rStyle w:val="normaltextrun"/>
          <w:rFonts w:ascii="Verdana" w:hAnsi="Verdana" w:cs="Segoe UI"/>
          <w:sz w:val="20"/>
          <w:szCs w:val="20"/>
        </w:rPr>
        <w:t>dans</w:t>
      </w:r>
      <w:r w:rsidR="00091A37">
        <w:rPr>
          <w:rStyle w:val="normaltextrun"/>
          <w:rFonts w:ascii="Verdana" w:hAnsi="Verdana" w:cs="Segoe UI"/>
          <w:sz w:val="20"/>
          <w:szCs w:val="20"/>
        </w:rPr>
        <w:t xml:space="preserve"> </w:t>
      </w:r>
      <w:r w:rsidR="00682D3E">
        <w:rPr>
          <w:rStyle w:val="normaltextrun"/>
          <w:rFonts w:ascii="Verdana" w:hAnsi="Verdana" w:cs="Segoe UI"/>
          <w:sz w:val="20"/>
          <w:szCs w:val="20"/>
        </w:rPr>
        <w:t>le cadre d</w:t>
      </w:r>
      <w:r w:rsidR="00091A37">
        <w:rPr>
          <w:rStyle w:val="normaltextrun"/>
          <w:rFonts w:ascii="Verdana" w:hAnsi="Verdana" w:cs="Segoe UI"/>
          <w:sz w:val="20"/>
          <w:szCs w:val="20"/>
        </w:rPr>
        <w:t xml:space="preserve">e </w:t>
      </w:r>
      <w:r>
        <w:rPr>
          <w:rStyle w:val="normaltextrun"/>
          <w:rFonts w:ascii="Verdana" w:hAnsi="Verdana" w:cs="Segoe UI"/>
          <w:sz w:val="20"/>
          <w:szCs w:val="20"/>
        </w:rPr>
        <w:t xml:space="preserve">la mise en œuvre de </w:t>
      </w:r>
      <w:r w:rsidR="00682D3E">
        <w:rPr>
          <w:rStyle w:val="normaltextrun"/>
          <w:rFonts w:ascii="Verdana" w:hAnsi="Verdana" w:cs="Segoe UI"/>
          <w:sz w:val="20"/>
          <w:szCs w:val="20"/>
        </w:rPr>
        <w:t>l’agenda ABAS</w:t>
      </w:r>
      <w:r w:rsidR="00CF7B3B">
        <w:rPr>
          <w:rStyle w:val="normaltextrun"/>
          <w:rFonts w:ascii="Verdana" w:hAnsi="Verdana" w:cs="Segoe UI"/>
          <w:sz w:val="20"/>
          <w:szCs w:val="20"/>
        </w:rPr>
        <w:t xml:space="preserve"> </w:t>
      </w:r>
      <w:r>
        <w:rPr>
          <w:rStyle w:val="normaltextrun"/>
          <w:rFonts w:ascii="Verdana" w:hAnsi="Verdana" w:cs="Segoe UI"/>
          <w:sz w:val="20"/>
          <w:szCs w:val="20"/>
        </w:rPr>
        <w:t xml:space="preserve">ainsi que </w:t>
      </w:r>
      <w:r w:rsidR="00682D3E">
        <w:rPr>
          <w:rStyle w:val="normaltextrun"/>
          <w:rFonts w:ascii="Verdana" w:hAnsi="Verdana" w:cs="Segoe UI"/>
          <w:sz w:val="20"/>
          <w:szCs w:val="20"/>
        </w:rPr>
        <w:t xml:space="preserve">la Suisse et la </w:t>
      </w:r>
      <w:r w:rsidR="00CF7B3B">
        <w:rPr>
          <w:rStyle w:val="normaltextrun"/>
          <w:rFonts w:ascii="Verdana" w:hAnsi="Verdana" w:cs="Segoe UI"/>
          <w:sz w:val="20"/>
          <w:szCs w:val="20"/>
        </w:rPr>
        <w:t>C</w:t>
      </w:r>
      <w:r w:rsidR="00682D3E">
        <w:rPr>
          <w:rStyle w:val="normaltextrun"/>
          <w:rFonts w:ascii="Verdana" w:hAnsi="Verdana" w:cs="Segoe UI"/>
          <w:sz w:val="20"/>
          <w:szCs w:val="20"/>
        </w:rPr>
        <w:t>or</w:t>
      </w:r>
      <w:r w:rsidR="00CF7B3B">
        <w:rPr>
          <w:rStyle w:val="normaltextrun"/>
          <w:rFonts w:ascii="Verdana" w:hAnsi="Verdana" w:cs="Segoe UI"/>
          <w:sz w:val="20"/>
          <w:szCs w:val="20"/>
        </w:rPr>
        <w:t>é</w:t>
      </w:r>
      <w:r w:rsidR="00682D3E">
        <w:rPr>
          <w:rStyle w:val="normaltextrun"/>
          <w:rFonts w:ascii="Verdana" w:hAnsi="Verdana" w:cs="Segoe UI"/>
          <w:sz w:val="20"/>
          <w:szCs w:val="20"/>
        </w:rPr>
        <w:t>e du</w:t>
      </w:r>
      <w:r w:rsidR="00CF7B3B">
        <w:rPr>
          <w:rStyle w:val="normaltextrun"/>
          <w:rFonts w:ascii="Verdana" w:hAnsi="Verdana" w:cs="Segoe UI"/>
          <w:sz w:val="20"/>
          <w:szCs w:val="20"/>
        </w:rPr>
        <w:t xml:space="preserve"> </w:t>
      </w:r>
      <w:r w:rsidR="00682D3E">
        <w:rPr>
          <w:rStyle w:val="normaltextrun"/>
          <w:rFonts w:ascii="Verdana" w:hAnsi="Verdana" w:cs="Segoe UI"/>
          <w:sz w:val="20"/>
          <w:szCs w:val="20"/>
        </w:rPr>
        <w:t>Sud</w:t>
      </w:r>
      <w:r>
        <w:rPr>
          <w:rStyle w:val="normaltextrun"/>
          <w:rFonts w:ascii="Verdana" w:hAnsi="Verdana" w:cs="Segoe UI"/>
          <w:sz w:val="20"/>
          <w:szCs w:val="20"/>
        </w:rPr>
        <w:t>, observateur auprès de la COI depuis 2025.</w:t>
      </w:r>
      <w:r w:rsidR="00CF7B3B">
        <w:rPr>
          <w:rStyle w:val="normaltextrun"/>
          <w:rFonts w:ascii="Verdana" w:hAnsi="Verdana" w:cs="Segoe UI"/>
          <w:sz w:val="20"/>
          <w:szCs w:val="20"/>
        </w:rPr>
        <w:t xml:space="preserve"> </w:t>
      </w:r>
    </w:p>
    <w:p w14:paraId="6B1D34EC" w14:textId="77777777" w:rsidR="00CF7B3B" w:rsidRDefault="00CF7B3B" w:rsidP="00682D3E">
      <w:pPr>
        <w:pStyle w:val="paragraph"/>
        <w:spacing w:before="0" w:beforeAutospacing="0" w:after="0" w:afterAutospacing="0"/>
        <w:jc w:val="both"/>
        <w:textAlignment w:val="baseline"/>
        <w:rPr>
          <w:rFonts w:ascii="Segoe UI" w:hAnsi="Segoe UI" w:cs="Segoe UI"/>
          <w:sz w:val="18"/>
          <w:szCs w:val="18"/>
        </w:rPr>
      </w:pPr>
    </w:p>
    <w:p w14:paraId="2FC384A4" w14:textId="5DF20777" w:rsidR="00682D3E" w:rsidRPr="00880CBC" w:rsidRDefault="00682D3E" w:rsidP="00880CBC">
      <w:pPr>
        <w:pStyle w:val="Titrepartie"/>
      </w:pPr>
      <w:r w:rsidRPr="00880CBC">
        <w:rPr>
          <w:rStyle w:val="normaltextrun"/>
        </w:rPr>
        <w:t>Proposition de décision</w:t>
      </w:r>
    </w:p>
    <w:p w14:paraId="7AC44C82" w14:textId="14EB6C7F" w:rsidR="00682D3E" w:rsidRDefault="00682D3E" w:rsidP="00034D15">
      <w:pPr>
        <w:pStyle w:val="paragraph"/>
        <w:spacing w:before="0" w:beforeAutospacing="0" w:after="0" w:afterAutospacing="0" w:line="259" w:lineRule="auto"/>
        <w:jc w:val="both"/>
        <w:textAlignment w:val="baseline"/>
        <w:rPr>
          <w:rFonts w:ascii="Segoe UI" w:hAnsi="Segoe UI" w:cs="Segoe UI"/>
          <w:sz w:val="18"/>
          <w:szCs w:val="18"/>
        </w:rPr>
      </w:pPr>
      <w:r>
        <w:rPr>
          <w:rStyle w:val="normaltextrun"/>
          <w:rFonts w:ascii="Verdana" w:hAnsi="Verdana" w:cs="Segoe UI"/>
          <w:sz w:val="20"/>
          <w:szCs w:val="20"/>
        </w:rPr>
        <w:t xml:space="preserve">Le </w:t>
      </w:r>
      <w:r w:rsidR="00880CBC">
        <w:rPr>
          <w:rStyle w:val="normaltextrun"/>
          <w:rFonts w:ascii="Verdana" w:hAnsi="Verdana" w:cs="Segoe UI"/>
          <w:sz w:val="20"/>
          <w:szCs w:val="20"/>
        </w:rPr>
        <w:t>C</w:t>
      </w:r>
      <w:r>
        <w:rPr>
          <w:rStyle w:val="normaltextrun"/>
          <w:rFonts w:ascii="Verdana" w:hAnsi="Verdana" w:cs="Segoe UI"/>
          <w:sz w:val="20"/>
          <w:szCs w:val="20"/>
        </w:rPr>
        <w:t>omité des</w:t>
      </w:r>
      <w:r w:rsidR="00880CBC">
        <w:rPr>
          <w:rStyle w:val="normaltextrun"/>
          <w:rFonts w:ascii="Verdana" w:hAnsi="Verdana" w:cs="Segoe UI"/>
          <w:sz w:val="20"/>
          <w:szCs w:val="20"/>
        </w:rPr>
        <w:t xml:space="preserve"> </w:t>
      </w:r>
      <w:r>
        <w:rPr>
          <w:rStyle w:val="normaltextrun"/>
          <w:rFonts w:ascii="Verdana" w:hAnsi="Verdana" w:cs="Segoe UI"/>
          <w:sz w:val="20"/>
          <w:szCs w:val="20"/>
        </w:rPr>
        <w:t>OPL</w:t>
      </w:r>
      <w:r w:rsidR="00880CBC">
        <w:rPr>
          <w:rStyle w:val="normaltextrun"/>
          <w:rFonts w:ascii="Verdana" w:hAnsi="Verdana" w:cs="Segoe UI"/>
          <w:sz w:val="20"/>
          <w:szCs w:val="20"/>
        </w:rPr>
        <w:t xml:space="preserve"> : </w:t>
      </w:r>
    </w:p>
    <w:p w14:paraId="338F5129" w14:textId="77777777" w:rsidR="007E1AA6" w:rsidRPr="007E1AA6" w:rsidRDefault="007E1AA6" w:rsidP="00034D15">
      <w:pPr>
        <w:pStyle w:val="paragraph"/>
        <w:numPr>
          <w:ilvl w:val="0"/>
          <w:numId w:val="39"/>
        </w:numPr>
        <w:spacing w:before="0" w:beforeAutospacing="0" w:after="0" w:afterAutospacing="0" w:line="259" w:lineRule="auto"/>
        <w:jc w:val="both"/>
        <w:textAlignment w:val="baseline"/>
        <w:rPr>
          <w:rStyle w:val="normaltextrun"/>
          <w:rFonts w:ascii="Segoe UI" w:hAnsi="Segoe UI" w:cs="Segoe UI"/>
          <w:sz w:val="18"/>
          <w:szCs w:val="18"/>
        </w:rPr>
      </w:pPr>
      <w:r>
        <w:rPr>
          <w:rStyle w:val="normaltextrun"/>
          <w:rFonts w:ascii="Verdana" w:hAnsi="Verdana" w:cs="Segoe UI"/>
          <w:sz w:val="20"/>
          <w:szCs w:val="20"/>
        </w:rPr>
        <w:t>Remercie l’Union européenne pour l’appui financier et technique ayant permis de mettre en œuvre des actions structurantes en faveur de la réduction des risques de catastrophes à travers le projet RDRM-IO</w:t>
      </w:r>
      <w:r>
        <w:rPr>
          <w:rStyle w:val="normaltextrun"/>
          <w:rFonts w:ascii="Verdana" w:hAnsi="Verdana" w:cs="Segoe UI"/>
          <w:sz w:val="20"/>
          <w:szCs w:val="20"/>
        </w:rPr>
        <w:t xml:space="preserve"> ; </w:t>
      </w:r>
    </w:p>
    <w:p w14:paraId="57B81BA0" w14:textId="7CBE8207" w:rsidR="00682D3E" w:rsidRDefault="00034D15" w:rsidP="00034D15">
      <w:pPr>
        <w:pStyle w:val="paragraph"/>
        <w:numPr>
          <w:ilvl w:val="0"/>
          <w:numId w:val="39"/>
        </w:numPr>
        <w:spacing w:before="0" w:beforeAutospacing="0" w:after="0" w:afterAutospacing="0" w:line="259" w:lineRule="auto"/>
        <w:jc w:val="both"/>
        <w:textAlignment w:val="baseline"/>
        <w:rPr>
          <w:rFonts w:ascii="Segoe UI" w:hAnsi="Segoe UI" w:cs="Segoe UI"/>
          <w:sz w:val="18"/>
          <w:szCs w:val="18"/>
        </w:rPr>
      </w:pPr>
      <w:r>
        <w:rPr>
          <w:rStyle w:val="normaltextrun"/>
          <w:rFonts w:ascii="Verdana" w:hAnsi="Verdana" w:cs="Segoe UI"/>
          <w:sz w:val="20"/>
          <w:szCs w:val="20"/>
        </w:rPr>
        <w:t>D</w:t>
      </w:r>
      <w:r w:rsidR="00682D3E">
        <w:rPr>
          <w:rStyle w:val="normaltextrun"/>
          <w:rFonts w:ascii="Verdana" w:hAnsi="Verdana" w:cs="Segoe UI"/>
          <w:sz w:val="20"/>
          <w:szCs w:val="20"/>
        </w:rPr>
        <w:t xml:space="preserve">emande au Secrétariat général </w:t>
      </w:r>
      <w:r w:rsidR="000023C0">
        <w:rPr>
          <w:rStyle w:val="normaltextrun"/>
          <w:rFonts w:ascii="Verdana" w:hAnsi="Verdana" w:cs="Segoe UI"/>
          <w:sz w:val="20"/>
          <w:szCs w:val="20"/>
        </w:rPr>
        <w:t xml:space="preserve">de veiller à la </w:t>
      </w:r>
      <w:r w:rsidR="004E1EF3">
        <w:rPr>
          <w:rStyle w:val="normaltextrun"/>
          <w:rFonts w:ascii="Verdana" w:hAnsi="Verdana" w:cs="Segoe UI"/>
          <w:sz w:val="20"/>
          <w:szCs w:val="20"/>
        </w:rPr>
        <w:t>mise en œuvre d’actions de capitalisation et pérennisation des</w:t>
      </w:r>
      <w:r w:rsidR="00682D3E">
        <w:rPr>
          <w:rStyle w:val="normaltextrun"/>
          <w:rFonts w:ascii="Verdana" w:hAnsi="Verdana" w:cs="Segoe UI"/>
          <w:sz w:val="20"/>
          <w:szCs w:val="20"/>
        </w:rPr>
        <w:t xml:space="preserve"> acquis </w:t>
      </w:r>
      <w:r w:rsidR="004E1EF3">
        <w:rPr>
          <w:rStyle w:val="normaltextrun"/>
          <w:rFonts w:ascii="Verdana" w:hAnsi="Verdana" w:cs="Segoe UI"/>
          <w:sz w:val="20"/>
          <w:szCs w:val="20"/>
        </w:rPr>
        <w:t>de ce projet</w:t>
      </w:r>
      <w:r>
        <w:rPr>
          <w:rStyle w:val="normaltextrun"/>
          <w:rFonts w:ascii="Verdana" w:hAnsi="Verdana" w:cs="Segoe UI"/>
          <w:sz w:val="20"/>
          <w:szCs w:val="20"/>
        </w:rPr>
        <w:t xml:space="preserve"> RDRM-IO</w:t>
      </w:r>
      <w:r w:rsidR="004E1EF3">
        <w:rPr>
          <w:rStyle w:val="normaltextrun"/>
          <w:rFonts w:ascii="Verdana" w:hAnsi="Verdana" w:cs="Segoe UI"/>
          <w:sz w:val="20"/>
          <w:szCs w:val="20"/>
        </w:rPr>
        <w:t xml:space="preserve"> ; </w:t>
      </w:r>
    </w:p>
    <w:p w14:paraId="7BB30457" w14:textId="1681596A" w:rsidR="007E1AA6" w:rsidRPr="007E1AA6" w:rsidRDefault="007E1AA6" w:rsidP="00034D15">
      <w:pPr>
        <w:pStyle w:val="paragraph"/>
        <w:numPr>
          <w:ilvl w:val="0"/>
          <w:numId w:val="39"/>
        </w:numPr>
        <w:spacing w:before="0" w:beforeAutospacing="0" w:after="0" w:afterAutospacing="0" w:line="259" w:lineRule="auto"/>
        <w:jc w:val="both"/>
        <w:textAlignment w:val="baseline"/>
        <w:rPr>
          <w:rStyle w:val="normaltextrun"/>
          <w:rFonts w:ascii="Segoe UI" w:hAnsi="Segoe UI" w:cs="Segoe UI"/>
          <w:sz w:val="18"/>
          <w:szCs w:val="18"/>
        </w:rPr>
      </w:pPr>
      <w:r>
        <w:rPr>
          <w:rStyle w:val="normaltextrun"/>
          <w:rFonts w:ascii="Verdana" w:hAnsi="Verdana" w:cs="Segoe UI"/>
          <w:sz w:val="20"/>
          <w:szCs w:val="20"/>
        </w:rPr>
        <w:t>Donne mandat au</w:t>
      </w:r>
      <w:r>
        <w:rPr>
          <w:rStyle w:val="normaltextrun"/>
          <w:rFonts w:ascii="Verdana" w:hAnsi="Verdana" w:cs="Segoe UI"/>
          <w:sz w:val="20"/>
          <w:szCs w:val="20"/>
        </w:rPr>
        <w:t xml:space="preserve"> Secrétaire général de la COI </w:t>
      </w:r>
      <w:r>
        <w:rPr>
          <w:rStyle w:val="normaltextrun"/>
          <w:rFonts w:ascii="Verdana" w:hAnsi="Verdana" w:cs="Segoe UI"/>
          <w:sz w:val="20"/>
          <w:szCs w:val="20"/>
        </w:rPr>
        <w:t>de</w:t>
      </w:r>
      <w:r>
        <w:rPr>
          <w:rStyle w:val="normaltextrun"/>
          <w:rFonts w:ascii="Verdana" w:hAnsi="Verdana" w:cs="Segoe UI"/>
          <w:sz w:val="20"/>
          <w:szCs w:val="20"/>
        </w:rPr>
        <w:t xml:space="preserve"> signer le protocole de coopération avec l’agence des Nations unies UN-Habitat et de veiller à la mise en œuvre effective d’actions conjointes en concertation avec les États membres</w:t>
      </w:r>
      <w:r>
        <w:rPr>
          <w:rStyle w:val="normaltextrun"/>
          <w:rFonts w:ascii="Verdana" w:hAnsi="Verdana" w:cs="Segoe UI"/>
          <w:sz w:val="20"/>
          <w:szCs w:val="20"/>
        </w:rPr>
        <w:t xml:space="preserve"> ; </w:t>
      </w:r>
    </w:p>
    <w:p w14:paraId="5F2731FD" w14:textId="0E8FF66C" w:rsidR="00682D3E" w:rsidRDefault="00682D3E" w:rsidP="00034D15">
      <w:pPr>
        <w:pStyle w:val="paragraph"/>
        <w:numPr>
          <w:ilvl w:val="0"/>
          <w:numId w:val="39"/>
        </w:numPr>
        <w:spacing w:before="0" w:beforeAutospacing="0" w:after="0" w:afterAutospacing="0" w:line="259" w:lineRule="auto"/>
        <w:jc w:val="both"/>
        <w:textAlignment w:val="baseline"/>
        <w:rPr>
          <w:rFonts w:ascii="Segoe UI" w:hAnsi="Segoe UI" w:cs="Segoe UI"/>
          <w:sz w:val="18"/>
          <w:szCs w:val="18"/>
        </w:rPr>
      </w:pPr>
      <w:r>
        <w:rPr>
          <w:rStyle w:val="normaltextrun"/>
          <w:rFonts w:ascii="Verdana" w:hAnsi="Verdana" w:cs="Segoe UI"/>
          <w:sz w:val="20"/>
          <w:szCs w:val="20"/>
        </w:rPr>
        <w:t xml:space="preserve">Invite le Secrétaire général à poursuivre les démarches auprès des agences du système des Nations </w:t>
      </w:r>
      <w:r w:rsidR="009F045F">
        <w:rPr>
          <w:rStyle w:val="normaltextrun"/>
          <w:rFonts w:ascii="Verdana" w:hAnsi="Verdana" w:cs="Segoe UI"/>
          <w:sz w:val="20"/>
          <w:szCs w:val="20"/>
        </w:rPr>
        <w:t>u</w:t>
      </w:r>
      <w:r>
        <w:rPr>
          <w:rStyle w:val="normaltextrun"/>
          <w:rFonts w:ascii="Verdana" w:hAnsi="Verdana" w:cs="Segoe UI"/>
          <w:sz w:val="20"/>
          <w:szCs w:val="20"/>
        </w:rPr>
        <w:t>nies, notamment UNDRR et UN-Habitat, ainsi qu’auprès d’autres partenaires techniques et financiers, en concertation avec les États membres, en vue de développer de nouveaux projets dans le domaine de la réduction des risques de catastrophes</w:t>
      </w:r>
      <w:r w:rsidR="00053896">
        <w:rPr>
          <w:rStyle w:val="normaltextrun"/>
          <w:rFonts w:ascii="Verdana" w:hAnsi="Verdana" w:cs="Segoe UI"/>
          <w:sz w:val="20"/>
          <w:szCs w:val="20"/>
        </w:rPr>
        <w:t>, notamment pour financement auprès des Fonds climatiques (Fonds des pertes et dommages et Fonds vert pour le climat)</w:t>
      </w:r>
      <w:r w:rsidR="009F6FA4">
        <w:rPr>
          <w:rStyle w:val="normaltextrun"/>
          <w:rFonts w:ascii="Verdana" w:hAnsi="Verdana" w:cs="Segoe UI"/>
          <w:sz w:val="20"/>
          <w:szCs w:val="20"/>
        </w:rPr>
        <w:t> ;</w:t>
      </w:r>
    </w:p>
    <w:p w14:paraId="7DB595FE" w14:textId="19D50CE6" w:rsidR="00682D3E" w:rsidRPr="009F6FA4" w:rsidRDefault="00682D3E" w:rsidP="00034D15">
      <w:pPr>
        <w:pStyle w:val="paragraph"/>
        <w:numPr>
          <w:ilvl w:val="0"/>
          <w:numId w:val="39"/>
        </w:numPr>
        <w:spacing w:before="0" w:beforeAutospacing="0" w:after="0" w:afterAutospacing="0" w:line="259" w:lineRule="auto"/>
        <w:jc w:val="both"/>
        <w:textAlignment w:val="baseline"/>
        <w:rPr>
          <w:rStyle w:val="normaltextrun"/>
          <w:rFonts w:ascii="Segoe UI" w:hAnsi="Segoe UI" w:cs="Segoe UI"/>
          <w:sz w:val="18"/>
          <w:szCs w:val="18"/>
        </w:rPr>
      </w:pPr>
      <w:r>
        <w:rPr>
          <w:rStyle w:val="normaltextrun"/>
          <w:rFonts w:ascii="Verdana" w:hAnsi="Verdana" w:cs="Segoe UI"/>
          <w:sz w:val="20"/>
          <w:szCs w:val="20"/>
        </w:rPr>
        <w:t>Demande au Secretariat</w:t>
      </w:r>
      <w:r w:rsidR="009F6FA4">
        <w:rPr>
          <w:rStyle w:val="normaltextrun"/>
          <w:rFonts w:ascii="Verdana" w:hAnsi="Verdana" w:cs="Segoe UI"/>
          <w:sz w:val="20"/>
          <w:szCs w:val="20"/>
        </w:rPr>
        <w:t xml:space="preserve"> </w:t>
      </w:r>
      <w:r>
        <w:rPr>
          <w:rStyle w:val="normaltextrun"/>
          <w:rFonts w:ascii="Verdana" w:hAnsi="Verdana" w:cs="Segoe UI"/>
          <w:sz w:val="20"/>
          <w:szCs w:val="20"/>
        </w:rPr>
        <w:t>général</w:t>
      </w:r>
      <w:r w:rsidR="009F6FA4">
        <w:rPr>
          <w:rStyle w:val="normaltextrun"/>
          <w:rFonts w:ascii="Verdana" w:hAnsi="Verdana" w:cs="Segoe UI"/>
          <w:sz w:val="20"/>
          <w:szCs w:val="20"/>
        </w:rPr>
        <w:t xml:space="preserve"> </w:t>
      </w:r>
      <w:r>
        <w:rPr>
          <w:rStyle w:val="normaltextrun"/>
          <w:rFonts w:ascii="Verdana" w:hAnsi="Verdana" w:cs="Segoe UI"/>
          <w:sz w:val="20"/>
          <w:szCs w:val="20"/>
        </w:rPr>
        <w:t>de</w:t>
      </w:r>
      <w:r w:rsidR="00646D7D">
        <w:rPr>
          <w:rStyle w:val="normaltextrun"/>
          <w:rFonts w:ascii="Verdana" w:hAnsi="Verdana" w:cs="Segoe UI"/>
          <w:sz w:val="20"/>
          <w:szCs w:val="20"/>
        </w:rPr>
        <w:t xml:space="preserve"> </w:t>
      </w:r>
      <w:r>
        <w:rPr>
          <w:rStyle w:val="normaltextrun"/>
          <w:rFonts w:ascii="Verdana" w:hAnsi="Verdana" w:cs="Segoe UI"/>
          <w:sz w:val="20"/>
          <w:szCs w:val="20"/>
        </w:rPr>
        <w:t>poursuivre ses</w:t>
      </w:r>
      <w:r w:rsidR="00646D7D">
        <w:rPr>
          <w:rStyle w:val="normaltextrun"/>
          <w:rFonts w:ascii="Verdana" w:hAnsi="Verdana" w:cs="Segoe UI"/>
          <w:sz w:val="20"/>
          <w:szCs w:val="20"/>
        </w:rPr>
        <w:t xml:space="preserve"> </w:t>
      </w:r>
      <w:r>
        <w:rPr>
          <w:rStyle w:val="normaltextrun"/>
          <w:rFonts w:ascii="Verdana" w:hAnsi="Verdana" w:cs="Segoe UI"/>
          <w:sz w:val="20"/>
          <w:szCs w:val="20"/>
        </w:rPr>
        <w:t xml:space="preserve">échanges avec les pays </w:t>
      </w:r>
      <w:r w:rsidR="00646D7D">
        <w:rPr>
          <w:rStyle w:val="normaltextrun"/>
          <w:rFonts w:ascii="Verdana" w:hAnsi="Verdana" w:cs="Segoe UI"/>
          <w:sz w:val="20"/>
          <w:szCs w:val="20"/>
        </w:rPr>
        <w:t>tiers</w:t>
      </w:r>
      <w:r>
        <w:rPr>
          <w:rStyle w:val="normaltextrun"/>
          <w:rFonts w:ascii="Verdana" w:hAnsi="Verdana" w:cs="Segoe UI"/>
          <w:sz w:val="20"/>
          <w:szCs w:val="20"/>
        </w:rPr>
        <w:t xml:space="preserve"> qui</w:t>
      </w:r>
      <w:r w:rsidR="00646D7D">
        <w:rPr>
          <w:rStyle w:val="normaltextrun"/>
          <w:rFonts w:ascii="Verdana" w:hAnsi="Verdana" w:cs="Segoe UI"/>
          <w:sz w:val="20"/>
          <w:szCs w:val="20"/>
        </w:rPr>
        <w:t xml:space="preserve"> </w:t>
      </w:r>
      <w:r>
        <w:rPr>
          <w:rStyle w:val="normaltextrun"/>
          <w:rFonts w:ascii="Verdana" w:hAnsi="Verdana" w:cs="Segoe UI"/>
          <w:sz w:val="20"/>
          <w:szCs w:val="20"/>
        </w:rPr>
        <w:t>ont</w:t>
      </w:r>
      <w:r w:rsidR="00646D7D">
        <w:rPr>
          <w:rStyle w:val="normaltextrun"/>
          <w:rFonts w:ascii="Verdana" w:hAnsi="Verdana" w:cs="Segoe UI"/>
          <w:sz w:val="20"/>
          <w:szCs w:val="20"/>
        </w:rPr>
        <w:t xml:space="preserve"> exprimé leur intérêt à collaborer avec la COI dans le domaine de la réduction des risques</w:t>
      </w:r>
      <w:r w:rsidR="00DE55C4">
        <w:rPr>
          <w:rStyle w:val="normaltextrun"/>
          <w:rFonts w:ascii="Verdana" w:hAnsi="Verdana" w:cs="Segoe UI"/>
          <w:sz w:val="20"/>
          <w:szCs w:val="20"/>
        </w:rPr>
        <w:t xml:space="preserve"> et de soumettre aux prochaines instances une fiche présentant les opportunités d’actions ou de projets communs</w:t>
      </w:r>
      <w:r w:rsidR="00053896">
        <w:rPr>
          <w:rStyle w:val="normaltextrun"/>
          <w:rFonts w:ascii="Verdana" w:hAnsi="Verdana" w:cs="Segoe UI"/>
          <w:sz w:val="20"/>
          <w:szCs w:val="20"/>
        </w:rPr>
        <w:t xml:space="preserve">. </w:t>
      </w:r>
    </w:p>
    <w:p w14:paraId="20463408" w14:textId="6EB81AA5" w:rsidR="00241EEB" w:rsidRDefault="00646D7D" w:rsidP="00053896">
      <w:pPr>
        <w:pStyle w:val="paragraph"/>
        <w:spacing w:before="0" w:beforeAutospacing="0" w:after="0" w:afterAutospacing="0" w:line="259" w:lineRule="auto"/>
        <w:ind w:left="1440"/>
        <w:jc w:val="both"/>
        <w:textAlignment w:val="baseline"/>
        <w:rPr>
          <w:rFonts w:ascii="Segoe UI" w:hAnsi="Segoe UI" w:cs="Segoe UI"/>
          <w:sz w:val="18"/>
          <w:szCs w:val="18"/>
        </w:rPr>
      </w:pPr>
      <w:r>
        <w:rPr>
          <w:rStyle w:val="normaltextrun"/>
          <w:rFonts w:ascii="Verdana" w:hAnsi="Verdana" w:cs="Segoe UI"/>
          <w:sz w:val="20"/>
          <w:szCs w:val="20"/>
        </w:rPr>
        <w:t xml:space="preserve"> </w:t>
      </w:r>
    </w:p>
    <w:p w14:paraId="3A481E5F" w14:textId="499415F6" w:rsidR="00682D3E" w:rsidRDefault="00682D3E" w:rsidP="00682D3E">
      <w:pPr>
        <w:pStyle w:val="paragraph"/>
        <w:spacing w:before="0" w:beforeAutospacing="0" w:after="0" w:afterAutospacing="0"/>
        <w:jc w:val="both"/>
        <w:textAlignment w:val="baseline"/>
        <w:rPr>
          <w:rFonts w:ascii="Segoe UI" w:hAnsi="Segoe UI" w:cs="Segoe UI"/>
          <w:sz w:val="18"/>
          <w:szCs w:val="18"/>
        </w:rPr>
      </w:pPr>
    </w:p>
    <w:p w14:paraId="7BC1E7F8" w14:textId="511B66F7" w:rsidR="00682D3E" w:rsidRPr="00880CBC" w:rsidRDefault="00682D3E" w:rsidP="00880CBC">
      <w:pPr>
        <w:pStyle w:val="Titrepartie"/>
      </w:pPr>
      <w:r w:rsidRPr="00880CBC">
        <w:rPr>
          <w:rStyle w:val="normaltextrun"/>
        </w:rPr>
        <w:t>Annexes</w:t>
      </w:r>
    </w:p>
    <w:p w14:paraId="58ECFD8B" w14:textId="33CD62F1" w:rsidR="00682D3E" w:rsidRDefault="00682D3E" w:rsidP="00682D3E">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i/>
          <w:iCs/>
          <w:sz w:val="20"/>
          <w:szCs w:val="20"/>
        </w:rPr>
        <w:t xml:space="preserve">Annexe 1: Lettres et </w:t>
      </w:r>
      <w:proofErr w:type="spellStart"/>
      <w:r>
        <w:rPr>
          <w:rStyle w:val="normaltextrun"/>
          <w:rFonts w:ascii="Verdana" w:hAnsi="Verdana" w:cs="Segoe UI"/>
          <w:i/>
          <w:iCs/>
          <w:sz w:val="20"/>
          <w:szCs w:val="20"/>
        </w:rPr>
        <w:t>MoU</w:t>
      </w:r>
      <w:proofErr w:type="spellEnd"/>
      <w:r>
        <w:rPr>
          <w:rStyle w:val="normaltextrun"/>
          <w:rFonts w:ascii="Verdana" w:hAnsi="Verdana" w:cs="Segoe UI"/>
          <w:i/>
          <w:iCs/>
          <w:sz w:val="20"/>
          <w:szCs w:val="20"/>
        </w:rPr>
        <w:t xml:space="preserve"> entre la COI et UN Habitat</w:t>
      </w:r>
    </w:p>
    <w:p w14:paraId="4648F921" w14:textId="58E9DD87" w:rsidR="008F173C" w:rsidRPr="00C66178" w:rsidRDefault="008F173C" w:rsidP="00682D3E">
      <w:pPr>
        <w:pStyle w:val="Paragraphe"/>
        <w:rPr>
          <w:rFonts w:ascii="Segoe UI" w:hAnsi="Segoe UI" w:cs="Segoe UI"/>
          <w:b/>
          <w:bCs/>
          <w:color w:val="0070C0"/>
          <w:sz w:val="18"/>
          <w:szCs w:val="18"/>
        </w:rPr>
      </w:pPr>
    </w:p>
    <w:sectPr w:rsidR="008F173C" w:rsidRPr="00C66178"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60AF" w14:textId="77777777" w:rsidR="000472DD" w:rsidRDefault="000472DD">
      <w:pPr>
        <w:spacing w:after="0" w:line="240" w:lineRule="auto"/>
      </w:pPr>
      <w:r>
        <w:separator/>
      </w:r>
    </w:p>
  </w:endnote>
  <w:endnote w:type="continuationSeparator" w:id="0">
    <w:p w14:paraId="60D3C842" w14:textId="77777777" w:rsidR="000472DD" w:rsidRDefault="0004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038E" w14:textId="77777777" w:rsidR="000472DD" w:rsidRDefault="000472DD">
      <w:pPr>
        <w:spacing w:after="0" w:line="240" w:lineRule="auto"/>
      </w:pPr>
      <w:r>
        <w:separator/>
      </w:r>
    </w:p>
  </w:footnote>
  <w:footnote w:type="continuationSeparator" w:id="0">
    <w:p w14:paraId="1D6A4029" w14:textId="77777777" w:rsidR="000472DD" w:rsidRDefault="00047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4CC1459D" w:rsidR="00AA63A3" w:rsidRDefault="00854EEA" w:rsidP="00D65935">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0F5D8C">
      <w:rPr>
        <w:rFonts w:ascii="Verdana" w:hAnsi="Verdana"/>
        <w:b/>
        <w:bCs/>
        <w:sz w:val="20"/>
        <w:szCs w:val="20"/>
      </w:rPr>
      <w:t>2.1</w:t>
    </w:r>
    <w:r w:rsidR="00682D3E">
      <w:rPr>
        <w:rFonts w:ascii="Verdana" w:hAnsi="Verdana"/>
        <w:b/>
        <w:bCs/>
        <w:sz w:val="20"/>
        <w:szCs w:val="20"/>
      </w:rPr>
      <w:t>2</w:t>
    </w:r>
    <w:r w:rsidR="00C2045B">
      <w:rPr>
        <w:rFonts w:ascii="Verdana" w:hAnsi="Verdana"/>
        <w:b/>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85"/>
    <w:multiLevelType w:val="multilevel"/>
    <w:tmpl w:val="B3C2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D2A20"/>
    <w:multiLevelType w:val="multilevel"/>
    <w:tmpl w:val="A76C6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35000"/>
    <w:multiLevelType w:val="multilevel"/>
    <w:tmpl w:val="C25E3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0FE07ECA"/>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ascii="Verdana" w:hAnsi="Verdana" w:hint="default"/>
        <w:color w:val="006C92"/>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4779F6"/>
    <w:multiLevelType w:val="hybridMultilevel"/>
    <w:tmpl w:val="ABB6DB52"/>
    <w:lvl w:ilvl="0" w:tplc="1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56C1306"/>
    <w:multiLevelType w:val="multilevel"/>
    <w:tmpl w:val="083AE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B93211"/>
    <w:multiLevelType w:val="multilevel"/>
    <w:tmpl w:val="ED10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C86879"/>
    <w:multiLevelType w:val="multilevel"/>
    <w:tmpl w:val="7CA68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AE4F0F"/>
    <w:multiLevelType w:val="multilevel"/>
    <w:tmpl w:val="73AC1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C932F3"/>
    <w:multiLevelType w:val="multilevel"/>
    <w:tmpl w:val="880CB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0B2FD3"/>
    <w:multiLevelType w:val="multilevel"/>
    <w:tmpl w:val="FC26E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502D5F"/>
    <w:multiLevelType w:val="multilevel"/>
    <w:tmpl w:val="A5EE0E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A771672"/>
    <w:multiLevelType w:val="multilevel"/>
    <w:tmpl w:val="A8FA00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B4E5B18"/>
    <w:multiLevelType w:val="hybridMultilevel"/>
    <w:tmpl w:val="E4681A3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067994"/>
    <w:multiLevelType w:val="multilevel"/>
    <w:tmpl w:val="055875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6E2278"/>
    <w:multiLevelType w:val="multilevel"/>
    <w:tmpl w:val="0180D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824ED"/>
    <w:multiLevelType w:val="multilevel"/>
    <w:tmpl w:val="C5E0B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3857D0"/>
    <w:multiLevelType w:val="multilevel"/>
    <w:tmpl w:val="16203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4293F"/>
    <w:multiLevelType w:val="multilevel"/>
    <w:tmpl w:val="22102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DF5E38"/>
    <w:multiLevelType w:val="multilevel"/>
    <w:tmpl w:val="8DB85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5C7BF8"/>
    <w:multiLevelType w:val="multilevel"/>
    <w:tmpl w:val="73062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1B178F"/>
    <w:multiLevelType w:val="multilevel"/>
    <w:tmpl w:val="1768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022408"/>
    <w:multiLevelType w:val="multilevel"/>
    <w:tmpl w:val="FF108D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9C3B8A"/>
    <w:multiLevelType w:val="hybridMultilevel"/>
    <w:tmpl w:val="76483FBC"/>
    <w:lvl w:ilvl="0" w:tplc="791CC360">
      <w:start w:val="1"/>
      <w:numFmt w:val="lowerLetter"/>
      <w:lvlText w:val="%1)"/>
      <w:lvlJc w:val="left"/>
      <w:pPr>
        <w:ind w:left="1860" w:hanging="360"/>
      </w:pPr>
      <w:rPr>
        <w:rFonts w:ascii="Verdana" w:hAnsi="Verdana" w:hint="default"/>
        <w:b w:val="0"/>
        <w:bCs w:val="0"/>
        <w:color w:val="auto"/>
        <w:sz w:val="20"/>
        <w:szCs w:val="20"/>
      </w:rPr>
    </w:lvl>
    <w:lvl w:ilvl="1" w:tplc="040C0019" w:tentative="1">
      <w:start w:val="1"/>
      <w:numFmt w:val="lowerLetter"/>
      <w:lvlText w:val="%2."/>
      <w:lvlJc w:val="left"/>
      <w:pPr>
        <w:ind w:left="2580" w:hanging="360"/>
      </w:pPr>
    </w:lvl>
    <w:lvl w:ilvl="2" w:tplc="040C001B" w:tentative="1">
      <w:start w:val="1"/>
      <w:numFmt w:val="lowerRoman"/>
      <w:lvlText w:val="%3."/>
      <w:lvlJc w:val="right"/>
      <w:pPr>
        <w:ind w:left="3300" w:hanging="180"/>
      </w:pPr>
    </w:lvl>
    <w:lvl w:ilvl="3" w:tplc="040C000F" w:tentative="1">
      <w:start w:val="1"/>
      <w:numFmt w:val="decimal"/>
      <w:lvlText w:val="%4."/>
      <w:lvlJc w:val="left"/>
      <w:pPr>
        <w:ind w:left="4020" w:hanging="360"/>
      </w:pPr>
    </w:lvl>
    <w:lvl w:ilvl="4" w:tplc="040C0019" w:tentative="1">
      <w:start w:val="1"/>
      <w:numFmt w:val="lowerLetter"/>
      <w:lvlText w:val="%5."/>
      <w:lvlJc w:val="left"/>
      <w:pPr>
        <w:ind w:left="4740" w:hanging="360"/>
      </w:pPr>
    </w:lvl>
    <w:lvl w:ilvl="5" w:tplc="040C001B" w:tentative="1">
      <w:start w:val="1"/>
      <w:numFmt w:val="lowerRoman"/>
      <w:lvlText w:val="%6."/>
      <w:lvlJc w:val="right"/>
      <w:pPr>
        <w:ind w:left="5460" w:hanging="180"/>
      </w:pPr>
    </w:lvl>
    <w:lvl w:ilvl="6" w:tplc="040C000F" w:tentative="1">
      <w:start w:val="1"/>
      <w:numFmt w:val="decimal"/>
      <w:lvlText w:val="%7."/>
      <w:lvlJc w:val="left"/>
      <w:pPr>
        <w:ind w:left="6180" w:hanging="360"/>
      </w:pPr>
    </w:lvl>
    <w:lvl w:ilvl="7" w:tplc="040C0019" w:tentative="1">
      <w:start w:val="1"/>
      <w:numFmt w:val="lowerLetter"/>
      <w:lvlText w:val="%8."/>
      <w:lvlJc w:val="left"/>
      <w:pPr>
        <w:ind w:left="6900" w:hanging="360"/>
      </w:pPr>
    </w:lvl>
    <w:lvl w:ilvl="8" w:tplc="040C001B" w:tentative="1">
      <w:start w:val="1"/>
      <w:numFmt w:val="lowerRoman"/>
      <w:lvlText w:val="%9."/>
      <w:lvlJc w:val="right"/>
      <w:pPr>
        <w:ind w:left="7620" w:hanging="180"/>
      </w:pPr>
    </w:lvl>
  </w:abstractNum>
  <w:abstractNum w:abstractNumId="31" w15:restartNumberingAfterBreak="0">
    <w:nsid w:val="64136D64"/>
    <w:multiLevelType w:val="multilevel"/>
    <w:tmpl w:val="C6BE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4D637A"/>
    <w:multiLevelType w:val="multilevel"/>
    <w:tmpl w:val="3154C4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8D73EBE"/>
    <w:multiLevelType w:val="multilevel"/>
    <w:tmpl w:val="630A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4A63FF"/>
    <w:multiLevelType w:val="hybridMultilevel"/>
    <w:tmpl w:val="130E3C28"/>
    <w:lvl w:ilvl="0" w:tplc="123AB8E0">
      <w:start w:val="1"/>
      <w:numFmt w:val="lowerLetter"/>
      <w:lvlText w:val="%1)"/>
      <w:lvlJc w:val="left"/>
      <w:pPr>
        <w:ind w:left="720" w:hanging="360"/>
      </w:pPr>
      <w:rPr>
        <w:rFonts w:ascii="Verdana" w:hAnsi="Verdana"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AB25C94"/>
    <w:multiLevelType w:val="hybridMultilevel"/>
    <w:tmpl w:val="0BA061CC"/>
    <w:lvl w:ilvl="0" w:tplc="D0003B3E">
      <w:start w:val="4"/>
      <w:numFmt w:val="bullet"/>
      <w:lvlText w:val="-"/>
      <w:lvlJc w:val="left"/>
      <w:pPr>
        <w:ind w:left="1080" w:hanging="360"/>
      </w:pPr>
      <w:rPr>
        <w:rFonts w:ascii="Verdana" w:eastAsiaTheme="minorHAnsi" w:hAnsi="Verdana" w:cs="Calibr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6" w15:restartNumberingAfterBreak="0">
    <w:nsid w:val="7C133470"/>
    <w:multiLevelType w:val="multilevel"/>
    <w:tmpl w:val="B02070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74384E"/>
    <w:multiLevelType w:val="multilevel"/>
    <w:tmpl w:val="72FC8B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7496963">
    <w:abstractNumId w:val="10"/>
  </w:num>
  <w:num w:numId="2" w16cid:durableId="87430696">
    <w:abstractNumId w:val="27"/>
  </w:num>
  <w:num w:numId="3" w16cid:durableId="107437032">
    <w:abstractNumId w:val="5"/>
  </w:num>
  <w:num w:numId="4" w16cid:durableId="1405029557">
    <w:abstractNumId w:val="3"/>
  </w:num>
  <w:num w:numId="5" w16cid:durableId="1488283757">
    <w:abstractNumId w:val="25"/>
  </w:num>
  <w:num w:numId="6" w16cid:durableId="1333527481">
    <w:abstractNumId w:val="8"/>
  </w:num>
  <w:num w:numId="7" w16cid:durableId="1323704895">
    <w:abstractNumId w:val="11"/>
  </w:num>
  <w:num w:numId="8" w16cid:durableId="1240209518">
    <w:abstractNumId w:val="5"/>
    <w:lvlOverride w:ilvl="0">
      <w:startOverride w:val="1"/>
    </w:lvlOverride>
  </w:num>
  <w:num w:numId="9" w16cid:durableId="1744646748">
    <w:abstractNumId w:val="4"/>
  </w:num>
  <w:num w:numId="10" w16cid:durableId="1595243667">
    <w:abstractNumId w:val="35"/>
  </w:num>
  <w:num w:numId="11" w16cid:durableId="841625001">
    <w:abstractNumId w:val="6"/>
  </w:num>
  <w:num w:numId="12" w16cid:durableId="492843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8182427">
    <w:abstractNumId w:val="21"/>
  </w:num>
  <w:num w:numId="14" w16cid:durableId="1918127721">
    <w:abstractNumId w:val="1"/>
  </w:num>
  <w:num w:numId="15" w16cid:durableId="1485391202">
    <w:abstractNumId w:val="28"/>
  </w:num>
  <w:num w:numId="16" w16cid:durableId="2048942595">
    <w:abstractNumId w:val="0"/>
  </w:num>
  <w:num w:numId="17" w16cid:durableId="290748625">
    <w:abstractNumId w:val="20"/>
  </w:num>
  <w:num w:numId="18" w16cid:durableId="78524491">
    <w:abstractNumId w:val="14"/>
  </w:num>
  <w:num w:numId="19" w16cid:durableId="992611158">
    <w:abstractNumId w:val="24"/>
  </w:num>
  <w:num w:numId="20" w16cid:durableId="1399985740">
    <w:abstractNumId w:val="7"/>
  </w:num>
  <w:num w:numId="21" w16cid:durableId="2004699851">
    <w:abstractNumId w:val="2"/>
  </w:num>
  <w:num w:numId="22" w16cid:durableId="440729844">
    <w:abstractNumId w:val="12"/>
  </w:num>
  <w:num w:numId="23" w16cid:durableId="657656721">
    <w:abstractNumId w:val="17"/>
  </w:num>
  <w:num w:numId="24" w16cid:durableId="522013084">
    <w:abstractNumId w:val="36"/>
  </w:num>
  <w:num w:numId="25" w16cid:durableId="1893693957">
    <w:abstractNumId w:val="16"/>
  </w:num>
  <w:num w:numId="26" w16cid:durableId="914632588">
    <w:abstractNumId w:val="32"/>
  </w:num>
  <w:num w:numId="27" w16cid:durableId="122623152">
    <w:abstractNumId w:val="30"/>
  </w:num>
  <w:num w:numId="28" w16cid:durableId="1679773529">
    <w:abstractNumId w:val="31"/>
  </w:num>
  <w:num w:numId="29" w16cid:durableId="1739396555">
    <w:abstractNumId w:val="22"/>
  </w:num>
  <w:num w:numId="30" w16cid:durableId="1989435088">
    <w:abstractNumId w:val="15"/>
  </w:num>
  <w:num w:numId="31" w16cid:durableId="205870117">
    <w:abstractNumId w:val="9"/>
  </w:num>
  <w:num w:numId="32" w16cid:durableId="1614903182">
    <w:abstractNumId w:val="23"/>
  </w:num>
  <w:num w:numId="33" w16cid:durableId="1352339422">
    <w:abstractNumId w:val="26"/>
  </w:num>
  <w:num w:numId="34" w16cid:durableId="615990589">
    <w:abstractNumId w:val="29"/>
  </w:num>
  <w:num w:numId="35" w16cid:durableId="421680948">
    <w:abstractNumId w:val="33"/>
  </w:num>
  <w:num w:numId="36" w16cid:durableId="1123156918">
    <w:abstractNumId w:val="13"/>
  </w:num>
  <w:num w:numId="37" w16cid:durableId="2144424116">
    <w:abstractNumId w:val="37"/>
  </w:num>
  <w:num w:numId="38" w16cid:durableId="611280949">
    <w:abstractNumId w:val="19"/>
  </w:num>
  <w:num w:numId="39" w16cid:durableId="2016764929">
    <w:abstractNumId w:val="18"/>
  </w:num>
  <w:num w:numId="40" w16cid:durableId="1083994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3C0"/>
    <w:rsid w:val="00015AFF"/>
    <w:rsid w:val="00030269"/>
    <w:rsid w:val="00034D15"/>
    <w:rsid w:val="000373B2"/>
    <w:rsid w:val="00042CF5"/>
    <w:rsid w:val="000472DD"/>
    <w:rsid w:val="00053896"/>
    <w:rsid w:val="00060CA0"/>
    <w:rsid w:val="00063A26"/>
    <w:rsid w:val="00063E42"/>
    <w:rsid w:val="00071D99"/>
    <w:rsid w:val="0008468B"/>
    <w:rsid w:val="000847A1"/>
    <w:rsid w:val="000876FA"/>
    <w:rsid w:val="00091996"/>
    <w:rsid w:val="00091A37"/>
    <w:rsid w:val="0009538D"/>
    <w:rsid w:val="00096250"/>
    <w:rsid w:val="000A2C60"/>
    <w:rsid w:val="000A468A"/>
    <w:rsid w:val="000B0AE6"/>
    <w:rsid w:val="000B0FBD"/>
    <w:rsid w:val="000B2422"/>
    <w:rsid w:val="000C4C7D"/>
    <w:rsid w:val="000D39BB"/>
    <w:rsid w:val="000E5A6E"/>
    <w:rsid w:val="000F4728"/>
    <w:rsid w:val="000F5D8C"/>
    <w:rsid w:val="000F60DB"/>
    <w:rsid w:val="001058C7"/>
    <w:rsid w:val="00107D9D"/>
    <w:rsid w:val="00141161"/>
    <w:rsid w:val="00152B4D"/>
    <w:rsid w:val="001531DA"/>
    <w:rsid w:val="00157D76"/>
    <w:rsid w:val="001678A3"/>
    <w:rsid w:val="00181B69"/>
    <w:rsid w:val="0018252D"/>
    <w:rsid w:val="00186C28"/>
    <w:rsid w:val="00186FF2"/>
    <w:rsid w:val="001A5251"/>
    <w:rsid w:val="001A56F1"/>
    <w:rsid w:val="001A68EF"/>
    <w:rsid w:val="001B4738"/>
    <w:rsid w:val="001C29F7"/>
    <w:rsid w:val="001D04B5"/>
    <w:rsid w:val="001E06E2"/>
    <w:rsid w:val="001E21DC"/>
    <w:rsid w:val="00207084"/>
    <w:rsid w:val="00213A91"/>
    <w:rsid w:val="002175AF"/>
    <w:rsid w:val="00222E2C"/>
    <w:rsid w:val="00237779"/>
    <w:rsid w:val="00241EEB"/>
    <w:rsid w:val="002648D6"/>
    <w:rsid w:val="0026645E"/>
    <w:rsid w:val="002752DC"/>
    <w:rsid w:val="002A0933"/>
    <w:rsid w:val="002A096E"/>
    <w:rsid w:val="002C5676"/>
    <w:rsid w:val="002C56ED"/>
    <w:rsid w:val="002C7379"/>
    <w:rsid w:val="002D6A74"/>
    <w:rsid w:val="00316A18"/>
    <w:rsid w:val="00322951"/>
    <w:rsid w:val="00322C01"/>
    <w:rsid w:val="00324A6C"/>
    <w:rsid w:val="00352C98"/>
    <w:rsid w:val="003604B9"/>
    <w:rsid w:val="003642C2"/>
    <w:rsid w:val="00376964"/>
    <w:rsid w:val="003772FB"/>
    <w:rsid w:val="00383FD8"/>
    <w:rsid w:val="00391152"/>
    <w:rsid w:val="00395749"/>
    <w:rsid w:val="003A667D"/>
    <w:rsid w:val="003A6740"/>
    <w:rsid w:val="003C2538"/>
    <w:rsid w:val="003D485F"/>
    <w:rsid w:val="003D5328"/>
    <w:rsid w:val="003E0ED8"/>
    <w:rsid w:val="004067F4"/>
    <w:rsid w:val="00407E5E"/>
    <w:rsid w:val="00411CEF"/>
    <w:rsid w:val="0041278C"/>
    <w:rsid w:val="00417683"/>
    <w:rsid w:val="00426673"/>
    <w:rsid w:val="00427960"/>
    <w:rsid w:val="004305C1"/>
    <w:rsid w:val="004331B6"/>
    <w:rsid w:val="004453E9"/>
    <w:rsid w:val="004555E6"/>
    <w:rsid w:val="004607F7"/>
    <w:rsid w:val="00496266"/>
    <w:rsid w:val="00497CE6"/>
    <w:rsid w:val="004B53CD"/>
    <w:rsid w:val="004C4E0E"/>
    <w:rsid w:val="004E1EF3"/>
    <w:rsid w:val="004F2FD6"/>
    <w:rsid w:val="004F5C4B"/>
    <w:rsid w:val="004F6155"/>
    <w:rsid w:val="005339F4"/>
    <w:rsid w:val="0053773D"/>
    <w:rsid w:val="0054447F"/>
    <w:rsid w:val="00546B25"/>
    <w:rsid w:val="00551049"/>
    <w:rsid w:val="0056722B"/>
    <w:rsid w:val="00585645"/>
    <w:rsid w:val="005873DF"/>
    <w:rsid w:val="00590AB5"/>
    <w:rsid w:val="005955A3"/>
    <w:rsid w:val="005A218F"/>
    <w:rsid w:val="005B0EED"/>
    <w:rsid w:val="005C20E5"/>
    <w:rsid w:val="005C320B"/>
    <w:rsid w:val="005C436C"/>
    <w:rsid w:val="005F5C28"/>
    <w:rsid w:val="0061393B"/>
    <w:rsid w:val="00620B90"/>
    <w:rsid w:val="0062334B"/>
    <w:rsid w:val="00627C45"/>
    <w:rsid w:val="006341B3"/>
    <w:rsid w:val="006356AF"/>
    <w:rsid w:val="00642CC8"/>
    <w:rsid w:val="00644965"/>
    <w:rsid w:val="00646D7D"/>
    <w:rsid w:val="006548BF"/>
    <w:rsid w:val="00660504"/>
    <w:rsid w:val="00670915"/>
    <w:rsid w:val="00673345"/>
    <w:rsid w:val="00682D3E"/>
    <w:rsid w:val="00685E52"/>
    <w:rsid w:val="006B218A"/>
    <w:rsid w:val="006B29C0"/>
    <w:rsid w:val="006D0BC3"/>
    <w:rsid w:val="006D3F18"/>
    <w:rsid w:val="006E21C7"/>
    <w:rsid w:val="006E2D9E"/>
    <w:rsid w:val="006F35CB"/>
    <w:rsid w:val="006F63B6"/>
    <w:rsid w:val="006F7A26"/>
    <w:rsid w:val="0072236B"/>
    <w:rsid w:val="00725D80"/>
    <w:rsid w:val="007471C4"/>
    <w:rsid w:val="00771EDA"/>
    <w:rsid w:val="007A1854"/>
    <w:rsid w:val="007B245C"/>
    <w:rsid w:val="007C78FC"/>
    <w:rsid w:val="007D0CDE"/>
    <w:rsid w:val="007D44C3"/>
    <w:rsid w:val="007D63A7"/>
    <w:rsid w:val="007E1AA6"/>
    <w:rsid w:val="00801866"/>
    <w:rsid w:val="00805793"/>
    <w:rsid w:val="00806B8D"/>
    <w:rsid w:val="00816DAC"/>
    <w:rsid w:val="00822848"/>
    <w:rsid w:val="008324DA"/>
    <w:rsid w:val="0083290E"/>
    <w:rsid w:val="008377F4"/>
    <w:rsid w:val="00841A40"/>
    <w:rsid w:val="00843FF2"/>
    <w:rsid w:val="008453AB"/>
    <w:rsid w:val="00854EEA"/>
    <w:rsid w:val="008551DA"/>
    <w:rsid w:val="00880CBC"/>
    <w:rsid w:val="00897759"/>
    <w:rsid w:val="008D193F"/>
    <w:rsid w:val="008D5B10"/>
    <w:rsid w:val="008E7EFE"/>
    <w:rsid w:val="008F03E1"/>
    <w:rsid w:val="008F173C"/>
    <w:rsid w:val="009154AA"/>
    <w:rsid w:val="00923CFE"/>
    <w:rsid w:val="0093359E"/>
    <w:rsid w:val="00955BB3"/>
    <w:rsid w:val="00991355"/>
    <w:rsid w:val="009A38AD"/>
    <w:rsid w:val="009B5FF6"/>
    <w:rsid w:val="009C4758"/>
    <w:rsid w:val="009E513D"/>
    <w:rsid w:val="009F045F"/>
    <w:rsid w:val="009F59BB"/>
    <w:rsid w:val="009F6FA4"/>
    <w:rsid w:val="00A148A1"/>
    <w:rsid w:val="00A164AE"/>
    <w:rsid w:val="00A31668"/>
    <w:rsid w:val="00A36C09"/>
    <w:rsid w:val="00A37110"/>
    <w:rsid w:val="00A37C9F"/>
    <w:rsid w:val="00A41215"/>
    <w:rsid w:val="00A57C14"/>
    <w:rsid w:val="00A70123"/>
    <w:rsid w:val="00A70F58"/>
    <w:rsid w:val="00A74209"/>
    <w:rsid w:val="00A76B07"/>
    <w:rsid w:val="00A76B76"/>
    <w:rsid w:val="00A81B98"/>
    <w:rsid w:val="00A90305"/>
    <w:rsid w:val="00AA63A3"/>
    <w:rsid w:val="00AB5EB7"/>
    <w:rsid w:val="00AC3423"/>
    <w:rsid w:val="00AC716D"/>
    <w:rsid w:val="00AD4D97"/>
    <w:rsid w:val="00AD6D2A"/>
    <w:rsid w:val="00AE2453"/>
    <w:rsid w:val="00AF4A06"/>
    <w:rsid w:val="00B03F21"/>
    <w:rsid w:val="00B05DFC"/>
    <w:rsid w:val="00B201C6"/>
    <w:rsid w:val="00B36EEA"/>
    <w:rsid w:val="00B371EA"/>
    <w:rsid w:val="00B54933"/>
    <w:rsid w:val="00B72A0B"/>
    <w:rsid w:val="00B95633"/>
    <w:rsid w:val="00BA4B55"/>
    <w:rsid w:val="00BD205E"/>
    <w:rsid w:val="00BD2489"/>
    <w:rsid w:val="00C02DDF"/>
    <w:rsid w:val="00C05DB4"/>
    <w:rsid w:val="00C12C93"/>
    <w:rsid w:val="00C144E8"/>
    <w:rsid w:val="00C2045B"/>
    <w:rsid w:val="00C23F8C"/>
    <w:rsid w:val="00C2425E"/>
    <w:rsid w:val="00C325F5"/>
    <w:rsid w:val="00C362AF"/>
    <w:rsid w:val="00C457E8"/>
    <w:rsid w:val="00C45A5C"/>
    <w:rsid w:val="00C46756"/>
    <w:rsid w:val="00C471FC"/>
    <w:rsid w:val="00C50E2D"/>
    <w:rsid w:val="00C50F1A"/>
    <w:rsid w:val="00C56564"/>
    <w:rsid w:val="00C609B9"/>
    <w:rsid w:val="00C618AE"/>
    <w:rsid w:val="00C66178"/>
    <w:rsid w:val="00CC5018"/>
    <w:rsid w:val="00CD080A"/>
    <w:rsid w:val="00CE2386"/>
    <w:rsid w:val="00CF0083"/>
    <w:rsid w:val="00CF7B3B"/>
    <w:rsid w:val="00D10F58"/>
    <w:rsid w:val="00D4026E"/>
    <w:rsid w:val="00D40665"/>
    <w:rsid w:val="00D453ED"/>
    <w:rsid w:val="00D65935"/>
    <w:rsid w:val="00D971E8"/>
    <w:rsid w:val="00D9757A"/>
    <w:rsid w:val="00DA750A"/>
    <w:rsid w:val="00DC10FB"/>
    <w:rsid w:val="00DD0B9E"/>
    <w:rsid w:val="00DD2360"/>
    <w:rsid w:val="00DD6F67"/>
    <w:rsid w:val="00DE2707"/>
    <w:rsid w:val="00DE55C4"/>
    <w:rsid w:val="00DF31A2"/>
    <w:rsid w:val="00DF4EE9"/>
    <w:rsid w:val="00E00BB3"/>
    <w:rsid w:val="00E32408"/>
    <w:rsid w:val="00E76F8A"/>
    <w:rsid w:val="00E845D4"/>
    <w:rsid w:val="00E8757A"/>
    <w:rsid w:val="00EA2F95"/>
    <w:rsid w:val="00EB2ACC"/>
    <w:rsid w:val="00EC22CC"/>
    <w:rsid w:val="00EC2430"/>
    <w:rsid w:val="00EC69B7"/>
    <w:rsid w:val="00ED6B69"/>
    <w:rsid w:val="00EE34F4"/>
    <w:rsid w:val="00EF22A4"/>
    <w:rsid w:val="00F107F8"/>
    <w:rsid w:val="00F178A9"/>
    <w:rsid w:val="00F34EAF"/>
    <w:rsid w:val="00F54EA0"/>
    <w:rsid w:val="00F8087A"/>
    <w:rsid w:val="00F95696"/>
    <w:rsid w:val="00F96EE9"/>
    <w:rsid w:val="00FC0139"/>
    <w:rsid w:val="00FC4C1C"/>
    <w:rsid w:val="00FD6E48"/>
    <w:rsid w:val="00FE285D"/>
    <w:rsid w:val="00FF554E"/>
    <w:rsid w:val="00FF7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B218A"/>
    <w:pPr>
      <w:spacing w:after="0" w:line="240" w:lineRule="auto"/>
    </w:pPr>
  </w:style>
  <w:style w:type="paragraph" w:customStyle="1" w:styleId="paragraph">
    <w:name w:val="paragraph"/>
    <w:basedOn w:val="Normal"/>
    <w:rsid w:val="009154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9154AA"/>
  </w:style>
  <w:style w:type="character" w:customStyle="1" w:styleId="eop">
    <w:name w:val="eop"/>
    <w:basedOn w:val="Policepardfaut"/>
    <w:rsid w:val="00915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2311</Words>
  <Characters>12065</Characters>
  <Application>Microsoft Office Word</Application>
  <DocSecurity>0</DocSecurity>
  <Lines>211</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39</cp:revision>
  <dcterms:created xsi:type="dcterms:W3CDTF">2026-05-02T09:04:00Z</dcterms:created>
  <dcterms:modified xsi:type="dcterms:W3CDTF">2026-05-02T09:34:00Z</dcterms:modified>
</cp:coreProperties>
</file>