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E7AAA8B" w:rsidR="00EC22CC" w:rsidRDefault="006426A9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Rapport du</w:t>
            </w:r>
            <w:r w:rsidR="00BA41E2" w:rsidRPr="00B90DB3">
              <w:rPr>
                <w:rFonts w:ascii="Verdana" w:hAnsi="Verdana"/>
                <w:b/>
                <w:bCs/>
              </w:rPr>
              <w:t xml:space="preserve"> Comité d’audit et des risques</w:t>
            </w:r>
          </w:p>
        </w:tc>
      </w:tr>
      <w:tr w:rsidR="00DE6EF2" w14:paraId="7F1B63D2" w14:textId="77777777" w:rsidTr="006426A9">
        <w:tc>
          <w:tcPr>
            <w:tcW w:w="7650" w:type="dxa"/>
          </w:tcPr>
          <w:p w14:paraId="056D9B10" w14:textId="2A297EEC" w:rsidR="00DE6EF2" w:rsidRPr="002A096E" w:rsidRDefault="006426A9" w:rsidP="00DE6E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  <w:r w:rsidRPr="006426A9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Conseil des ministres de la COI | 08 juin 2026, Union des Comores</w:t>
            </w:r>
          </w:p>
        </w:tc>
        <w:tc>
          <w:tcPr>
            <w:tcW w:w="1412" w:type="dxa"/>
          </w:tcPr>
          <w:p w14:paraId="58E25D1F" w14:textId="6585B492" w:rsidR="00DE6EF2" w:rsidRPr="002A0933" w:rsidRDefault="00DE6EF2" w:rsidP="00DE6E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9E2978">
              <w:rPr>
                <w:rFonts w:ascii="Verdana" w:hAnsi="Verdana"/>
                <w:sz w:val="20"/>
                <w:szCs w:val="20"/>
              </w:rPr>
              <w:t>14</w:t>
            </w:r>
          </w:p>
        </w:tc>
      </w:tr>
      <w:tr w:rsidR="00DE6EF2" w14:paraId="537D1DE5" w14:textId="77777777" w:rsidTr="006426A9">
        <w:tc>
          <w:tcPr>
            <w:tcW w:w="7650" w:type="dxa"/>
          </w:tcPr>
          <w:p w14:paraId="43DEF09E" w14:textId="46DD066D" w:rsidR="00DE6EF2" w:rsidRPr="00A37C9F" w:rsidRDefault="00DE6EF2" w:rsidP="00DE6EF2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Nirina RAZAFINTSALAMA</w:t>
            </w:r>
            <w:r w:rsidR="000D7BFD">
              <w:rPr>
                <w:rFonts w:ascii="Verdana" w:hAnsi="Verdana"/>
                <w:sz w:val="20"/>
                <w:szCs w:val="20"/>
              </w:rPr>
              <w:t>, Auditeur interne</w:t>
            </w:r>
            <w:r w:rsidR="006426A9">
              <w:rPr>
                <w:rFonts w:ascii="Verdana" w:hAnsi="Verdana"/>
                <w:sz w:val="20"/>
                <w:szCs w:val="20"/>
              </w:rPr>
              <w:t xml:space="preserve"> et Comité d’audit et des risques</w:t>
            </w:r>
          </w:p>
        </w:tc>
        <w:tc>
          <w:tcPr>
            <w:tcW w:w="1412" w:type="dxa"/>
          </w:tcPr>
          <w:p w14:paraId="5AC1AFAB" w14:textId="2CE1624C" w:rsidR="00DE6EF2" w:rsidRPr="002A0933" w:rsidRDefault="000D7BFD" w:rsidP="00DE6E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DE6EF2" w14:paraId="6896DB30" w14:textId="77777777" w:rsidTr="009F5233">
        <w:tc>
          <w:tcPr>
            <w:tcW w:w="9062" w:type="dxa"/>
            <w:gridSpan w:val="2"/>
          </w:tcPr>
          <w:p w14:paraId="0495241B" w14:textId="4165A965" w:rsidR="00DE6EF2" w:rsidRDefault="00DE6EF2" w:rsidP="00DE6E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6426A9">
              <w:rPr>
                <w:rFonts w:ascii="Verdana" w:hAnsi="Verdana"/>
                <w:i/>
                <w:iCs/>
                <w:sz w:val="20"/>
                <w:szCs w:val="20"/>
              </w:rPr>
              <w:t>0</w:t>
            </w:r>
            <w:r w:rsidR="009E2978">
              <w:rPr>
                <w:rFonts w:ascii="Verdana" w:hAnsi="Verdana"/>
                <w:i/>
                <w:iCs/>
                <w:sz w:val="20"/>
                <w:szCs w:val="20"/>
              </w:rPr>
              <w:t>7/05/2026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695F4DF7" w14:textId="77777777" w:rsidR="00F445DC" w:rsidRDefault="00F445DC" w:rsidP="00F445DC">
      <w:pPr>
        <w:pStyle w:val="Titrepartie"/>
        <w:numPr>
          <w:ilvl w:val="0"/>
          <w:numId w:val="0"/>
        </w:numPr>
        <w:spacing w:after="120"/>
        <w:ind w:left="714"/>
      </w:pPr>
      <w:bookmarkStart w:id="0" w:name="_Hlk24535240"/>
    </w:p>
    <w:p w14:paraId="678F0DFC" w14:textId="1356A280" w:rsidR="00854EEA" w:rsidRPr="0008468B" w:rsidRDefault="00955BB3" w:rsidP="007F765A">
      <w:pPr>
        <w:pStyle w:val="Titrepartie"/>
        <w:spacing w:after="120"/>
        <w:ind w:left="714" w:hanging="357"/>
      </w:pPr>
      <w:r w:rsidRPr="0008468B">
        <w:t>Résumé</w:t>
      </w:r>
      <w:r w:rsidR="00BD75C8">
        <w:t xml:space="preserve"> des travaux du Comité d’audit et des risques</w:t>
      </w:r>
    </w:p>
    <w:p w14:paraId="7FE147FA" w14:textId="68D0BAEA" w:rsidR="00696ECD" w:rsidRDefault="00BD75C8" w:rsidP="00696ECD">
      <w:pPr>
        <w:pStyle w:val="Paragraphe"/>
      </w:pPr>
      <w:r>
        <w:t>Lors de s</w:t>
      </w:r>
      <w:r w:rsidR="00810860">
        <w:t>es</w:t>
      </w:r>
      <w:r w:rsidR="00696ECD">
        <w:t xml:space="preserve"> réunion</w:t>
      </w:r>
      <w:r w:rsidR="00810860">
        <w:t>s</w:t>
      </w:r>
      <w:r w:rsidR="00696ECD">
        <w:t xml:space="preserve"> </w:t>
      </w:r>
      <w:r>
        <w:t>tenue</w:t>
      </w:r>
      <w:r w:rsidR="00810860">
        <w:t>s</w:t>
      </w:r>
      <w:r w:rsidR="00696ECD">
        <w:t xml:space="preserve"> les</w:t>
      </w:r>
      <w:r w:rsidR="008F02FA">
        <w:t xml:space="preserve"> 22 janvier 2026 et les</w:t>
      </w:r>
      <w:r w:rsidR="00696ECD">
        <w:t xml:space="preserve"> 06 et 07 mai 2026, </w:t>
      </w:r>
      <w:r>
        <w:t>le Comité d’audit et des risques (CAR)</w:t>
      </w:r>
      <w:r w:rsidR="00696ECD">
        <w:t xml:space="preserve"> a examiné les rapports d’audit interne et externe </w:t>
      </w:r>
      <w:r>
        <w:t>relatifs aux</w:t>
      </w:r>
      <w:r w:rsidR="00696ECD">
        <w:t xml:space="preserve"> projets </w:t>
      </w:r>
      <w:r>
        <w:t>ainsi qu’au S</w:t>
      </w:r>
      <w:r w:rsidR="00696ECD">
        <w:t xml:space="preserve">ecrétariat général de la COI (SG-COI). </w:t>
      </w:r>
      <w:r>
        <w:t xml:space="preserve">A l’issue de ses travaux, il a recommandé au </w:t>
      </w:r>
      <w:r w:rsidR="00696ECD">
        <w:t>SG-COI de renforcer la gouvernance et le</w:t>
      </w:r>
      <w:r>
        <w:t xml:space="preserve"> dispositif de</w:t>
      </w:r>
      <w:r w:rsidR="00696ECD">
        <w:t xml:space="preserve"> contrôle interne, notamment en matière de systèmes d’information, de gestion des risques et de passation des marchés.</w:t>
      </w:r>
    </w:p>
    <w:p w14:paraId="36D7DBC5" w14:textId="2FA76E3B" w:rsidR="00255EFC" w:rsidRPr="00255EFC" w:rsidRDefault="00696ECD" w:rsidP="00696ECD">
      <w:pPr>
        <w:pStyle w:val="Paragraphe"/>
      </w:pPr>
      <w:r>
        <w:t xml:space="preserve">Les procès-verbaux </w:t>
      </w:r>
      <w:r w:rsidR="00BD75C8">
        <w:t>joints en annexe présentent de manière détaillées les c</w:t>
      </w:r>
      <w:r>
        <w:t>onclusions et les recommandations du C</w:t>
      </w:r>
      <w:r w:rsidR="00BD75C8">
        <w:t>omité</w:t>
      </w:r>
      <w:r w:rsidR="00255EFC" w:rsidRPr="00255EFC">
        <w:t>.</w:t>
      </w:r>
    </w:p>
    <w:p w14:paraId="64F4F988" w14:textId="51343AB1" w:rsidR="00954E2D" w:rsidRDefault="00BD75C8" w:rsidP="003B322E">
      <w:pPr>
        <w:pStyle w:val="Titrepartie"/>
        <w:ind w:left="714" w:hanging="357"/>
      </w:pPr>
      <w:r>
        <w:t>Rapport du commissaire aux comptes sur les Etats financiers 2025 du SG-COI</w:t>
      </w:r>
    </w:p>
    <w:p w14:paraId="01CAD0D4" w14:textId="3A459B50" w:rsidR="00CC1653" w:rsidRDefault="00CC1653" w:rsidP="00696ECD">
      <w:pPr>
        <w:pStyle w:val="Titrepartie"/>
        <w:numPr>
          <w:ilvl w:val="0"/>
          <w:numId w:val="0"/>
        </w:numPr>
        <w:rPr>
          <w:b w:val="0"/>
          <w:color w:val="auto"/>
          <w:sz w:val="20"/>
        </w:rPr>
      </w:pPr>
    </w:p>
    <w:p w14:paraId="0B1E9223" w14:textId="14C13BBF" w:rsidR="00CA1A2E" w:rsidRPr="00CA1A2E" w:rsidRDefault="00CA1A2E" w:rsidP="0027702F">
      <w:pPr>
        <w:pStyle w:val="Titrepartie"/>
        <w:numPr>
          <w:ilvl w:val="0"/>
          <w:numId w:val="0"/>
        </w:numPr>
        <w:spacing w:after="120"/>
        <w:contextualSpacing w:val="0"/>
        <w:rPr>
          <w:b w:val="0"/>
          <w:bCs w:val="0"/>
          <w:color w:val="000000" w:themeColor="text1"/>
          <w:sz w:val="20"/>
        </w:rPr>
      </w:pPr>
      <w:r w:rsidRPr="00CA1A2E">
        <w:rPr>
          <w:b w:val="0"/>
          <w:bCs w:val="0"/>
          <w:color w:val="000000" w:themeColor="text1"/>
          <w:sz w:val="20"/>
        </w:rPr>
        <w:t>Sur le plan financier, la situation de la COI est globalement saine.</w:t>
      </w:r>
    </w:p>
    <w:p w14:paraId="573E1F3A" w14:textId="67DEF651" w:rsidR="00CA1A2E" w:rsidRPr="00CA1A2E" w:rsidRDefault="00CA1A2E" w:rsidP="00474EC7">
      <w:pPr>
        <w:pStyle w:val="Titrepartie"/>
        <w:numPr>
          <w:ilvl w:val="0"/>
          <w:numId w:val="9"/>
        </w:numPr>
        <w:spacing w:after="120"/>
        <w:rPr>
          <w:b w:val="0"/>
          <w:bCs w:val="0"/>
          <w:color w:val="000000" w:themeColor="text1"/>
          <w:sz w:val="20"/>
        </w:rPr>
      </w:pPr>
      <w:r w:rsidRPr="00CA1A2E">
        <w:rPr>
          <w:b w:val="0"/>
          <w:bCs w:val="0"/>
          <w:color w:val="000000" w:themeColor="text1"/>
          <w:sz w:val="20"/>
        </w:rPr>
        <w:t xml:space="preserve">L’exercice 2025 se clôture avec un résultat positif de </w:t>
      </w:r>
      <w:r w:rsidRPr="000B0C9C">
        <w:rPr>
          <w:color w:val="000000" w:themeColor="text1"/>
          <w:sz w:val="20"/>
        </w:rPr>
        <w:t>157 000 euros</w:t>
      </w:r>
      <w:r w:rsidRPr="00CA1A2E">
        <w:rPr>
          <w:b w:val="0"/>
          <w:bCs w:val="0"/>
          <w:color w:val="000000" w:themeColor="text1"/>
          <w:sz w:val="20"/>
        </w:rPr>
        <w:t xml:space="preserve"> environ, en baisse par rapport à 2024 mais restant excédentaire</w:t>
      </w:r>
      <w:r w:rsidR="00A141ED">
        <w:rPr>
          <w:b w:val="0"/>
          <w:bCs w:val="0"/>
          <w:color w:val="000000" w:themeColor="text1"/>
          <w:sz w:val="20"/>
        </w:rPr>
        <w:t>.</w:t>
      </w:r>
    </w:p>
    <w:p w14:paraId="7028101B" w14:textId="6A44AE48" w:rsidR="00CA1A2E" w:rsidRDefault="00CA1A2E" w:rsidP="00474EC7">
      <w:pPr>
        <w:pStyle w:val="Titrepartie"/>
        <w:numPr>
          <w:ilvl w:val="0"/>
          <w:numId w:val="9"/>
        </w:numPr>
        <w:spacing w:after="120"/>
        <w:rPr>
          <w:b w:val="0"/>
          <w:bCs w:val="0"/>
          <w:color w:val="000000" w:themeColor="text1"/>
          <w:sz w:val="20"/>
        </w:rPr>
      </w:pPr>
      <w:r w:rsidRPr="00CA1A2E">
        <w:rPr>
          <w:b w:val="0"/>
          <w:bCs w:val="0"/>
          <w:color w:val="000000" w:themeColor="text1"/>
          <w:sz w:val="20"/>
        </w:rPr>
        <w:t xml:space="preserve">La trésorerie est en nette progression, atteignant environ </w:t>
      </w:r>
      <w:r w:rsidRPr="000B0C9C">
        <w:rPr>
          <w:color w:val="000000" w:themeColor="text1"/>
          <w:sz w:val="20"/>
        </w:rPr>
        <w:t>1,9 million d’euros</w:t>
      </w:r>
      <w:r w:rsidRPr="00CA1A2E">
        <w:rPr>
          <w:b w:val="0"/>
          <w:bCs w:val="0"/>
          <w:color w:val="000000" w:themeColor="text1"/>
          <w:sz w:val="20"/>
        </w:rPr>
        <w:t>, ce qui renforce la capacité de l’organisation à faire face à ses engagements</w:t>
      </w:r>
      <w:r w:rsidR="00A141ED">
        <w:rPr>
          <w:b w:val="0"/>
          <w:bCs w:val="0"/>
          <w:color w:val="000000" w:themeColor="text1"/>
          <w:sz w:val="20"/>
        </w:rPr>
        <w:t>.</w:t>
      </w:r>
    </w:p>
    <w:p w14:paraId="69459A91" w14:textId="6F9C6C6C" w:rsidR="004061DE" w:rsidRDefault="00CA1A2E" w:rsidP="00474EC7">
      <w:pPr>
        <w:pStyle w:val="Titrepartie"/>
        <w:numPr>
          <w:ilvl w:val="0"/>
          <w:numId w:val="9"/>
        </w:numPr>
        <w:spacing w:after="120"/>
        <w:ind w:left="714" w:hanging="357"/>
        <w:contextualSpacing w:val="0"/>
        <w:rPr>
          <w:b w:val="0"/>
          <w:bCs w:val="0"/>
          <w:color w:val="000000" w:themeColor="text1"/>
          <w:sz w:val="20"/>
        </w:rPr>
      </w:pPr>
      <w:r w:rsidRPr="00CA1A2E">
        <w:rPr>
          <w:b w:val="0"/>
          <w:bCs w:val="0"/>
          <w:color w:val="000000" w:themeColor="text1"/>
          <w:sz w:val="20"/>
        </w:rPr>
        <w:t>Les capitaux propres augmentent, traduisant une consolidation progressive de la situation financièr</w:t>
      </w:r>
      <w:r>
        <w:rPr>
          <w:b w:val="0"/>
          <w:bCs w:val="0"/>
          <w:color w:val="000000" w:themeColor="text1"/>
          <w:sz w:val="20"/>
        </w:rPr>
        <w:t>e</w:t>
      </w:r>
      <w:r w:rsidR="00A141ED">
        <w:rPr>
          <w:b w:val="0"/>
          <w:bCs w:val="0"/>
          <w:color w:val="000000" w:themeColor="text1"/>
          <w:sz w:val="20"/>
        </w:rPr>
        <w:t>.</w:t>
      </w:r>
    </w:p>
    <w:p w14:paraId="2362B186" w14:textId="39B73C59" w:rsidR="00CA1A2E" w:rsidRDefault="00626929" w:rsidP="00CA1A2E">
      <w:pPr>
        <w:pStyle w:val="Titrepartie"/>
        <w:numPr>
          <w:ilvl w:val="0"/>
          <w:numId w:val="0"/>
        </w:numPr>
        <w:spacing w:after="120"/>
        <w:rPr>
          <w:b w:val="0"/>
          <w:bCs w:val="0"/>
          <w:color w:val="000000" w:themeColor="text1"/>
          <w:sz w:val="20"/>
        </w:rPr>
      </w:pPr>
      <w:r>
        <w:rPr>
          <w:b w:val="0"/>
          <w:bCs w:val="0"/>
          <w:color w:val="000000" w:themeColor="text1"/>
          <w:sz w:val="20"/>
        </w:rPr>
        <w:t xml:space="preserve">Le Commissaire aux comptes émet une opinion </w:t>
      </w:r>
      <w:r w:rsidRPr="00885564">
        <w:rPr>
          <w:color w:val="000000" w:themeColor="text1"/>
          <w:sz w:val="20"/>
        </w:rPr>
        <w:t>sans réserve</w:t>
      </w:r>
      <w:r w:rsidR="0051163F">
        <w:rPr>
          <w:b w:val="0"/>
          <w:bCs w:val="0"/>
          <w:color w:val="000000" w:themeColor="text1"/>
          <w:sz w:val="20"/>
        </w:rPr>
        <w:t xml:space="preserve"> signifiant que </w:t>
      </w:r>
      <w:r w:rsidR="0051163F" w:rsidRPr="00885564">
        <w:rPr>
          <w:color w:val="000000" w:themeColor="text1"/>
          <w:sz w:val="20"/>
        </w:rPr>
        <w:t>les états financiers donnent une image fidèle de la situation financière</w:t>
      </w:r>
      <w:r w:rsidR="0051163F">
        <w:rPr>
          <w:b w:val="0"/>
          <w:bCs w:val="0"/>
          <w:color w:val="000000" w:themeColor="text1"/>
          <w:sz w:val="20"/>
        </w:rPr>
        <w:t xml:space="preserve"> et </w:t>
      </w:r>
      <w:r w:rsidR="00757D60">
        <w:rPr>
          <w:b w:val="0"/>
          <w:bCs w:val="0"/>
          <w:color w:val="000000" w:themeColor="text1"/>
          <w:sz w:val="20"/>
        </w:rPr>
        <w:t>sont conformes aux normes IFRS.</w:t>
      </w:r>
    </w:p>
    <w:p w14:paraId="40224445" w14:textId="403FCE17" w:rsidR="00CA1A2E" w:rsidRPr="00CA1A2E" w:rsidRDefault="00757D60" w:rsidP="00CA1A2E">
      <w:pPr>
        <w:pStyle w:val="Titrepartie"/>
        <w:numPr>
          <w:ilvl w:val="0"/>
          <w:numId w:val="0"/>
        </w:numPr>
        <w:spacing w:after="120"/>
        <w:rPr>
          <w:b w:val="0"/>
          <w:bCs w:val="0"/>
          <w:color w:val="000000" w:themeColor="text1"/>
          <w:sz w:val="20"/>
        </w:rPr>
      </w:pPr>
      <w:r>
        <w:rPr>
          <w:b w:val="0"/>
          <w:bCs w:val="0"/>
          <w:color w:val="000000" w:themeColor="text1"/>
          <w:sz w:val="20"/>
        </w:rPr>
        <w:t xml:space="preserve">Toutefois, </w:t>
      </w:r>
      <w:r w:rsidR="00057CED">
        <w:rPr>
          <w:b w:val="0"/>
          <w:bCs w:val="0"/>
          <w:color w:val="000000" w:themeColor="text1"/>
          <w:sz w:val="20"/>
        </w:rPr>
        <w:t>l</w:t>
      </w:r>
      <w:r w:rsidR="00C167CA">
        <w:rPr>
          <w:b w:val="0"/>
          <w:bCs w:val="0"/>
          <w:color w:val="000000" w:themeColor="text1"/>
          <w:sz w:val="20"/>
        </w:rPr>
        <w:t xml:space="preserve">’examen </w:t>
      </w:r>
      <w:r w:rsidR="00EF6AB7">
        <w:rPr>
          <w:b w:val="0"/>
          <w:bCs w:val="0"/>
          <w:color w:val="000000" w:themeColor="text1"/>
          <w:sz w:val="20"/>
        </w:rPr>
        <w:t xml:space="preserve">par le CAR </w:t>
      </w:r>
      <w:r w:rsidR="00C167CA">
        <w:rPr>
          <w:b w:val="0"/>
          <w:bCs w:val="0"/>
          <w:color w:val="000000" w:themeColor="text1"/>
          <w:sz w:val="20"/>
        </w:rPr>
        <w:t xml:space="preserve">de la lettre à la direction, </w:t>
      </w:r>
      <w:r w:rsidR="00057CED">
        <w:rPr>
          <w:b w:val="0"/>
          <w:bCs w:val="0"/>
          <w:color w:val="000000" w:themeColor="text1"/>
          <w:sz w:val="20"/>
        </w:rPr>
        <w:t xml:space="preserve">attire l’attention de la COI </w:t>
      </w:r>
      <w:r w:rsidR="00030C24">
        <w:rPr>
          <w:b w:val="0"/>
          <w:bCs w:val="0"/>
          <w:color w:val="000000" w:themeColor="text1"/>
          <w:sz w:val="20"/>
        </w:rPr>
        <w:t>au</w:t>
      </w:r>
      <w:r w:rsidR="00057CED">
        <w:rPr>
          <w:b w:val="0"/>
          <w:bCs w:val="0"/>
          <w:color w:val="000000" w:themeColor="text1"/>
          <w:sz w:val="20"/>
        </w:rPr>
        <w:t xml:space="preserve"> </w:t>
      </w:r>
      <w:r w:rsidR="00915D67">
        <w:rPr>
          <w:b w:val="0"/>
          <w:bCs w:val="0"/>
          <w:color w:val="000000" w:themeColor="text1"/>
          <w:sz w:val="20"/>
        </w:rPr>
        <w:t>renforcement</w:t>
      </w:r>
      <w:r w:rsidR="00057CED">
        <w:rPr>
          <w:b w:val="0"/>
          <w:bCs w:val="0"/>
          <w:color w:val="000000" w:themeColor="text1"/>
          <w:sz w:val="20"/>
        </w:rPr>
        <w:t xml:space="preserve"> d</w:t>
      </w:r>
      <w:r w:rsidR="003230F8">
        <w:rPr>
          <w:b w:val="0"/>
          <w:bCs w:val="0"/>
          <w:color w:val="000000" w:themeColor="text1"/>
          <w:sz w:val="20"/>
        </w:rPr>
        <w:t>u contrôle interne et de la gouvernance</w:t>
      </w:r>
      <w:r w:rsidR="00030C24">
        <w:rPr>
          <w:b w:val="0"/>
          <w:bCs w:val="0"/>
          <w:color w:val="000000" w:themeColor="text1"/>
          <w:sz w:val="20"/>
        </w:rPr>
        <w:t>, notamment les marchés, les règles internes et l’</w:t>
      </w:r>
      <w:r w:rsidR="00915D67">
        <w:rPr>
          <w:b w:val="0"/>
          <w:bCs w:val="0"/>
          <w:color w:val="000000" w:themeColor="text1"/>
          <w:sz w:val="20"/>
        </w:rPr>
        <w:t>organisation</w:t>
      </w:r>
      <w:r w:rsidR="00030C24">
        <w:rPr>
          <w:b w:val="0"/>
          <w:bCs w:val="0"/>
          <w:color w:val="000000" w:themeColor="text1"/>
          <w:sz w:val="20"/>
        </w:rPr>
        <w:t xml:space="preserve"> des fonctions de contrôle.</w:t>
      </w:r>
    </w:p>
    <w:p w14:paraId="2A2B1F28" w14:textId="77777777" w:rsidR="00696ECD" w:rsidRPr="0027702F" w:rsidRDefault="00696ECD" w:rsidP="00FC597C">
      <w:pPr>
        <w:pStyle w:val="Titrepartie"/>
        <w:numPr>
          <w:ilvl w:val="0"/>
          <w:numId w:val="0"/>
        </w:numPr>
        <w:spacing w:after="120"/>
        <w:rPr>
          <w:b w:val="0"/>
          <w:bCs w:val="0"/>
          <w:color w:val="000000" w:themeColor="text1"/>
          <w:sz w:val="20"/>
        </w:rPr>
      </w:pPr>
    </w:p>
    <w:p w14:paraId="2F7F5914" w14:textId="6525D31E" w:rsidR="00955BB3" w:rsidRPr="0008468B" w:rsidRDefault="00955BB3" w:rsidP="008377BB">
      <w:pPr>
        <w:pStyle w:val="Titrepartie"/>
        <w:spacing w:after="120"/>
        <w:ind w:left="714" w:hanging="357"/>
      </w:pPr>
      <w:r w:rsidRPr="0008468B">
        <w:t>Proposition de décision</w:t>
      </w:r>
    </w:p>
    <w:p w14:paraId="006F16DC" w14:textId="1D1A065F" w:rsidR="006F2719" w:rsidRDefault="00622360" w:rsidP="00622360">
      <w:pPr>
        <w:pStyle w:val="Paragraphe"/>
        <w:spacing w:after="120" w:line="256" w:lineRule="auto"/>
        <w:rPr>
          <w:color w:val="000000" w:themeColor="text1"/>
        </w:rPr>
      </w:pPr>
      <w:r>
        <w:rPr>
          <w:color w:val="000000" w:themeColor="text1"/>
        </w:rPr>
        <w:t>Le</w:t>
      </w:r>
      <w:r w:rsidR="006F2719">
        <w:rPr>
          <w:color w:val="000000" w:themeColor="text1"/>
        </w:rPr>
        <w:t xml:space="preserve"> Conseil</w:t>
      </w:r>
      <w:r w:rsidR="00E25514">
        <w:rPr>
          <w:color w:val="000000" w:themeColor="text1"/>
        </w:rPr>
        <w:t xml:space="preserve"> des ministres</w:t>
      </w:r>
      <w:r w:rsidR="006F2719">
        <w:rPr>
          <w:color w:val="000000" w:themeColor="text1"/>
        </w:rPr>
        <w:t xml:space="preserve"> de la COI </w:t>
      </w:r>
      <w:r>
        <w:rPr>
          <w:color w:val="000000" w:themeColor="text1"/>
        </w:rPr>
        <w:t>donne</w:t>
      </w:r>
      <w:r w:rsidR="006F2719">
        <w:rPr>
          <w:color w:val="000000" w:themeColor="text1"/>
        </w:rPr>
        <w:t xml:space="preserve"> quitus au Secrétaire général sur les états financiers de l’exercice 2025, tels qu’examinés et validés par le C</w:t>
      </w:r>
      <w:r w:rsidR="00E25514">
        <w:rPr>
          <w:color w:val="000000" w:themeColor="text1"/>
        </w:rPr>
        <w:t>omité d’audit et des risques (C</w:t>
      </w:r>
      <w:r w:rsidR="006F2719">
        <w:rPr>
          <w:color w:val="000000" w:themeColor="text1"/>
        </w:rPr>
        <w:t>AR</w:t>
      </w:r>
      <w:r w:rsidR="00E25514">
        <w:rPr>
          <w:color w:val="000000" w:themeColor="text1"/>
        </w:rPr>
        <w:t>)</w:t>
      </w:r>
      <w:r w:rsidR="006F2719">
        <w:rPr>
          <w:color w:val="000000" w:themeColor="text1"/>
        </w:rPr>
        <w:t xml:space="preserve"> lors de sa réunion du 06 mai 2026.</w:t>
      </w:r>
    </w:p>
    <w:p w14:paraId="4CEC6239" w14:textId="77777777" w:rsidR="00622360" w:rsidRDefault="00622360" w:rsidP="00622360">
      <w:pPr>
        <w:pStyle w:val="Paragraphe"/>
        <w:spacing w:after="120" w:line="256" w:lineRule="auto"/>
        <w:rPr>
          <w:color w:val="000000" w:themeColor="text1"/>
        </w:rPr>
      </w:pPr>
    </w:p>
    <w:bookmarkEnd w:id="0"/>
    <w:p w14:paraId="1D6F1669" w14:textId="72833CAD" w:rsidR="00417683" w:rsidRPr="0008468B" w:rsidRDefault="00417683" w:rsidP="008377BB">
      <w:pPr>
        <w:pStyle w:val="Titrepartie"/>
        <w:spacing w:after="120"/>
        <w:ind w:left="714" w:hanging="357"/>
      </w:pPr>
      <w:r w:rsidRPr="0008468B">
        <w:t>Annexe</w:t>
      </w:r>
      <w:r w:rsidR="008F173C" w:rsidRPr="0008468B">
        <w:t>s</w:t>
      </w:r>
      <w:r w:rsidRPr="0008468B">
        <w:t> :</w:t>
      </w:r>
    </w:p>
    <w:p w14:paraId="19834016" w14:textId="748CDEBB" w:rsidR="007228BF" w:rsidRDefault="007228BF" w:rsidP="00474EC7">
      <w:pPr>
        <w:pStyle w:val="Paragraphe"/>
        <w:numPr>
          <w:ilvl w:val="0"/>
          <w:numId w:val="3"/>
        </w:numPr>
        <w:spacing w:after="0"/>
        <w:rPr>
          <w:color w:val="000000" w:themeColor="text1"/>
        </w:rPr>
      </w:pPr>
      <w:r w:rsidRPr="00A0200E">
        <w:rPr>
          <w:color w:val="000000" w:themeColor="text1"/>
        </w:rPr>
        <w:t xml:space="preserve">Annexe </w:t>
      </w:r>
      <w:r>
        <w:rPr>
          <w:color w:val="000000" w:themeColor="text1"/>
        </w:rPr>
        <w:t>1</w:t>
      </w:r>
      <w:r w:rsidRPr="00A0200E">
        <w:rPr>
          <w:color w:val="000000" w:themeColor="text1"/>
        </w:rPr>
        <w:t xml:space="preserve"> : Procès-verbal de la réunion du CAR </w:t>
      </w:r>
      <w:r w:rsidR="007A34B7">
        <w:rPr>
          <w:color w:val="000000" w:themeColor="text1"/>
        </w:rPr>
        <w:t>22 janvier 2026</w:t>
      </w:r>
    </w:p>
    <w:p w14:paraId="527BB808" w14:textId="1990DFCD" w:rsidR="005337A5" w:rsidRPr="002D3945" w:rsidRDefault="005337A5" w:rsidP="00474EC7">
      <w:pPr>
        <w:pStyle w:val="Paragraphe"/>
        <w:numPr>
          <w:ilvl w:val="0"/>
          <w:numId w:val="3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Annexe 2 : Procès-verbal de la réunion du CAR </w:t>
      </w:r>
      <w:r w:rsidR="007A34B7">
        <w:rPr>
          <w:color w:val="000000" w:themeColor="text1"/>
        </w:rPr>
        <w:t>06 – 07 mai 2026</w:t>
      </w:r>
    </w:p>
    <w:p w14:paraId="45ED97D3" w14:textId="063C123B" w:rsidR="003740F7" w:rsidRDefault="003740F7" w:rsidP="00474EC7">
      <w:pPr>
        <w:pStyle w:val="Paragraphe"/>
        <w:numPr>
          <w:ilvl w:val="0"/>
          <w:numId w:val="3"/>
        </w:numPr>
        <w:spacing w:after="0" w:line="256" w:lineRule="auto"/>
        <w:rPr>
          <w:color w:val="000000" w:themeColor="text1"/>
        </w:rPr>
      </w:pPr>
      <w:r>
        <w:rPr>
          <w:color w:val="000000" w:themeColor="text1"/>
        </w:rPr>
        <w:t xml:space="preserve">Annexe </w:t>
      </w:r>
      <w:r w:rsidR="00E7680F">
        <w:rPr>
          <w:color w:val="000000" w:themeColor="text1"/>
        </w:rPr>
        <w:t>3</w:t>
      </w:r>
      <w:r>
        <w:rPr>
          <w:color w:val="000000" w:themeColor="text1"/>
        </w:rPr>
        <w:t> : Etat financier du SG-COI pour 202</w:t>
      </w:r>
      <w:r w:rsidR="00E7680F">
        <w:rPr>
          <w:color w:val="000000" w:themeColor="text1"/>
        </w:rPr>
        <w:t>5</w:t>
      </w:r>
      <w:r>
        <w:rPr>
          <w:color w:val="000000" w:themeColor="text1"/>
        </w:rPr>
        <w:t xml:space="preserve"> et le Rapport de l’audit externe</w:t>
      </w:r>
    </w:p>
    <w:p w14:paraId="73667700" w14:textId="455D8A50" w:rsidR="00792416" w:rsidRPr="003740F7" w:rsidRDefault="003740F7" w:rsidP="00474EC7">
      <w:pPr>
        <w:pStyle w:val="Paragraphe"/>
        <w:numPr>
          <w:ilvl w:val="0"/>
          <w:numId w:val="3"/>
        </w:numPr>
        <w:spacing w:after="0" w:line="256" w:lineRule="auto"/>
        <w:rPr>
          <w:color w:val="000000" w:themeColor="text1"/>
        </w:rPr>
      </w:pPr>
      <w:r>
        <w:rPr>
          <w:color w:val="000000" w:themeColor="text1"/>
        </w:rPr>
        <w:t xml:space="preserve">Annexe </w:t>
      </w:r>
      <w:r w:rsidR="00E7680F">
        <w:rPr>
          <w:color w:val="000000" w:themeColor="text1"/>
        </w:rPr>
        <w:t>4</w:t>
      </w:r>
      <w:r>
        <w:rPr>
          <w:color w:val="000000" w:themeColor="text1"/>
        </w:rPr>
        <w:t xml:space="preserve"> : </w:t>
      </w:r>
      <w:r w:rsidR="006D209E">
        <w:rPr>
          <w:color w:val="000000" w:themeColor="text1"/>
        </w:rPr>
        <w:t>Lettre à la direction</w:t>
      </w:r>
      <w:r>
        <w:rPr>
          <w:color w:val="000000" w:themeColor="text1"/>
        </w:rPr>
        <w:t xml:space="preserve"> pour l’exercice 2025</w:t>
      </w:r>
    </w:p>
    <w:sectPr w:rsidR="00792416" w:rsidRPr="003740F7" w:rsidSect="00CC1653">
      <w:headerReference w:type="default" r:id="rId7"/>
      <w:footerReference w:type="default" r:id="rId8"/>
      <w:pgSz w:w="11906" w:h="16838"/>
      <w:pgMar w:top="1276" w:right="1417" w:bottom="993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5359" w14:textId="77777777" w:rsidR="00031588" w:rsidRDefault="00031588">
      <w:pPr>
        <w:spacing w:after="0" w:line="240" w:lineRule="auto"/>
      </w:pPr>
      <w:r>
        <w:separator/>
      </w:r>
    </w:p>
  </w:endnote>
  <w:endnote w:type="continuationSeparator" w:id="0">
    <w:p w14:paraId="7461BC4E" w14:textId="77777777" w:rsidR="00031588" w:rsidRDefault="0003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2FF4" w14:textId="77777777" w:rsidR="00031588" w:rsidRDefault="00031588">
      <w:pPr>
        <w:spacing w:after="0" w:line="240" w:lineRule="auto"/>
      </w:pPr>
      <w:r>
        <w:separator/>
      </w:r>
    </w:p>
  </w:footnote>
  <w:footnote w:type="continuationSeparator" w:id="0">
    <w:p w14:paraId="1D87746C" w14:textId="77777777" w:rsidR="00031588" w:rsidRDefault="0003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6C79" w14:textId="4D4D76F1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962499615" name="Image 962499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>Point</w:t>
    </w:r>
    <w:r w:rsidR="009E2978">
      <w:rPr>
        <w:rFonts w:ascii="Verdana" w:hAnsi="Verdana"/>
        <w:b/>
        <w:bCs/>
        <w:sz w:val="20"/>
        <w:szCs w:val="20"/>
      </w:rPr>
      <w:t xml:space="preserve"> 14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BA5"/>
    <w:multiLevelType w:val="hybridMultilevel"/>
    <w:tmpl w:val="16564170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7A15"/>
    <w:multiLevelType w:val="hybridMultilevel"/>
    <w:tmpl w:val="945C12E8"/>
    <w:lvl w:ilvl="0" w:tplc="982EA628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5AA21C2"/>
    <w:multiLevelType w:val="multilevel"/>
    <w:tmpl w:val="7724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C19A9"/>
    <w:multiLevelType w:val="hybridMultilevel"/>
    <w:tmpl w:val="753E27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E1C39"/>
    <w:multiLevelType w:val="multilevel"/>
    <w:tmpl w:val="97C4B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B2906"/>
    <w:multiLevelType w:val="multilevel"/>
    <w:tmpl w:val="79F8A3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32CF4"/>
    <w:multiLevelType w:val="hybridMultilevel"/>
    <w:tmpl w:val="DA4A0AAE"/>
    <w:lvl w:ilvl="0" w:tplc="A856994E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7061D"/>
    <w:multiLevelType w:val="multilevel"/>
    <w:tmpl w:val="6C3E1B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D61CE"/>
    <w:multiLevelType w:val="multilevel"/>
    <w:tmpl w:val="DDB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1209B"/>
    <w:multiLevelType w:val="hybridMultilevel"/>
    <w:tmpl w:val="DF426842"/>
    <w:lvl w:ilvl="0" w:tplc="0A048B5E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D26F6"/>
    <w:multiLevelType w:val="multilevel"/>
    <w:tmpl w:val="0BC00B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43E26"/>
    <w:multiLevelType w:val="multilevel"/>
    <w:tmpl w:val="D6A2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404EA"/>
    <w:multiLevelType w:val="multilevel"/>
    <w:tmpl w:val="A1D0525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AEC33A8"/>
    <w:multiLevelType w:val="multilevel"/>
    <w:tmpl w:val="E7E4B5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D03CD"/>
    <w:multiLevelType w:val="hybridMultilevel"/>
    <w:tmpl w:val="AFD28460"/>
    <w:lvl w:ilvl="0" w:tplc="16F06666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54B0C"/>
    <w:multiLevelType w:val="multilevel"/>
    <w:tmpl w:val="AAE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16555">
    <w:abstractNumId w:val="1"/>
  </w:num>
  <w:num w:numId="2" w16cid:durableId="334579643">
    <w:abstractNumId w:val="2"/>
  </w:num>
  <w:num w:numId="3" w16cid:durableId="30110556">
    <w:abstractNumId w:val="16"/>
  </w:num>
  <w:num w:numId="4" w16cid:durableId="1543400058">
    <w:abstractNumId w:val="11"/>
  </w:num>
  <w:num w:numId="5" w16cid:durableId="556403959">
    <w:abstractNumId w:val="5"/>
  </w:num>
  <w:num w:numId="6" w16cid:durableId="134379419">
    <w:abstractNumId w:val="8"/>
  </w:num>
  <w:num w:numId="7" w16cid:durableId="1130513259">
    <w:abstractNumId w:val="3"/>
  </w:num>
  <w:num w:numId="8" w16cid:durableId="2018262807">
    <w:abstractNumId w:val="12"/>
  </w:num>
  <w:num w:numId="9" w16cid:durableId="1177161196">
    <w:abstractNumId w:val="14"/>
  </w:num>
  <w:num w:numId="10" w16cid:durableId="1750230248">
    <w:abstractNumId w:val="15"/>
  </w:num>
  <w:num w:numId="11" w16cid:durableId="838422636">
    <w:abstractNumId w:val="13"/>
  </w:num>
  <w:num w:numId="12" w16cid:durableId="2131119090">
    <w:abstractNumId w:val="7"/>
  </w:num>
  <w:num w:numId="13" w16cid:durableId="1470517635">
    <w:abstractNumId w:val="17"/>
  </w:num>
  <w:num w:numId="14" w16cid:durableId="1223369848">
    <w:abstractNumId w:val="9"/>
  </w:num>
  <w:num w:numId="15" w16cid:durableId="996761333">
    <w:abstractNumId w:val="1"/>
  </w:num>
  <w:num w:numId="16" w16cid:durableId="1376852272">
    <w:abstractNumId w:val="0"/>
  </w:num>
  <w:num w:numId="17" w16cid:durableId="323363630">
    <w:abstractNumId w:val="4"/>
  </w:num>
  <w:num w:numId="18" w16cid:durableId="832797236">
    <w:abstractNumId w:val="1"/>
  </w:num>
  <w:num w:numId="19" w16cid:durableId="1573194166">
    <w:abstractNumId w:val="6"/>
  </w:num>
  <w:num w:numId="20" w16cid:durableId="503666317">
    <w:abstractNumId w:val="10"/>
  </w:num>
  <w:num w:numId="21" w16cid:durableId="172359995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00BDB"/>
    <w:rsid w:val="00002BE3"/>
    <w:rsid w:val="00012D77"/>
    <w:rsid w:val="000147BC"/>
    <w:rsid w:val="00014DBF"/>
    <w:rsid w:val="000168C4"/>
    <w:rsid w:val="00017998"/>
    <w:rsid w:val="00030C24"/>
    <w:rsid w:val="00031588"/>
    <w:rsid w:val="00033145"/>
    <w:rsid w:val="00033CE7"/>
    <w:rsid w:val="00034A67"/>
    <w:rsid w:val="00036DA2"/>
    <w:rsid w:val="000373B2"/>
    <w:rsid w:val="00040AA0"/>
    <w:rsid w:val="00042CF5"/>
    <w:rsid w:val="0004392C"/>
    <w:rsid w:val="000444DF"/>
    <w:rsid w:val="0005219E"/>
    <w:rsid w:val="00057CED"/>
    <w:rsid w:val="00060CA0"/>
    <w:rsid w:val="00061E86"/>
    <w:rsid w:val="00063A26"/>
    <w:rsid w:val="000702E0"/>
    <w:rsid w:val="00076E5F"/>
    <w:rsid w:val="000772A0"/>
    <w:rsid w:val="00081C2A"/>
    <w:rsid w:val="0008468B"/>
    <w:rsid w:val="00085C12"/>
    <w:rsid w:val="000A079C"/>
    <w:rsid w:val="000A468A"/>
    <w:rsid w:val="000B0C9C"/>
    <w:rsid w:val="000B0FBD"/>
    <w:rsid w:val="000B2D32"/>
    <w:rsid w:val="000B2F46"/>
    <w:rsid w:val="000B3249"/>
    <w:rsid w:val="000C15C4"/>
    <w:rsid w:val="000D7BFD"/>
    <w:rsid w:val="000E10B8"/>
    <w:rsid w:val="000F0948"/>
    <w:rsid w:val="000F38B6"/>
    <w:rsid w:val="000F4728"/>
    <w:rsid w:val="000F4A68"/>
    <w:rsid w:val="000F6DB3"/>
    <w:rsid w:val="00107D9D"/>
    <w:rsid w:val="0011229F"/>
    <w:rsid w:val="001148D2"/>
    <w:rsid w:val="0011589E"/>
    <w:rsid w:val="00132921"/>
    <w:rsid w:val="00143FED"/>
    <w:rsid w:val="001469E5"/>
    <w:rsid w:val="00147376"/>
    <w:rsid w:val="00155FCA"/>
    <w:rsid w:val="001677E0"/>
    <w:rsid w:val="0017205F"/>
    <w:rsid w:val="0017578C"/>
    <w:rsid w:val="001768AB"/>
    <w:rsid w:val="00181E7B"/>
    <w:rsid w:val="0018252D"/>
    <w:rsid w:val="00182C60"/>
    <w:rsid w:val="001939B1"/>
    <w:rsid w:val="00197B73"/>
    <w:rsid w:val="001A56F1"/>
    <w:rsid w:val="001B3AB8"/>
    <w:rsid w:val="001B3C0D"/>
    <w:rsid w:val="001B417E"/>
    <w:rsid w:val="001B451E"/>
    <w:rsid w:val="001B4738"/>
    <w:rsid w:val="001C5D33"/>
    <w:rsid w:val="001D174E"/>
    <w:rsid w:val="001E0F1E"/>
    <w:rsid w:val="001E7C67"/>
    <w:rsid w:val="001F30AE"/>
    <w:rsid w:val="002027E9"/>
    <w:rsid w:val="002061D9"/>
    <w:rsid w:val="00207C8D"/>
    <w:rsid w:val="0021448B"/>
    <w:rsid w:val="0021517D"/>
    <w:rsid w:val="00216190"/>
    <w:rsid w:val="00225915"/>
    <w:rsid w:val="0022757F"/>
    <w:rsid w:val="00230267"/>
    <w:rsid w:val="0023387F"/>
    <w:rsid w:val="00243052"/>
    <w:rsid w:val="00255EFC"/>
    <w:rsid w:val="00260246"/>
    <w:rsid w:val="002618D9"/>
    <w:rsid w:val="00263E13"/>
    <w:rsid w:val="002648FD"/>
    <w:rsid w:val="00264920"/>
    <w:rsid w:val="00265C8C"/>
    <w:rsid w:val="002677E7"/>
    <w:rsid w:val="002679AB"/>
    <w:rsid w:val="00276DB2"/>
    <w:rsid w:val="0027702F"/>
    <w:rsid w:val="00280B7A"/>
    <w:rsid w:val="002819B5"/>
    <w:rsid w:val="00292E52"/>
    <w:rsid w:val="002A0124"/>
    <w:rsid w:val="002A0933"/>
    <w:rsid w:val="002A096E"/>
    <w:rsid w:val="002A2A51"/>
    <w:rsid w:val="002A796A"/>
    <w:rsid w:val="002B6163"/>
    <w:rsid w:val="002C3451"/>
    <w:rsid w:val="002C56ED"/>
    <w:rsid w:val="002C7D1B"/>
    <w:rsid w:val="002D3945"/>
    <w:rsid w:val="002D67D3"/>
    <w:rsid w:val="002E2D1B"/>
    <w:rsid w:val="002E62FB"/>
    <w:rsid w:val="002E7563"/>
    <w:rsid w:val="002E7862"/>
    <w:rsid w:val="002F4218"/>
    <w:rsid w:val="002F4C8F"/>
    <w:rsid w:val="002F7D65"/>
    <w:rsid w:val="00306EDC"/>
    <w:rsid w:val="00314A12"/>
    <w:rsid w:val="003230F8"/>
    <w:rsid w:val="00324F7E"/>
    <w:rsid w:val="00332431"/>
    <w:rsid w:val="00344266"/>
    <w:rsid w:val="0034545D"/>
    <w:rsid w:val="003500AF"/>
    <w:rsid w:val="00352DCE"/>
    <w:rsid w:val="00353089"/>
    <w:rsid w:val="00353ABF"/>
    <w:rsid w:val="003604B9"/>
    <w:rsid w:val="0036109C"/>
    <w:rsid w:val="00365947"/>
    <w:rsid w:val="003672D5"/>
    <w:rsid w:val="00370741"/>
    <w:rsid w:val="003740F7"/>
    <w:rsid w:val="003772FB"/>
    <w:rsid w:val="00380129"/>
    <w:rsid w:val="0038639A"/>
    <w:rsid w:val="00391152"/>
    <w:rsid w:val="00393214"/>
    <w:rsid w:val="003A39CA"/>
    <w:rsid w:val="003B322E"/>
    <w:rsid w:val="003B3DE5"/>
    <w:rsid w:val="003C1885"/>
    <w:rsid w:val="003C2538"/>
    <w:rsid w:val="003C296F"/>
    <w:rsid w:val="003C47BC"/>
    <w:rsid w:val="003C537B"/>
    <w:rsid w:val="003C5B06"/>
    <w:rsid w:val="003D008A"/>
    <w:rsid w:val="003D025E"/>
    <w:rsid w:val="003D1283"/>
    <w:rsid w:val="003D485F"/>
    <w:rsid w:val="003D502A"/>
    <w:rsid w:val="003D5328"/>
    <w:rsid w:val="003D76A3"/>
    <w:rsid w:val="004019E1"/>
    <w:rsid w:val="00402354"/>
    <w:rsid w:val="004028F0"/>
    <w:rsid w:val="00403BB0"/>
    <w:rsid w:val="004061DE"/>
    <w:rsid w:val="00411486"/>
    <w:rsid w:val="0041278C"/>
    <w:rsid w:val="00414594"/>
    <w:rsid w:val="0041651B"/>
    <w:rsid w:val="004172C1"/>
    <w:rsid w:val="00417683"/>
    <w:rsid w:val="00421104"/>
    <w:rsid w:val="004260E8"/>
    <w:rsid w:val="00426673"/>
    <w:rsid w:val="00437FE3"/>
    <w:rsid w:val="00441F31"/>
    <w:rsid w:val="0044602B"/>
    <w:rsid w:val="00447409"/>
    <w:rsid w:val="0045334C"/>
    <w:rsid w:val="00455175"/>
    <w:rsid w:val="004566EC"/>
    <w:rsid w:val="004607F7"/>
    <w:rsid w:val="00463E27"/>
    <w:rsid w:val="00463F0E"/>
    <w:rsid w:val="00464EA3"/>
    <w:rsid w:val="00474EC7"/>
    <w:rsid w:val="00482EFA"/>
    <w:rsid w:val="00484B6A"/>
    <w:rsid w:val="00484CD8"/>
    <w:rsid w:val="004903DB"/>
    <w:rsid w:val="004918A2"/>
    <w:rsid w:val="00496792"/>
    <w:rsid w:val="004A017D"/>
    <w:rsid w:val="004A3819"/>
    <w:rsid w:val="004A4AA6"/>
    <w:rsid w:val="004A564B"/>
    <w:rsid w:val="004A6AC7"/>
    <w:rsid w:val="004B40B3"/>
    <w:rsid w:val="004B4647"/>
    <w:rsid w:val="004C0DAE"/>
    <w:rsid w:val="004D40AA"/>
    <w:rsid w:val="004D4429"/>
    <w:rsid w:val="004E0E52"/>
    <w:rsid w:val="004E1403"/>
    <w:rsid w:val="004F29FA"/>
    <w:rsid w:val="004F5C4B"/>
    <w:rsid w:val="005056FF"/>
    <w:rsid w:val="0051163F"/>
    <w:rsid w:val="00521FEE"/>
    <w:rsid w:val="00522730"/>
    <w:rsid w:val="00524357"/>
    <w:rsid w:val="00531E35"/>
    <w:rsid w:val="005337A5"/>
    <w:rsid w:val="0053773D"/>
    <w:rsid w:val="00542329"/>
    <w:rsid w:val="00552EE4"/>
    <w:rsid w:val="005544C3"/>
    <w:rsid w:val="005732CC"/>
    <w:rsid w:val="005753DE"/>
    <w:rsid w:val="00577B70"/>
    <w:rsid w:val="0058087C"/>
    <w:rsid w:val="005833F1"/>
    <w:rsid w:val="00585429"/>
    <w:rsid w:val="00586E58"/>
    <w:rsid w:val="005B33EE"/>
    <w:rsid w:val="005B6079"/>
    <w:rsid w:val="005C0666"/>
    <w:rsid w:val="005C06EE"/>
    <w:rsid w:val="005D056B"/>
    <w:rsid w:val="005D21FD"/>
    <w:rsid w:val="005F2011"/>
    <w:rsid w:val="005F32EA"/>
    <w:rsid w:val="005F342A"/>
    <w:rsid w:val="005F7D03"/>
    <w:rsid w:val="006033E0"/>
    <w:rsid w:val="0060798D"/>
    <w:rsid w:val="00614752"/>
    <w:rsid w:val="00614C29"/>
    <w:rsid w:val="00617A16"/>
    <w:rsid w:val="00620B90"/>
    <w:rsid w:val="00622360"/>
    <w:rsid w:val="00625A9B"/>
    <w:rsid w:val="00626929"/>
    <w:rsid w:val="006310FA"/>
    <w:rsid w:val="00634694"/>
    <w:rsid w:val="006356AF"/>
    <w:rsid w:val="006426A9"/>
    <w:rsid w:val="00647538"/>
    <w:rsid w:val="00647CF3"/>
    <w:rsid w:val="00650216"/>
    <w:rsid w:val="00651CC9"/>
    <w:rsid w:val="006548BF"/>
    <w:rsid w:val="00660298"/>
    <w:rsid w:val="00660504"/>
    <w:rsid w:val="006651C3"/>
    <w:rsid w:val="00681CC0"/>
    <w:rsid w:val="00690200"/>
    <w:rsid w:val="0069031B"/>
    <w:rsid w:val="00691E4A"/>
    <w:rsid w:val="00696ECD"/>
    <w:rsid w:val="006A71E3"/>
    <w:rsid w:val="006B3461"/>
    <w:rsid w:val="006B7FD6"/>
    <w:rsid w:val="006C098E"/>
    <w:rsid w:val="006C7A81"/>
    <w:rsid w:val="006D209E"/>
    <w:rsid w:val="006D4B96"/>
    <w:rsid w:val="006D63D2"/>
    <w:rsid w:val="006E0C86"/>
    <w:rsid w:val="006E2D9E"/>
    <w:rsid w:val="006F2573"/>
    <w:rsid w:val="006F2719"/>
    <w:rsid w:val="006F2A65"/>
    <w:rsid w:val="00706706"/>
    <w:rsid w:val="00706761"/>
    <w:rsid w:val="007070FD"/>
    <w:rsid w:val="00714958"/>
    <w:rsid w:val="00714C9D"/>
    <w:rsid w:val="0071538C"/>
    <w:rsid w:val="00720E2A"/>
    <w:rsid w:val="007228BF"/>
    <w:rsid w:val="00730319"/>
    <w:rsid w:val="007318F5"/>
    <w:rsid w:val="007330D6"/>
    <w:rsid w:val="0073442E"/>
    <w:rsid w:val="007356FB"/>
    <w:rsid w:val="007364DC"/>
    <w:rsid w:val="00740B1E"/>
    <w:rsid w:val="007410CE"/>
    <w:rsid w:val="0074262E"/>
    <w:rsid w:val="00744528"/>
    <w:rsid w:val="00747638"/>
    <w:rsid w:val="0075029B"/>
    <w:rsid w:val="0075099F"/>
    <w:rsid w:val="00752A71"/>
    <w:rsid w:val="007547CE"/>
    <w:rsid w:val="00755706"/>
    <w:rsid w:val="00756819"/>
    <w:rsid w:val="00757D60"/>
    <w:rsid w:val="00761CF8"/>
    <w:rsid w:val="00765776"/>
    <w:rsid w:val="00766EDB"/>
    <w:rsid w:val="00770533"/>
    <w:rsid w:val="00775C1C"/>
    <w:rsid w:val="00783E03"/>
    <w:rsid w:val="00791B16"/>
    <w:rsid w:val="00792416"/>
    <w:rsid w:val="007958F4"/>
    <w:rsid w:val="007A314C"/>
    <w:rsid w:val="007A34B7"/>
    <w:rsid w:val="007A7509"/>
    <w:rsid w:val="007B0042"/>
    <w:rsid w:val="007B245C"/>
    <w:rsid w:val="007C0145"/>
    <w:rsid w:val="007C1082"/>
    <w:rsid w:val="007C68C7"/>
    <w:rsid w:val="007C78FC"/>
    <w:rsid w:val="007D75EF"/>
    <w:rsid w:val="007F0F26"/>
    <w:rsid w:val="007F31D7"/>
    <w:rsid w:val="007F3280"/>
    <w:rsid w:val="007F49C1"/>
    <w:rsid w:val="007F4A2E"/>
    <w:rsid w:val="007F4CF3"/>
    <w:rsid w:val="007F72F2"/>
    <w:rsid w:val="007F765A"/>
    <w:rsid w:val="00810520"/>
    <w:rsid w:val="00810860"/>
    <w:rsid w:val="00810960"/>
    <w:rsid w:val="00811744"/>
    <w:rsid w:val="00812F15"/>
    <w:rsid w:val="00816D66"/>
    <w:rsid w:val="00816DAC"/>
    <w:rsid w:val="00825002"/>
    <w:rsid w:val="00825120"/>
    <w:rsid w:val="00826196"/>
    <w:rsid w:val="00826C4A"/>
    <w:rsid w:val="0082788D"/>
    <w:rsid w:val="0083239E"/>
    <w:rsid w:val="0083290E"/>
    <w:rsid w:val="008377BB"/>
    <w:rsid w:val="008378A3"/>
    <w:rsid w:val="00842062"/>
    <w:rsid w:val="00843FF2"/>
    <w:rsid w:val="008453AB"/>
    <w:rsid w:val="00850A83"/>
    <w:rsid w:val="0085451D"/>
    <w:rsid w:val="00854EEA"/>
    <w:rsid w:val="008551DA"/>
    <w:rsid w:val="008624D4"/>
    <w:rsid w:val="00863D21"/>
    <w:rsid w:val="0086716E"/>
    <w:rsid w:val="008738D4"/>
    <w:rsid w:val="00873C5D"/>
    <w:rsid w:val="00875351"/>
    <w:rsid w:val="00880AB8"/>
    <w:rsid w:val="0088395F"/>
    <w:rsid w:val="00885564"/>
    <w:rsid w:val="008879A9"/>
    <w:rsid w:val="00890A55"/>
    <w:rsid w:val="00892A25"/>
    <w:rsid w:val="0089419C"/>
    <w:rsid w:val="008967E4"/>
    <w:rsid w:val="0089750A"/>
    <w:rsid w:val="008A4229"/>
    <w:rsid w:val="008B5E3E"/>
    <w:rsid w:val="008D193F"/>
    <w:rsid w:val="008D3B5E"/>
    <w:rsid w:val="008E26C1"/>
    <w:rsid w:val="008E2959"/>
    <w:rsid w:val="008E3354"/>
    <w:rsid w:val="008E4736"/>
    <w:rsid w:val="008E7D37"/>
    <w:rsid w:val="008F02FA"/>
    <w:rsid w:val="008F173C"/>
    <w:rsid w:val="008F4331"/>
    <w:rsid w:val="008F4A0B"/>
    <w:rsid w:val="008F6946"/>
    <w:rsid w:val="009078D5"/>
    <w:rsid w:val="00911BFB"/>
    <w:rsid w:val="00912994"/>
    <w:rsid w:val="00915C3D"/>
    <w:rsid w:val="00915D67"/>
    <w:rsid w:val="009226C3"/>
    <w:rsid w:val="0094100E"/>
    <w:rsid w:val="0094207A"/>
    <w:rsid w:val="0095305F"/>
    <w:rsid w:val="00954E2D"/>
    <w:rsid w:val="00955BB3"/>
    <w:rsid w:val="0096241C"/>
    <w:rsid w:val="00970636"/>
    <w:rsid w:val="00974979"/>
    <w:rsid w:val="0098611F"/>
    <w:rsid w:val="00991B71"/>
    <w:rsid w:val="009A38AD"/>
    <w:rsid w:val="009A7ED6"/>
    <w:rsid w:val="009B2293"/>
    <w:rsid w:val="009B47DF"/>
    <w:rsid w:val="009B5D41"/>
    <w:rsid w:val="009B5DBD"/>
    <w:rsid w:val="009C7571"/>
    <w:rsid w:val="009D1E3E"/>
    <w:rsid w:val="009D769B"/>
    <w:rsid w:val="009E152A"/>
    <w:rsid w:val="009E2978"/>
    <w:rsid w:val="009E395C"/>
    <w:rsid w:val="009E5264"/>
    <w:rsid w:val="009F23A9"/>
    <w:rsid w:val="00A0200E"/>
    <w:rsid w:val="00A03C44"/>
    <w:rsid w:val="00A060C4"/>
    <w:rsid w:val="00A10FB0"/>
    <w:rsid w:val="00A141ED"/>
    <w:rsid w:val="00A148A1"/>
    <w:rsid w:val="00A25D78"/>
    <w:rsid w:val="00A26E78"/>
    <w:rsid w:val="00A31A6E"/>
    <w:rsid w:val="00A33638"/>
    <w:rsid w:val="00A349AE"/>
    <w:rsid w:val="00A36C09"/>
    <w:rsid w:val="00A37C9F"/>
    <w:rsid w:val="00A41B81"/>
    <w:rsid w:val="00A431F9"/>
    <w:rsid w:val="00A4348A"/>
    <w:rsid w:val="00A44C99"/>
    <w:rsid w:val="00A4594C"/>
    <w:rsid w:val="00A471D7"/>
    <w:rsid w:val="00A51CCC"/>
    <w:rsid w:val="00A53A10"/>
    <w:rsid w:val="00A54B3B"/>
    <w:rsid w:val="00A55B96"/>
    <w:rsid w:val="00A626FE"/>
    <w:rsid w:val="00A70123"/>
    <w:rsid w:val="00A74B21"/>
    <w:rsid w:val="00A76B07"/>
    <w:rsid w:val="00A76E46"/>
    <w:rsid w:val="00A81B98"/>
    <w:rsid w:val="00A82557"/>
    <w:rsid w:val="00A90305"/>
    <w:rsid w:val="00AA094F"/>
    <w:rsid w:val="00AA3942"/>
    <w:rsid w:val="00AA63A3"/>
    <w:rsid w:val="00AB19F2"/>
    <w:rsid w:val="00AB235C"/>
    <w:rsid w:val="00AB3436"/>
    <w:rsid w:val="00AB5EB7"/>
    <w:rsid w:val="00AB639C"/>
    <w:rsid w:val="00AC2A0C"/>
    <w:rsid w:val="00AC2FD9"/>
    <w:rsid w:val="00AD25AF"/>
    <w:rsid w:val="00AD4D97"/>
    <w:rsid w:val="00AD5B26"/>
    <w:rsid w:val="00AD66AB"/>
    <w:rsid w:val="00AD7FE1"/>
    <w:rsid w:val="00AE2453"/>
    <w:rsid w:val="00AE46E0"/>
    <w:rsid w:val="00AF642A"/>
    <w:rsid w:val="00AF737B"/>
    <w:rsid w:val="00B0043B"/>
    <w:rsid w:val="00B05B56"/>
    <w:rsid w:val="00B05DFC"/>
    <w:rsid w:val="00B17C8E"/>
    <w:rsid w:val="00B25166"/>
    <w:rsid w:val="00B25B47"/>
    <w:rsid w:val="00B36EEA"/>
    <w:rsid w:val="00B46137"/>
    <w:rsid w:val="00B468C8"/>
    <w:rsid w:val="00B6265C"/>
    <w:rsid w:val="00B64DA8"/>
    <w:rsid w:val="00B65404"/>
    <w:rsid w:val="00B659B7"/>
    <w:rsid w:val="00B66F22"/>
    <w:rsid w:val="00B6771B"/>
    <w:rsid w:val="00B7279A"/>
    <w:rsid w:val="00B86E36"/>
    <w:rsid w:val="00B90DB3"/>
    <w:rsid w:val="00B91160"/>
    <w:rsid w:val="00BA0DBB"/>
    <w:rsid w:val="00BA41E2"/>
    <w:rsid w:val="00BA4B55"/>
    <w:rsid w:val="00BB51C3"/>
    <w:rsid w:val="00BB707B"/>
    <w:rsid w:val="00BB7927"/>
    <w:rsid w:val="00BC0DAF"/>
    <w:rsid w:val="00BC145A"/>
    <w:rsid w:val="00BC2DB0"/>
    <w:rsid w:val="00BC3140"/>
    <w:rsid w:val="00BC4FFA"/>
    <w:rsid w:val="00BC55B5"/>
    <w:rsid w:val="00BD2EC9"/>
    <w:rsid w:val="00BD5652"/>
    <w:rsid w:val="00BD75C8"/>
    <w:rsid w:val="00BD7A7C"/>
    <w:rsid w:val="00BE03A2"/>
    <w:rsid w:val="00BE34B8"/>
    <w:rsid w:val="00BE36BD"/>
    <w:rsid w:val="00BE37D6"/>
    <w:rsid w:val="00BE7A73"/>
    <w:rsid w:val="00C0280C"/>
    <w:rsid w:val="00C034A1"/>
    <w:rsid w:val="00C06176"/>
    <w:rsid w:val="00C069F0"/>
    <w:rsid w:val="00C10054"/>
    <w:rsid w:val="00C12C93"/>
    <w:rsid w:val="00C12D59"/>
    <w:rsid w:val="00C167CA"/>
    <w:rsid w:val="00C16F66"/>
    <w:rsid w:val="00C271E0"/>
    <w:rsid w:val="00C325F5"/>
    <w:rsid w:val="00C35458"/>
    <w:rsid w:val="00C457E8"/>
    <w:rsid w:val="00C53744"/>
    <w:rsid w:val="00C55786"/>
    <w:rsid w:val="00C601A3"/>
    <w:rsid w:val="00C609B9"/>
    <w:rsid w:val="00C65BC8"/>
    <w:rsid w:val="00C71C8E"/>
    <w:rsid w:val="00C83BE1"/>
    <w:rsid w:val="00C90CA1"/>
    <w:rsid w:val="00C95E30"/>
    <w:rsid w:val="00CA1A2E"/>
    <w:rsid w:val="00CB47F5"/>
    <w:rsid w:val="00CC1653"/>
    <w:rsid w:val="00CC39E8"/>
    <w:rsid w:val="00CD315E"/>
    <w:rsid w:val="00CD3D09"/>
    <w:rsid w:val="00CD5619"/>
    <w:rsid w:val="00CE03CA"/>
    <w:rsid w:val="00CE1A76"/>
    <w:rsid w:val="00CE2386"/>
    <w:rsid w:val="00CE3E33"/>
    <w:rsid w:val="00CF7D59"/>
    <w:rsid w:val="00D024DE"/>
    <w:rsid w:val="00D11611"/>
    <w:rsid w:val="00D21193"/>
    <w:rsid w:val="00D26287"/>
    <w:rsid w:val="00D27FF0"/>
    <w:rsid w:val="00D31C61"/>
    <w:rsid w:val="00D36680"/>
    <w:rsid w:val="00D42110"/>
    <w:rsid w:val="00D44261"/>
    <w:rsid w:val="00D52FD7"/>
    <w:rsid w:val="00D553AC"/>
    <w:rsid w:val="00D56512"/>
    <w:rsid w:val="00D66E67"/>
    <w:rsid w:val="00D71513"/>
    <w:rsid w:val="00D724FA"/>
    <w:rsid w:val="00D91033"/>
    <w:rsid w:val="00D91385"/>
    <w:rsid w:val="00D93C97"/>
    <w:rsid w:val="00D94731"/>
    <w:rsid w:val="00D97E37"/>
    <w:rsid w:val="00DA58D1"/>
    <w:rsid w:val="00DC7574"/>
    <w:rsid w:val="00DD182A"/>
    <w:rsid w:val="00DD6421"/>
    <w:rsid w:val="00DE41ED"/>
    <w:rsid w:val="00DE6EF2"/>
    <w:rsid w:val="00DF049A"/>
    <w:rsid w:val="00DF0A9E"/>
    <w:rsid w:val="00E01911"/>
    <w:rsid w:val="00E04147"/>
    <w:rsid w:val="00E04835"/>
    <w:rsid w:val="00E0716D"/>
    <w:rsid w:val="00E20E5C"/>
    <w:rsid w:val="00E25514"/>
    <w:rsid w:val="00E25EF5"/>
    <w:rsid w:val="00E277C0"/>
    <w:rsid w:val="00E32408"/>
    <w:rsid w:val="00E41B67"/>
    <w:rsid w:val="00E47167"/>
    <w:rsid w:val="00E52DED"/>
    <w:rsid w:val="00E55501"/>
    <w:rsid w:val="00E55790"/>
    <w:rsid w:val="00E6668C"/>
    <w:rsid w:val="00E66C5F"/>
    <w:rsid w:val="00E72F81"/>
    <w:rsid w:val="00E7680F"/>
    <w:rsid w:val="00E82F93"/>
    <w:rsid w:val="00E845D4"/>
    <w:rsid w:val="00E86229"/>
    <w:rsid w:val="00E922BC"/>
    <w:rsid w:val="00E9562C"/>
    <w:rsid w:val="00E96A62"/>
    <w:rsid w:val="00E96E1F"/>
    <w:rsid w:val="00EA624A"/>
    <w:rsid w:val="00EA62A4"/>
    <w:rsid w:val="00EB659A"/>
    <w:rsid w:val="00EB6D4F"/>
    <w:rsid w:val="00EB72C5"/>
    <w:rsid w:val="00EC22CC"/>
    <w:rsid w:val="00EC6C08"/>
    <w:rsid w:val="00ED6B69"/>
    <w:rsid w:val="00EE34F4"/>
    <w:rsid w:val="00EE3EE4"/>
    <w:rsid w:val="00EE44B7"/>
    <w:rsid w:val="00EE79D1"/>
    <w:rsid w:val="00EF1219"/>
    <w:rsid w:val="00EF22A4"/>
    <w:rsid w:val="00EF5C89"/>
    <w:rsid w:val="00EF6AB7"/>
    <w:rsid w:val="00EF7772"/>
    <w:rsid w:val="00F0316F"/>
    <w:rsid w:val="00F1201F"/>
    <w:rsid w:val="00F20EA6"/>
    <w:rsid w:val="00F2225D"/>
    <w:rsid w:val="00F230BF"/>
    <w:rsid w:val="00F237A0"/>
    <w:rsid w:val="00F24F45"/>
    <w:rsid w:val="00F25D98"/>
    <w:rsid w:val="00F41085"/>
    <w:rsid w:val="00F445DC"/>
    <w:rsid w:val="00F4763F"/>
    <w:rsid w:val="00F526F8"/>
    <w:rsid w:val="00F54EA0"/>
    <w:rsid w:val="00F65527"/>
    <w:rsid w:val="00F67C90"/>
    <w:rsid w:val="00F75D28"/>
    <w:rsid w:val="00F87B53"/>
    <w:rsid w:val="00F94657"/>
    <w:rsid w:val="00F96EE9"/>
    <w:rsid w:val="00FA45BF"/>
    <w:rsid w:val="00FA7A09"/>
    <w:rsid w:val="00FB0FCE"/>
    <w:rsid w:val="00FB17A0"/>
    <w:rsid w:val="00FB678D"/>
    <w:rsid w:val="00FB7F86"/>
    <w:rsid w:val="00FC47CC"/>
    <w:rsid w:val="00FC597C"/>
    <w:rsid w:val="00FD22BC"/>
    <w:rsid w:val="00FD289B"/>
    <w:rsid w:val="00FD3975"/>
    <w:rsid w:val="00FE285D"/>
    <w:rsid w:val="00FE5C0A"/>
    <w:rsid w:val="00FE6112"/>
    <w:rsid w:val="00FF4E50"/>
    <w:rsid w:val="00FF554E"/>
    <w:rsid w:val="451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1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1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BC2D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BC2DB0"/>
    <w:rPr>
      <w:rFonts w:ascii="Verdana" w:eastAsia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6C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18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18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918A2"/>
    <w:rPr>
      <w:vertAlign w:val="superscript"/>
    </w:rPr>
  </w:style>
  <w:style w:type="character" w:styleId="lev">
    <w:name w:val="Strong"/>
    <w:basedOn w:val="Policepardfaut"/>
    <w:uiPriority w:val="22"/>
    <w:qFormat/>
    <w:rsid w:val="00403BB0"/>
    <w:rPr>
      <w:b/>
      <w:bCs/>
    </w:rPr>
  </w:style>
  <w:style w:type="paragraph" w:customStyle="1" w:styleId="isselectedend">
    <w:name w:val="isselectedend"/>
    <w:basedOn w:val="Normal"/>
    <w:rsid w:val="007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2</cp:revision>
  <dcterms:created xsi:type="dcterms:W3CDTF">2026-05-12T06:35:00Z</dcterms:created>
  <dcterms:modified xsi:type="dcterms:W3CDTF">2026-05-12T06:35:00Z</dcterms:modified>
</cp:coreProperties>
</file>