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1358CC59" w:rsidR="00C12C93" w:rsidRPr="00816DAC" w:rsidRDefault="00C12C93" w:rsidP="00854EEA">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650"/>
        <w:gridCol w:w="1412"/>
      </w:tblGrid>
      <w:tr w:rsidR="00EC22CC" w14:paraId="51109D41" w14:textId="77777777">
        <w:tc>
          <w:tcPr>
            <w:tcW w:w="9062" w:type="dxa"/>
            <w:gridSpan w:val="2"/>
          </w:tcPr>
          <w:p w14:paraId="6FC76F95" w14:textId="61D3FB07" w:rsidR="00EC22CC" w:rsidRDefault="00212CDB" w:rsidP="00854EEA">
            <w:pPr>
              <w:jc w:val="center"/>
              <w:rPr>
                <w:rFonts w:ascii="Verdana" w:hAnsi="Verdana"/>
                <w:b/>
                <w:bCs/>
                <w:sz w:val="20"/>
                <w:szCs w:val="20"/>
              </w:rPr>
            </w:pPr>
            <w:r>
              <w:rPr>
                <w:rFonts w:ascii="Verdana" w:hAnsi="Verdana"/>
                <w:b/>
                <w:bCs/>
              </w:rPr>
              <w:t>Culture</w:t>
            </w:r>
          </w:p>
        </w:tc>
      </w:tr>
      <w:tr w:rsidR="00EC22CC" w14:paraId="7F1B63D2" w14:textId="77777777" w:rsidTr="00E06B10">
        <w:tc>
          <w:tcPr>
            <w:tcW w:w="7650" w:type="dxa"/>
          </w:tcPr>
          <w:p w14:paraId="056D9B10" w14:textId="3693569D" w:rsidR="00EC22CC" w:rsidRPr="002A096E" w:rsidRDefault="00E06B10" w:rsidP="002A096E">
            <w:pPr>
              <w:rPr>
                <w:rFonts w:ascii="Verdana" w:hAnsi="Verdana"/>
                <w:sz w:val="20"/>
                <w:szCs w:val="20"/>
              </w:rPr>
            </w:pPr>
            <w:r>
              <w:rPr>
                <w:rFonts w:ascii="Verdana" w:hAnsi="Verdana"/>
                <w:sz w:val="20"/>
                <w:szCs w:val="20"/>
              </w:rPr>
              <w:t>40</w:t>
            </w:r>
            <w:r w:rsidRPr="00E06B10">
              <w:rPr>
                <w:rFonts w:ascii="Verdana" w:hAnsi="Verdana"/>
                <w:sz w:val="20"/>
                <w:szCs w:val="20"/>
                <w:vertAlign w:val="superscript"/>
              </w:rPr>
              <w:t>e</w:t>
            </w:r>
            <w:r>
              <w:rPr>
                <w:rFonts w:ascii="Verdana" w:hAnsi="Verdana"/>
                <w:sz w:val="20"/>
                <w:szCs w:val="20"/>
              </w:rPr>
              <w:t xml:space="preserve"> Conseil des ministres de la COI | 08 juin 2026, Union des Comores</w:t>
            </w:r>
          </w:p>
        </w:tc>
        <w:tc>
          <w:tcPr>
            <w:tcW w:w="1412" w:type="dxa"/>
          </w:tcPr>
          <w:p w14:paraId="58E25D1F" w14:textId="0DEA2BB5" w:rsidR="00EC22CC" w:rsidRPr="002A0933" w:rsidRDefault="002A096E" w:rsidP="00854EEA">
            <w:pPr>
              <w:jc w:val="center"/>
              <w:rPr>
                <w:rFonts w:ascii="Verdana" w:hAnsi="Verdana"/>
                <w:sz w:val="20"/>
                <w:szCs w:val="20"/>
              </w:rPr>
            </w:pPr>
            <w:r w:rsidRPr="002A0933">
              <w:rPr>
                <w:rFonts w:ascii="Verdana" w:hAnsi="Verdana"/>
                <w:sz w:val="20"/>
                <w:szCs w:val="20"/>
              </w:rPr>
              <w:t xml:space="preserve">Point </w:t>
            </w:r>
            <w:r w:rsidR="00E06B10">
              <w:rPr>
                <w:rFonts w:ascii="Verdana" w:hAnsi="Verdana"/>
                <w:sz w:val="20"/>
                <w:szCs w:val="20"/>
              </w:rPr>
              <w:t>12</w:t>
            </w:r>
          </w:p>
        </w:tc>
      </w:tr>
      <w:tr w:rsidR="00EC22CC" w14:paraId="537D1DE5" w14:textId="77777777" w:rsidTr="00E06B10">
        <w:tc>
          <w:tcPr>
            <w:tcW w:w="7650" w:type="dxa"/>
          </w:tcPr>
          <w:p w14:paraId="43DEF09E" w14:textId="0E0BB332" w:rsidR="00EC22CC" w:rsidRPr="008F525A" w:rsidRDefault="00A148A1" w:rsidP="002A096E">
            <w:pPr>
              <w:rPr>
                <w:rFonts w:ascii="Verdana" w:hAnsi="Verdana"/>
                <w:sz w:val="20"/>
                <w:szCs w:val="20"/>
              </w:rPr>
            </w:pPr>
            <w:r w:rsidRPr="008F525A">
              <w:rPr>
                <w:rFonts w:ascii="Verdana" w:hAnsi="Verdana"/>
                <w:i/>
                <w:iCs/>
                <w:sz w:val="20"/>
                <w:szCs w:val="20"/>
              </w:rPr>
              <w:t>Dossier suivi par :</w:t>
            </w:r>
            <w:r w:rsidR="00EC22CC" w:rsidRPr="008F525A">
              <w:rPr>
                <w:rFonts w:ascii="Verdana" w:hAnsi="Verdana"/>
                <w:sz w:val="20"/>
                <w:szCs w:val="20"/>
              </w:rPr>
              <w:t xml:space="preserve"> </w:t>
            </w:r>
            <w:r w:rsidR="00C737A0" w:rsidRPr="008F525A">
              <w:rPr>
                <w:rFonts w:ascii="Verdana" w:hAnsi="Verdana"/>
                <w:sz w:val="20"/>
                <w:szCs w:val="20"/>
              </w:rPr>
              <w:t>Juliette Janin, Chargée de mission</w:t>
            </w:r>
          </w:p>
        </w:tc>
        <w:tc>
          <w:tcPr>
            <w:tcW w:w="1412" w:type="dxa"/>
          </w:tcPr>
          <w:p w14:paraId="5AC1AFAB" w14:textId="04084D54" w:rsidR="00EC22CC" w:rsidRPr="008F525A" w:rsidRDefault="008F525A" w:rsidP="008F525A">
            <w:pPr>
              <w:rPr>
                <w:rFonts w:ascii="Verdana" w:hAnsi="Verdana"/>
                <w:sz w:val="20"/>
                <w:szCs w:val="20"/>
              </w:rPr>
            </w:pPr>
            <w:r w:rsidRPr="008F525A">
              <w:rPr>
                <w:rFonts w:ascii="Verdana" w:hAnsi="Verdana"/>
                <w:sz w:val="20"/>
                <w:szCs w:val="20"/>
              </w:rPr>
              <w:t xml:space="preserve">   </w:t>
            </w:r>
            <w:r w:rsidR="004607F7" w:rsidRPr="008F525A">
              <w:rPr>
                <w:rFonts w:ascii="Verdana" w:hAnsi="Verdana"/>
                <w:sz w:val="20"/>
                <w:szCs w:val="20"/>
              </w:rPr>
              <w:t xml:space="preserve">Décision </w:t>
            </w:r>
          </w:p>
        </w:tc>
      </w:tr>
      <w:tr w:rsidR="00A90305" w14:paraId="6896DB30" w14:textId="77777777">
        <w:tc>
          <w:tcPr>
            <w:tcW w:w="9062" w:type="dxa"/>
            <w:gridSpan w:val="2"/>
          </w:tcPr>
          <w:p w14:paraId="0495241B" w14:textId="1F79DBD4" w:rsidR="00A90305" w:rsidRPr="008F525A" w:rsidRDefault="00A90305" w:rsidP="00A90305">
            <w:pPr>
              <w:rPr>
                <w:rFonts w:ascii="Verdana" w:hAnsi="Verdana"/>
                <w:sz w:val="20"/>
                <w:szCs w:val="20"/>
              </w:rPr>
            </w:pPr>
            <w:r w:rsidRPr="008F525A">
              <w:rPr>
                <w:rFonts w:ascii="Verdana" w:hAnsi="Verdana"/>
                <w:i/>
                <w:iCs/>
                <w:sz w:val="20"/>
                <w:szCs w:val="20"/>
              </w:rPr>
              <w:t xml:space="preserve">Version du </w:t>
            </w:r>
            <w:r w:rsidR="00AA780C">
              <w:rPr>
                <w:rFonts w:ascii="Verdana" w:hAnsi="Verdana"/>
                <w:i/>
                <w:iCs/>
                <w:sz w:val="20"/>
                <w:szCs w:val="20"/>
              </w:rPr>
              <w:t>11</w:t>
            </w:r>
            <w:r w:rsidR="00E06B10">
              <w:rPr>
                <w:rFonts w:ascii="Verdana" w:hAnsi="Verdana"/>
                <w:i/>
                <w:iCs/>
                <w:sz w:val="20"/>
                <w:szCs w:val="20"/>
              </w:rPr>
              <w:t>/05/2026</w:t>
            </w:r>
            <w:r w:rsidRPr="008F525A">
              <w:rPr>
                <w:rFonts w:ascii="Verdana" w:hAnsi="Verdana"/>
                <w:i/>
                <w:iCs/>
                <w:sz w:val="20"/>
                <w:szCs w:val="20"/>
              </w:rPr>
              <w:t xml:space="preserve"> </w:t>
            </w:r>
          </w:p>
        </w:tc>
      </w:tr>
    </w:tbl>
    <w:p w14:paraId="1611BCC4" w14:textId="77777777" w:rsidR="00854EEA" w:rsidRDefault="00854EEA" w:rsidP="00816DAC">
      <w:pPr>
        <w:pStyle w:val="Paragraphe"/>
      </w:pPr>
      <w:bookmarkStart w:id="0" w:name="_Hlk24535240"/>
    </w:p>
    <w:p w14:paraId="678F0DFC" w14:textId="3923B394" w:rsidR="00854EEA" w:rsidRPr="00E91529" w:rsidRDefault="00955BB3" w:rsidP="00A70123">
      <w:pPr>
        <w:pStyle w:val="Titrepartie"/>
        <w:rPr>
          <w:sz w:val="20"/>
        </w:rPr>
      </w:pPr>
      <w:r w:rsidRPr="00E91529">
        <w:rPr>
          <w:sz w:val="20"/>
        </w:rPr>
        <w:t>Résumé</w:t>
      </w:r>
    </w:p>
    <w:p w14:paraId="46288B47" w14:textId="4068B26B" w:rsidR="00AB4BA8" w:rsidRDefault="00AB4BA8" w:rsidP="00AB4BA8">
      <w:pPr>
        <w:pStyle w:val="Paragraphe"/>
      </w:pPr>
      <w:r>
        <w:t>Lancé en 2022 et financé par l’AFD pour une durée de cinq ans, le projet régional Industries Culturelles et Créatives (ICC) de la COI est un programme structurant, centré sur l’égalité femmes-hommes comme objectif principal</w:t>
      </w:r>
      <w:r w:rsidR="00486015">
        <w:t xml:space="preserve"> dans </w:t>
      </w:r>
      <w:r w:rsidR="001A46A4">
        <w:t>le domaine</w:t>
      </w:r>
      <w:r w:rsidR="00486015">
        <w:t xml:space="preserve"> des ICC</w:t>
      </w:r>
      <w:r>
        <w:t>. Entré dans sa 4</w:t>
      </w:r>
      <w:r>
        <w:rPr>
          <w:rFonts w:ascii="Arial" w:hAnsi="Arial" w:cs="Arial"/>
        </w:rPr>
        <w:t>ᵉ</w:t>
      </w:r>
      <w:r>
        <w:t xml:space="preserve"> année, il a connu une forte accélération depuis 2025 avec le déploiement d’outils régionaux (inventaire du patrimoine, MOOC genre, études sectorielles, appui aux femmes entrepreneures).</w:t>
      </w:r>
    </w:p>
    <w:p w14:paraId="29CF1798" w14:textId="74D4D262" w:rsidR="00AB4BA8" w:rsidRDefault="00AB4BA8" w:rsidP="00AB4BA8">
      <w:pPr>
        <w:pStyle w:val="Paragraphe"/>
      </w:pPr>
      <w:r>
        <w:t>Une prolongation de 11 mois sans coût additionnel, validée</w:t>
      </w:r>
      <w:r w:rsidRPr="00AB4BA8">
        <w:t xml:space="preserve"> en décembre 2025 par le comité de pilotage et en cours d’analyse par l’AFD,</w:t>
      </w:r>
      <w:r>
        <w:t xml:space="preserve"> est déterminante pour consolider les acquis, favoriser leur appropriation et renforcer le plaidoyer auprès des États. L’enjeu est désormais de positionner les ICC comme levier stratégique de diversification économique, d’emploi et de cohésion sociale, en lien avec le tourisme et la valorisation durable des Etats insulaires face aux défis climatiques.</w:t>
      </w:r>
    </w:p>
    <w:p w14:paraId="1985034A" w14:textId="08C8DF24" w:rsidR="00AB4BA8" w:rsidRDefault="00AB4BA8" w:rsidP="00AB4BA8">
      <w:pPr>
        <w:pStyle w:val="Paragraphe"/>
      </w:pPr>
      <w:r>
        <w:t>Parallèlement, le Prix Indianocéanie Jeunesse est en préparation, avec une note conceptuelle en finalisation et une recherche active de partenariats.</w:t>
      </w:r>
    </w:p>
    <w:p w14:paraId="68009DDB" w14:textId="06AAE9C2" w:rsidR="0008468B" w:rsidRPr="00E91529" w:rsidRDefault="00955BB3" w:rsidP="00A70123">
      <w:pPr>
        <w:pStyle w:val="Titrepartie"/>
        <w:rPr>
          <w:sz w:val="20"/>
        </w:rPr>
      </w:pPr>
      <w:r w:rsidRPr="00E91529">
        <w:rPr>
          <w:sz w:val="20"/>
        </w:rPr>
        <w:t>Etat d’avancement</w:t>
      </w:r>
    </w:p>
    <w:p w14:paraId="2F09DDD6" w14:textId="095F550C" w:rsidR="00AB4BA8" w:rsidRDefault="009E34AC" w:rsidP="00B079E8">
      <w:pPr>
        <w:pStyle w:val="Sous-partie2"/>
      </w:pPr>
      <w:r>
        <w:t>Résultats clé du p</w:t>
      </w:r>
      <w:r w:rsidR="00AB4BA8">
        <w:t>rojet ICC</w:t>
      </w:r>
    </w:p>
    <w:p w14:paraId="47A15A35" w14:textId="77777777" w:rsidR="00C71D10" w:rsidRDefault="00C71D10" w:rsidP="00C71D10">
      <w:pPr>
        <w:pStyle w:val="Paragraphe"/>
        <w:rPr>
          <w:rFonts w:cstheme="minorBidi"/>
        </w:rPr>
      </w:pPr>
      <w:r w:rsidRPr="00C71D10">
        <w:rPr>
          <w:rFonts w:cstheme="minorBidi"/>
        </w:rPr>
        <w:t xml:space="preserve">Le projet ICC atteint un niveau de déploiement significatif : </w:t>
      </w:r>
      <w:r w:rsidRPr="003F79E4">
        <w:rPr>
          <w:rFonts w:cstheme="minorBidi"/>
          <w:b/>
          <w:bCs/>
        </w:rPr>
        <w:t>358 appuis ont été apportés aux opérateurs culturels de la région</w:t>
      </w:r>
      <w:r w:rsidRPr="00C71D10">
        <w:rPr>
          <w:rFonts w:cstheme="minorBidi"/>
        </w:rPr>
        <w:t>, à travers des dispositifs diversifiés — appels à projets, formations régionales, mise en réseau — qui couvrent l'ensemble de la chaîne de valeur des ICC, de la création à la diffusion.</w:t>
      </w:r>
    </w:p>
    <w:p w14:paraId="5D4627F6" w14:textId="5D880E81" w:rsidR="00A57B2F" w:rsidRDefault="00A57B2F" w:rsidP="00C71D10">
      <w:pPr>
        <w:pStyle w:val="Paragraphe"/>
        <w:rPr>
          <w:u w:val="single"/>
          <w:shd w:val="clear" w:color="auto" w:fill="FFFFFF"/>
        </w:rPr>
      </w:pPr>
      <w:r w:rsidRPr="00A57B2F">
        <w:rPr>
          <w:u w:val="single"/>
          <w:shd w:val="clear" w:color="auto" w:fill="FFFFFF"/>
        </w:rPr>
        <w:t>Préservation et valorisation du patrimoine culturel</w:t>
      </w:r>
    </w:p>
    <w:p w14:paraId="1BD36824" w14:textId="0E22E74C" w:rsidR="00E067DE" w:rsidRPr="001A46A4" w:rsidRDefault="001A46A4" w:rsidP="001A46A4">
      <w:pPr>
        <w:pStyle w:val="Paragraphe"/>
        <w:numPr>
          <w:ilvl w:val="0"/>
          <w:numId w:val="43"/>
        </w:numPr>
        <w:rPr>
          <w:shd w:val="clear" w:color="auto" w:fill="FFFFFF"/>
        </w:rPr>
      </w:pPr>
      <w:r w:rsidRPr="001A46A4">
        <w:rPr>
          <w:shd w:val="clear" w:color="auto" w:fill="FFFFFF"/>
        </w:rPr>
        <w:t>366 architectures traditionnelles et savoir-faire associés inventoriés au sein d’un</w:t>
      </w:r>
      <w:r>
        <w:rPr>
          <w:shd w:val="clear" w:color="auto" w:fill="FFFFFF"/>
        </w:rPr>
        <w:t xml:space="preserve"> </w:t>
      </w:r>
      <w:hyperlink r:id="rId7" w:history="1">
        <w:r w:rsidRPr="00A57B2F">
          <w:rPr>
            <w:rStyle w:val="Lienhypertexte"/>
            <w:shd w:val="clear" w:color="auto" w:fill="FFFFFF"/>
          </w:rPr>
          <w:t>inventaire régional en ligne</w:t>
        </w:r>
      </w:hyperlink>
      <w:r w:rsidRPr="001A46A4">
        <w:rPr>
          <w:shd w:val="clear" w:color="auto" w:fill="FFFFFF"/>
        </w:rPr>
        <w:t>, alimenté par les équipes nationales en charge de l’inventaire dans les États membres. Cet outil a vocation à être continuellement enrichi et approprié par les États membres. Les fiches techniques élaborées répondent par ailleurs aux standards méthodologiques de l’UNESCO, constituant ainsi une base utile pour la mobilisation de financements et le développement d’initiatives de préservation et de valorisation du patrimoine.</w:t>
      </w:r>
    </w:p>
    <w:p w14:paraId="184EF8FC" w14:textId="77777777" w:rsidR="00E067DE" w:rsidRPr="009E34AC" w:rsidRDefault="00E067DE" w:rsidP="00E067DE">
      <w:pPr>
        <w:pStyle w:val="Paragraphe"/>
        <w:numPr>
          <w:ilvl w:val="0"/>
          <w:numId w:val="43"/>
        </w:numPr>
        <w:rPr>
          <w:shd w:val="clear" w:color="auto" w:fill="FFFFFF"/>
        </w:rPr>
      </w:pPr>
      <w:r w:rsidRPr="009E34AC">
        <w:rPr>
          <w:shd w:val="clear" w:color="auto" w:fill="FFFFFF"/>
        </w:rPr>
        <w:t>45 podcasts produits pour valoriser la diversité culturelle de l'Indianocéanie ;</w:t>
      </w:r>
    </w:p>
    <w:p w14:paraId="28B28F19" w14:textId="77777777" w:rsidR="00E067DE" w:rsidRPr="009E34AC" w:rsidRDefault="00E067DE" w:rsidP="00E067DE">
      <w:pPr>
        <w:pStyle w:val="Paragraphe"/>
        <w:numPr>
          <w:ilvl w:val="0"/>
          <w:numId w:val="43"/>
        </w:numPr>
        <w:rPr>
          <w:shd w:val="clear" w:color="auto" w:fill="FFFFFF"/>
        </w:rPr>
      </w:pPr>
      <w:r w:rsidRPr="009E34AC">
        <w:rPr>
          <w:shd w:val="clear" w:color="auto" w:fill="FFFFFF"/>
        </w:rPr>
        <w:t>Programmes d'accompagnement de femmes entrepreneures dans le tourisme culturel (artisanat, mode, gastronomie, expériences culturelles), avec une phase d'extension régionale en cours.</w:t>
      </w:r>
    </w:p>
    <w:p w14:paraId="56AC6DC2" w14:textId="7759BBE1" w:rsidR="00B079E8" w:rsidRPr="009E34AC" w:rsidRDefault="00E067DE" w:rsidP="00E067DE">
      <w:pPr>
        <w:pStyle w:val="Paragraphe"/>
        <w:rPr>
          <w:u w:val="single"/>
          <w:shd w:val="clear" w:color="auto" w:fill="FFFFFF"/>
        </w:rPr>
      </w:pPr>
      <w:r w:rsidRPr="009E34AC">
        <w:rPr>
          <w:u w:val="single"/>
          <w:shd w:val="clear" w:color="auto" w:fill="FFFFFF"/>
        </w:rPr>
        <w:t>Mobilité et structuration du marché culturel régional</w:t>
      </w:r>
    </w:p>
    <w:p w14:paraId="3449F102" w14:textId="77777777" w:rsidR="009E34AC" w:rsidRPr="009E34AC" w:rsidRDefault="009E34AC" w:rsidP="009E34AC">
      <w:pPr>
        <w:pStyle w:val="Paragraphe"/>
        <w:rPr>
          <w:shd w:val="clear" w:color="auto" w:fill="FFFFFF"/>
        </w:rPr>
      </w:pPr>
      <w:r w:rsidRPr="009E34AC">
        <w:rPr>
          <w:shd w:val="clear" w:color="auto" w:fill="FFFFFF"/>
        </w:rPr>
        <w:t>La circulation des artistes et des œuvres demeure un défi structurel pour l'intégration du marché culturel régional. Depuis 2023, 15 appels à projets ont été lancés, générant des résultats concrets à plusieurs niveaux :</w:t>
      </w:r>
    </w:p>
    <w:p w14:paraId="13AF9A05" w14:textId="77777777" w:rsidR="009E34AC" w:rsidRPr="009E34AC" w:rsidRDefault="009E34AC" w:rsidP="009E34AC">
      <w:pPr>
        <w:pStyle w:val="Paragraphe"/>
        <w:numPr>
          <w:ilvl w:val="0"/>
          <w:numId w:val="44"/>
        </w:numPr>
        <w:rPr>
          <w:shd w:val="clear" w:color="auto" w:fill="FFFFFF"/>
        </w:rPr>
      </w:pPr>
      <w:r w:rsidRPr="009E34AC">
        <w:rPr>
          <w:shd w:val="clear" w:color="auto" w:fill="FFFFFF"/>
        </w:rPr>
        <w:t>96 bourses de mobilité (programme AléVini) octroyées pour faciliter la circulation des artistes et des œuvres entre les états membres ;</w:t>
      </w:r>
    </w:p>
    <w:p w14:paraId="52B45F72" w14:textId="77777777" w:rsidR="009E34AC" w:rsidRPr="009E34AC" w:rsidRDefault="009E34AC" w:rsidP="009E34AC">
      <w:pPr>
        <w:pStyle w:val="Paragraphe"/>
        <w:numPr>
          <w:ilvl w:val="0"/>
          <w:numId w:val="44"/>
        </w:numPr>
        <w:rPr>
          <w:shd w:val="clear" w:color="auto" w:fill="FFFFFF"/>
        </w:rPr>
      </w:pPr>
      <w:r w:rsidRPr="009E34AC">
        <w:rPr>
          <w:shd w:val="clear" w:color="auto" w:fill="FFFFFF"/>
        </w:rPr>
        <w:t>25 bourses d'études Tafà attribuées pour renforcer les compétences des professionnels du secteur ;</w:t>
      </w:r>
    </w:p>
    <w:p w14:paraId="6CBE8A01" w14:textId="77777777" w:rsidR="009E34AC" w:rsidRPr="009E34AC" w:rsidRDefault="009E34AC" w:rsidP="009E34AC">
      <w:pPr>
        <w:pStyle w:val="Paragraphe"/>
        <w:numPr>
          <w:ilvl w:val="0"/>
          <w:numId w:val="44"/>
        </w:numPr>
        <w:rPr>
          <w:shd w:val="clear" w:color="auto" w:fill="FFFFFF"/>
        </w:rPr>
      </w:pPr>
      <w:r w:rsidRPr="009E34AC">
        <w:rPr>
          <w:shd w:val="clear" w:color="auto" w:fill="FFFFFF"/>
        </w:rPr>
        <w:lastRenderedPageBreak/>
        <w:t>12 projets de co-création soutenus, favorisant les collaborations artistiques régionales ;</w:t>
      </w:r>
    </w:p>
    <w:p w14:paraId="64C13049" w14:textId="77777777" w:rsidR="009E34AC" w:rsidRPr="009E34AC" w:rsidRDefault="009E34AC" w:rsidP="009E34AC">
      <w:pPr>
        <w:pStyle w:val="Paragraphe"/>
        <w:numPr>
          <w:ilvl w:val="0"/>
          <w:numId w:val="44"/>
        </w:numPr>
        <w:rPr>
          <w:shd w:val="clear" w:color="auto" w:fill="FFFFFF"/>
        </w:rPr>
      </w:pPr>
      <w:r w:rsidRPr="009E34AC">
        <w:rPr>
          <w:shd w:val="clear" w:color="auto" w:fill="FFFFFF"/>
        </w:rPr>
        <w:t>17 événements culturels appuyés, contribuant à structurer les circuits de programmation et de diffusion à l'échelle de l'Indianocéanie.</w:t>
      </w:r>
    </w:p>
    <w:p w14:paraId="62665E53" w14:textId="71235061" w:rsidR="009E34AC" w:rsidRPr="00486015" w:rsidRDefault="001A46A4" w:rsidP="009E34AC">
      <w:pPr>
        <w:pStyle w:val="Paragraphe"/>
        <w:rPr>
          <w:shd w:val="clear" w:color="auto" w:fill="FFFFFF"/>
        </w:rPr>
      </w:pPr>
      <w:r w:rsidRPr="001A46A4">
        <w:rPr>
          <w:shd w:val="clear" w:color="auto" w:fill="FFFFFF"/>
        </w:rPr>
        <w:t>Ces dispositifs contribuent progressivement à l’émergence d’un espace culturel régional partagé, essentiel au développement d’un marché régional des biens et services culturels. Toutefois, des obstacles persistent en matière de mobilité des artistes et professionnels des ICC, notamment concernant la délivrance des visas — certaines formations régionales, notamment dans le cadre des bourses TAFa, ne bénéficiant pas toujours d’une reconnaissance administrative facilitant les démarches de mobilité — ainsi que la circulation des œuvres et des biens culturels en raison de contraintes douanières. Un plaidoyer est ainsi mené auprès des États membres afin de renforcer les mécanismes facilitant la mobilité culturelle régionale.</w:t>
      </w:r>
    </w:p>
    <w:p w14:paraId="60B50F81" w14:textId="77777777" w:rsidR="009E34AC" w:rsidRPr="009E34AC" w:rsidRDefault="009E34AC" w:rsidP="009E34AC">
      <w:pPr>
        <w:pStyle w:val="Paragraphe"/>
        <w:rPr>
          <w:u w:val="single"/>
          <w:shd w:val="clear" w:color="auto" w:fill="FFFFFF"/>
        </w:rPr>
      </w:pPr>
      <w:r w:rsidRPr="009E34AC">
        <w:rPr>
          <w:u w:val="single"/>
          <w:shd w:val="clear" w:color="auto" w:fill="FFFFFF"/>
        </w:rPr>
        <w:t>Droit d'auteur et propriété intellectuelle</w:t>
      </w:r>
    </w:p>
    <w:p w14:paraId="50747F75" w14:textId="390E6E30" w:rsidR="00486015" w:rsidRDefault="00A57B2F" w:rsidP="00A57B2F">
      <w:pPr>
        <w:pStyle w:val="Paragraphe"/>
        <w:rPr>
          <w:shd w:val="clear" w:color="auto" w:fill="FFFFFF"/>
        </w:rPr>
      </w:pPr>
      <w:r w:rsidRPr="00A57B2F">
        <w:rPr>
          <w:shd w:val="clear" w:color="auto" w:fill="FFFFFF"/>
        </w:rPr>
        <w:t xml:space="preserve">Le droit d'auteur et la propriété intellectuelle constituent un pilier essentiel de la viabilité économique des ICC : sans cadre juridique adapté, les créateurs ne peuvent ni protéger ni valoriser leurs œuvres. Un état des lieux du cadre législatif dans les pays du COMESA, réalisé en 2023, a permis de cibler les besoins d'appui. </w:t>
      </w:r>
      <w:r w:rsidR="00486015" w:rsidRPr="00486015">
        <w:rPr>
          <w:shd w:val="clear" w:color="auto" w:fill="FFFFFF"/>
        </w:rPr>
        <w:t xml:space="preserve">Pour y répondre, le projet ICC a mis en place un mécanisme permettant aux États membres de solliciter un appui technique et financier pour des initiatives nationales visant à renforcer l’environnement du droit d’auteur et de la propriété intellectuelle (renforcement des capacités, sensibilisation, accompagnement des ayants droit, amélioration des dispositifs d’enregistrement, etc.). Un premier projet porté par le ministère de la Communication et de la Culture de Madagascar est </w:t>
      </w:r>
      <w:r w:rsidR="003F79E4" w:rsidRPr="00486015">
        <w:rPr>
          <w:shd w:val="clear" w:color="auto" w:fill="FFFFFF"/>
        </w:rPr>
        <w:t>en cours</w:t>
      </w:r>
      <w:r w:rsidR="00486015" w:rsidRPr="00486015">
        <w:rPr>
          <w:shd w:val="clear" w:color="auto" w:fill="FFFFFF"/>
        </w:rPr>
        <w:t xml:space="preserve"> de mise en œuvre. Les autres États membres sont encouragés à mobiliser ce dispositif en fonction de leurs priorités nationales.</w:t>
      </w:r>
    </w:p>
    <w:p w14:paraId="598E3925" w14:textId="70F05EDF" w:rsidR="009E34AC" w:rsidRDefault="00A57B2F" w:rsidP="00A57B2F">
      <w:pPr>
        <w:pStyle w:val="Paragraphe"/>
        <w:rPr>
          <w:shd w:val="clear" w:color="auto" w:fill="FFFFFF"/>
        </w:rPr>
      </w:pPr>
      <w:r w:rsidRPr="00A57B2F">
        <w:rPr>
          <w:shd w:val="clear" w:color="auto" w:fill="FFFFFF"/>
        </w:rPr>
        <w:t xml:space="preserve">Un atelier régional tenu à Madagascar en février 2026 a réuni les acteurs de l'océan Indien sur ces enjeux ; ses recommandations alimenteront le plaidoyer régional et les prochains appuis aux </w:t>
      </w:r>
      <w:r w:rsidR="00AA780C">
        <w:rPr>
          <w:shd w:val="clear" w:color="auto" w:fill="FFFFFF"/>
        </w:rPr>
        <w:t>E</w:t>
      </w:r>
      <w:r w:rsidRPr="00A57B2F">
        <w:rPr>
          <w:shd w:val="clear" w:color="auto" w:fill="FFFFFF"/>
        </w:rPr>
        <w:t>tats membres.</w:t>
      </w:r>
    </w:p>
    <w:p w14:paraId="126EED70" w14:textId="77777777" w:rsidR="00B16B5D" w:rsidRPr="00B16B5D" w:rsidRDefault="00B16B5D" w:rsidP="00B16B5D">
      <w:pPr>
        <w:pStyle w:val="Paragraphe"/>
        <w:rPr>
          <w:u w:val="single"/>
          <w:shd w:val="clear" w:color="auto" w:fill="FFFFFF"/>
        </w:rPr>
      </w:pPr>
      <w:r w:rsidRPr="00B16B5D">
        <w:rPr>
          <w:u w:val="single"/>
          <w:shd w:val="clear" w:color="auto" w:fill="FFFFFF"/>
        </w:rPr>
        <w:t>Plaidoyer et égalité de genre</w:t>
      </w:r>
    </w:p>
    <w:p w14:paraId="116BBDA9" w14:textId="77777777" w:rsidR="00C71D10" w:rsidRDefault="00C71D10" w:rsidP="00C71D10">
      <w:pPr>
        <w:pStyle w:val="Paragraphe"/>
        <w:rPr>
          <w:shd w:val="clear" w:color="auto" w:fill="FFFFFF"/>
        </w:rPr>
      </w:pPr>
      <w:r w:rsidRPr="00C71D10">
        <w:rPr>
          <w:shd w:val="clear" w:color="auto" w:fill="FFFFFF"/>
        </w:rPr>
        <w:t>Tous les résultats du projet ont vocation à être capitalisés et valorisés dans le cadre d'une stratégie de plaidoyer régional intégrée,</w:t>
      </w:r>
      <w:r>
        <w:rPr>
          <w:shd w:val="clear" w:color="auto" w:fill="FFFFFF"/>
        </w:rPr>
        <w:t xml:space="preserve"> </w:t>
      </w:r>
      <w:r w:rsidRPr="00C71D10">
        <w:rPr>
          <w:shd w:val="clear" w:color="auto" w:fill="FFFFFF"/>
        </w:rPr>
        <w:t>qui vise à ancrer les ICC comme priorité des agendas politiques nationaux et régionaux. Elle s'articule autour de trois axes qui se complètent et se renforcent.</w:t>
      </w:r>
    </w:p>
    <w:p w14:paraId="07C92C58" w14:textId="72FA8FCE" w:rsidR="00B16B5D" w:rsidRPr="00B16B5D" w:rsidRDefault="00B16B5D" w:rsidP="00C71D10">
      <w:pPr>
        <w:pStyle w:val="Paragraphe"/>
        <w:rPr>
          <w:shd w:val="clear" w:color="auto" w:fill="FFFFFF"/>
        </w:rPr>
      </w:pPr>
      <w:r>
        <w:rPr>
          <w:shd w:val="clear" w:color="auto" w:fill="FFFFFF"/>
        </w:rPr>
        <w:t>Le</w:t>
      </w:r>
      <w:r w:rsidRPr="00B16B5D">
        <w:rPr>
          <w:shd w:val="clear" w:color="auto" w:fill="FFFFFF"/>
        </w:rPr>
        <w:t xml:space="preserve"> projet œuvre </w:t>
      </w:r>
      <w:r>
        <w:rPr>
          <w:shd w:val="clear" w:color="auto" w:fill="FFFFFF"/>
        </w:rPr>
        <w:t xml:space="preserve">tout d’abord </w:t>
      </w:r>
      <w:r w:rsidRPr="00B16B5D">
        <w:rPr>
          <w:shd w:val="clear" w:color="auto" w:fill="FFFFFF"/>
        </w:rPr>
        <w:t xml:space="preserve">à faire reconnaître les ICC comme secteur à part entière de la croissance et de la diversification économique des </w:t>
      </w:r>
      <w:r>
        <w:rPr>
          <w:shd w:val="clear" w:color="auto" w:fill="FFFFFF"/>
        </w:rPr>
        <w:t>É</w:t>
      </w:r>
      <w:r w:rsidRPr="00B16B5D">
        <w:rPr>
          <w:shd w:val="clear" w:color="auto" w:fill="FFFFFF"/>
        </w:rPr>
        <w:t>tats membres</w:t>
      </w:r>
      <w:r>
        <w:rPr>
          <w:shd w:val="clear" w:color="auto" w:fill="FFFFFF"/>
        </w:rPr>
        <w:t xml:space="preserve"> de la COI</w:t>
      </w:r>
      <w:r w:rsidRPr="00B16B5D">
        <w:rPr>
          <w:shd w:val="clear" w:color="auto" w:fill="FFFFFF"/>
        </w:rPr>
        <w:t>. Des analyses sectorielles structurantes — un Livre blanc sur le cinéma en Indianocéanie et un état des lieux de l'esport — viennent documenter et outiller ce plaidoyer auprès des décideurs publics.</w:t>
      </w:r>
    </w:p>
    <w:p w14:paraId="4BB6EDFB" w14:textId="712A5AA6" w:rsidR="00B16B5D" w:rsidRPr="00B16B5D" w:rsidRDefault="00B16B5D" w:rsidP="00B16B5D">
      <w:pPr>
        <w:pStyle w:val="Paragraphe"/>
        <w:rPr>
          <w:shd w:val="clear" w:color="auto" w:fill="FFFFFF"/>
        </w:rPr>
      </w:pPr>
      <w:r>
        <w:rPr>
          <w:shd w:val="clear" w:color="auto" w:fill="FFFFFF"/>
        </w:rPr>
        <w:t>Il a également</w:t>
      </w:r>
      <w:r w:rsidRPr="00B16B5D">
        <w:rPr>
          <w:shd w:val="clear" w:color="auto" w:fill="FFFFFF"/>
        </w:rPr>
        <w:t xml:space="preserve"> porté la voix des </w:t>
      </w:r>
      <w:r>
        <w:rPr>
          <w:shd w:val="clear" w:color="auto" w:fill="FFFFFF"/>
        </w:rPr>
        <w:t>É</w:t>
      </w:r>
      <w:r w:rsidRPr="00B16B5D">
        <w:rPr>
          <w:shd w:val="clear" w:color="auto" w:fill="FFFFFF"/>
        </w:rPr>
        <w:t xml:space="preserve">tats insulaires lors de </w:t>
      </w:r>
      <w:r>
        <w:rPr>
          <w:shd w:val="clear" w:color="auto" w:fill="FFFFFF"/>
        </w:rPr>
        <w:t>la Conférence internationale de l’UNESCO à Barcelone (</w:t>
      </w:r>
      <w:r w:rsidRPr="00B16B5D">
        <w:rPr>
          <w:shd w:val="clear" w:color="auto" w:fill="FFFFFF"/>
        </w:rPr>
        <w:t>MONDIACULT 2025</w:t>
      </w:r>
      <w:r>
        <w:rPr>
          <w:shd w:val="clear" w:color="auto" w:fill="FFFFFF"/>
        </w:rPr>
        <w:t>)</w:t>
      </w:r>
      <w:r w:rsidRPr="00B16B5D">
        <w:rPr>
          <w:shd w:val="clear" w:color="auto" w:fill="FFFFFF"/>
        </w:rPr>
        <w:t>, en positionnant la culture comme levier d'adaptation, de résilience et de valorisation durable des</w:t>
      </w:r>
      <w:r>
        <w:rPr>
          <w:shd w:val="clear" w:color="auto" w:fill="FFFFFF"/>
        </w:rPr>
        <w:t xml:space="preserve"> “</w:t>
      </w:r>
      <w:r w:rsidRPr="00AA780C">
        <w:rPr>
          <w:i/>
          <w:iCs/>
          <w:shd w:val="clear" w:color="auto" w:fill="FFFFFF"/>
        </w:rPr>
        <w:t>Big Ocean States</w:t>
      </w:r>
      <w:r>
        <w:rPr>
          <w:shd w:val="clear" w:color="auto" w:fill="FFFFFF"/>
        </w:rPr>
        <w:t>”</w:t>
      </w:r>
      <w:r w:rsidRPr="00B16B5D">
        <w:rPr>
          <w:shd w:val="clear" w:color="auto" w:fill="FFFFFF"/>
        </w:rPr>
        <w:t xml:space="preserve">. Ce plaidoyer sera approfondi lors de l'atelier régional sur le tourisme culturel durable </w:t>
      </w:r>
      <w:r>
        <w:rPr>
          <w:shd w:val="clear" w:color="auto" w:fill="FFFFFF"/>
        </w:rPr>
        <w:t xml:space="preserve">qui se tiendra </w:t>
      </w:r>
      <w:r w:rsidRPr="00B16B5D">
        <w:rPr>
          <w:shd w:val="clear" w:color="auto" w:fill="FFFFFF"/>
        </w:rPr>
        <w:t>aux Seychelles</w:t>
      </w:r>
      <w:r>
        <w:rPr>
          <w:shd w:val="clear" w:color="auto" w:fill="FFFFFF"/>
        </w:rPr>
        <w:t xml:space="preserve"> </w:t>
      </w:r>
      <w:r w:rsidRPr="00B16B5D">
        <w:rPr>
          <w:shd w:val="clear" w:color="auto" w:fill="FFFFFF"/>
        </w:rPr>
        <w:t xml:space="preserve">en </w:t>
      </w:r>
      <w:r>
        <w:rPr>
          <w:shd w:val="clear" w:color="auto" w:fill="FFFFFF"/>
        </w:rPr>
        <w:t xml:space="preserve">octobre </w:t>
      </w:r>
      <w:r w:rsidRPr="00B16B5D">
        <w:rPr>
          <w:shd w:val="clear" w:color="auto" w:fill="FFFFFF"/>
        </w:rPr>
        <w:t>2026.</w:t>
      </w:r>
    </w:p>
    <w:p w14:paraId="3DDD7FAE" w14:textId="11FDDA0B" w:rsidR="00B16B5D" w:rsidRPr="00B16B5D" w:rsidRDefault="00C71D10" w:rsidP="00C71D10">
      <w:pPr>
        <w:pStyle w:val="Paragraphe"/>
        <w:rPr>
          <w:shd w:val="clear" w:color="auto" w:fill="FFFFFF"/>
        </w:rPr>
      </w:pPr>
      <w:r w:rsidRPr="00C71D10">
        <w:rPr>
          <w:shd w:val="clear" w:color="auto" w:fill="FFFFFF"/>
        </w:rPr>
        <w:t xml:space="preserve">Sur le volet genre, une Rencontre-Action organisée à Maurice en 2025 a rassemblé des femmes des ICC de toute la région autour de problématiques communes, offrant un espace de dialogue et de prise de parole inédit. En complément, un MOOC régional a été lancé pour mieux identifier et prévenir les violences de genre dans le secteur culturel. Le projet contribuera également à la Conférence </w:t>
      </w:r>
      <w:r>
        <w:rPr>
          <w:shd w:val="clear" w:color="auto" w:fill="FFFFFF"/>
        </w:rPr>
        <w:t xml:space="preserve">internationale </w:t>
      </w:r>
      <w:r w:rsidRPr="00C71D10">
        <w:rPr>
          <w:shd w:val="clear" w:color="auto" w:fill="FFFFFF"/>
        </w:rPr>
        <w:t>des femmes de l'océan Indien</w:t>
      </w:r>
      <w:r>
        <w:rPr>
          <w:shd w:val="clear" w:color="auto" w:fill="FFFFFF"/>
        </w:rPr>
        <w:t xml:space="preserve"> et de l’Afrique australe prévue en décembre 2026 à La Réunion.</w:t>
      </w:r>
    </w:p>
    <w:p w14:paraId="24546A83" w14:textId="5176CD16" w:rsidR="00B079E8" w:rsidRDefault="00995F00" w:rsidP="00B079E8">
      <w:pPr>
        <w:pStyle w:val="Sous-partie2"/>
        <w:numPr>
          <w:ilvl w:val="1"/>
          <w:numId w:val="38"/>
        </w:numPr>
      </w:pPr>
      <w:r>
        <w:t xml:space="preserve">Prix Indianocéanie Jeunesse </w:t>
      </w:r>
    </w:p>
    <w:p w14:paraId="2CC41F05" w14:textId="69589F6F" w:rsidR="001426C5" w:rsidRDefault="00F70A04" w:rsidP="00F70A04">
      <w:pPr>
        <w:pStyle w:val="Paragraphe"/>
        <w:rPr>
          <w:shd w:val="clear" w:color="auto" w:fill="FFFFFF"/>
        </w:rPr>
      </w:pPr>
      <w:r w:rsidRPr="00F70A04">
        <w:rPr>
          <w:shd w:val="clear" w:color="auto" w:fill="FFFFFF"/>
        </w:rPr>
        <w:t>Dans la perspective de la relance du Prix Indianocéanie Jeunesse en 2026</w:t>
      </w:r>
      <w:r>
        <w:rPr>
          <w:shd w:val="clear" w:color="auto" w:fill="FFFFFF"/>
        </w:rPr>
        <w:t>/2027</w:t>
      </w:r>
      <w:r w:rsidRPr="00F70A04">
        <w:rPr>
          <w:shd w:val="clear" w:color="auto" w:fill="FFFFFF"/>
        </w:rPr>
        <w:t>, le Secrétariat général a finalisé la note conceptuelle. Les travaux préparatoires</w:t>
      </w:r>
      <w:r>
        <w:rPr>
          <w:shd w:val="clear" w:color="auto" w:fill="FFFFFF"/>
        </w:rPr>
        <w:t xml:space="preserve"> à la note</w:t>
      </w:r>
      <w:r w:rsidRPr="00F70A04">
        <w:rPr>
          <w:shd w:val="clear" w:color="auto" w:fill="FFFFFF"/>
        </w:rPr>
        <w:t xml:space="preserve"> ont également mis en évidence une difficulté à identifier un calendrier scolaire suffisamment aligné entre les États membres, condition clé pour assurer une participation régionale équilibrée. Le Département de La Réunion a confirmé son partenariat.</w:t>
      </w:r>
    </w:p>
    <w:p w14:paraId="5F1AF5A8" w14:textId="2D804B58" w:rsidR="00F70A04" w:rsidRDefault="00F70A04" w:rsidP="00F70A04">
      <w:pPr>
        <w:pStyle w:val="Paragraphe"/>
        <w:rPr>
          <w:shd w:val="clear" w:color="auto" w:fill="FFFFFF"/>
        </w:rPr>
      </w:pPr>
      <w:r w:rsidRPr="00F70A04">
        <w:rPr>
          <w:shd w:val="clear" w:color="auto" w:fill="FFFFFF"/>
        </w:rPr>
        <w:t>En parallèle, une recherche active de financements est en cours, avec des premiers contacts établis notamment avec l’Organisation internationale de la Francophonie, ainsi que des démarches engagées pour mobiliser des partenaires privés.</w:t>
      </w:r>
    </w:p>
    <w:p w14:paraId="60D9F337" w14:textId="13115D1A" w:rsidR="00B079E8" w:rsidRDefault="001426C5" w:rsidP="00311C03">
      <w:pPr>
        <w:pStyle w:val="Paragraphe"/>
        <w:rPr>
          <w:shd w:val="clear" w:color="auto" w:fill="FFFFFF"/>
        </w:rPr>
      </w:pPr>
      <w:r w:rsidRPr="001426C5">
        <w:rPr>
          <w:shd w:val="clear" w:color="auto" w:fill="FFFFFF"/>
        </w:rPr>
        <w:t>La réussite de cette nouvelle édition reposera également sur la mise en place d’un partenariat étroit avec les ministères de l’Éducation afin d’assurer la diffusion de l’appel et la mobilisation des établissements scolaires. Un plaidoyer sera mené via les ministères des Affaires étrangères pour faciliter cet appui institutionnel.</w:t>
      </w:r>
    </w:p>
    <w:p w14:paraId="17777224" w14:textId="77777777" w:rsidR="00B16B5D" w:rsidRPr="001426C5" w:rsidRDefault="00B16B5D" w:rsidP="00311C03">
      <w:pPr>
        <w:pStyle w:val="Paragraphe"/>
        <w:rPr>
          <w:shd w:val="clear" w:color="auto" w:fill="FFFFFF"/>
        </w:rPr>
      </w:pPr>
    </w:p>
    <w:p w14:paraId="2F7F5914" w14:textId="086256FC" w:rsidR="00955BB3" w:rsidRPr="00E91529" w:rsidRDefault="00955BB3" w:rsidP="00A70123">
      <w:pPr>
        <w:pStyle w:val="Titrepartie"/>
        <w:rPr>
          <w:sz w:val="20"/>
        </w:rPr>
      </w:pPr>
      <w:r w:rsidRPr="00E91529">
        <w:rPr>
          <w:sz w:val="20"/>
        </w:rPr>
        <w:t>Proposition de décision</w:t>
      </w:r>
    </w:p>
    <w:p w14:paraId="3ECF0759" w14:textId="09511B4D" w:rsidR="00912454" w:rsidRPr="00927CB6" w:rsidRDefault="00E06B10" w:rsidP="00E06B10">
      <w:pPr>
        <w:pStyle w:val="Paragraphe"/>
      </w:pPr>
      <w:r>
        <w:t>Le Conseil des ministres</w:t>
      </w:r>
      <w:r w:rsidR="003A2FD2" w:rsidRPr="00927CB6">
        <w:t xml:space="preserve"> :</w:t>
      </w:r>
    </w:p>
    <w:p w14:paraId="4C0A264C" w14:textId="069E260A" w:rsidR="00912454" w:rsidRPr="00927CB6" w:rsidRDefault="00912454" w:rsidP="00EF1789">
      <w:pPr>
        <w:pStyle w:val="Paragraphe"/>
        <w:numPr>
          <w:ilvl w:val="0"/>
          <w:numId w:val="42"/>
        </w:numPr>
      </w:pPr>
      <w:r w:rsidRPr="00927CB6">
        <w:t xml:space="preserve">Se félicite des résultats du projet régional </w:t>
      </w:r>
      <w:r w:rsidR="00D7742B">
        <w:t>de développement des industries culturelles et créatives (</w:t>
      </w:r>
      <w:r w:rsidRPr="00927CB6">
        <w:t>ICC</w:t>
      </w:r>
      <w:r w:rsidR="00D7742B">
        <w:t>)</w:t>
      </w:r>
      <w:r w:rsidRPr="00927CB6">
        <w:t>, en tant que programme structurant contribuant au développement des industries culturelles et créatives dans la région ;</w:t>
      </w:r>
    </w:p>
    <w:p w14:paraId="3C6C20F4" w14:textId="7C25FD49" w:rsidR="00912454" w:rsidRPr="00927CB6" w:rsidRDefault="00912454" w:rsidP="00EF1789">
      <w:pPr>
        <w:pStyle w:val="Paragraphe"/>
        <w:numPr>
          <w:ilvl w:val="0"/>
          <w:numId w:val="42"/>
        </w:numPr>
      </w:pPr>
      <w:r w:rsidRPr="00927CB6">
        <w:t>Invite les États membres à</w:t>
      </w:r>
      <w:r w:rsidR="00EA1145">
        <w:t xml:space="preserve"> s’approprier et capitaliser l</w:t>
      </w:r>
      <w:r w:rsidRPr="00927CB6">
        <w:t>es outils développés</w:t>
      </w:r>
      <w:r w:rsidR="00904CCC" w:rsidRPr="00927CB6">
        <w:t xml:space="preserve"> dans le cadre du projet ICC</w:t>
      </w:r>
      <w:r w:rsidRPr="00927CB6">
        <w:t>, notamment l’inventaire régional du patrimoine</w:t>
      </w:r>
      <w:r w:rsidR="000D4842">
        <w:t xml:space="preserve"> en vue d’une amélioration continue </w:t>
      </w:r>
      <w:r w:rsidR="00BD7D2A">
        <w:t>au niveau national</w:t>
      </w:r>
      <w:r w:rsidR="00D673EA">
        <w:t xml:space="preserve"> et</w:t>
      </w:r>
      <w:r w:rsidR="00BD7D2A">
        <w:t xml:space="preserve"> à des fins de </w:t>
      </w:r>
      <w:r w:rsidR="00772625">
        <w:t xml:space="preserve">financement </w:t>
      </w:r>
      <w:r w:rsidR="00D673EA">
        <w:t>pour la</w:t>
      </w:r>
      <w:r w:rsidR="00772625">
        <w:t xml:space="preserve"> préservation du patrimoine</w:t>
      </w:r>
      <w:r w:rsidR="00377647">
        <w:t> ;</w:t>
      </w:r>
    </w:p>
    <w:p w14:paraId="75DB27C9" w14:textId="5872C770" w:rsidR="00912454" w:rsidRPr="00927CB6" w:rsidRDefault="00912454" w:rsidP="00EF1789">
      <w:pPr>
        <w:pStyle w:val="Paragraphe"/>
        <w:numPr>
          <w:ilvl w:val="0"/>
          <w:numId w:val="42"/>
        </w:numPr>
      </w:pPr>
      <w:r w:rsidRPr="00927CB6">
        <w:t>Encourage les États membres à soumettre</w:t>
      </w:r>
      <w:r w:rsidR="004C1C4E">
        <w:t>, auprès du projet ICC</w:t>
      </w:r>
      <w:r w:rsidR="00B76BC7">
        <w:t>,</w:t>
      </w:r>
      <w:r w:rsidRPr="00927CB6">
        <w:t xml:space="preserve"> </w:t>
      </w:r>
      <w:r w:rsidR="008B56F6">
        <w:t xml:space="preserve">des </w:t>
      </w:r>
      <w:r w:rsidR="00BE69B3">
        <w:t>initiative</w:t>
      </w:r>
      <w:r w:rsidR="005F323A">
        <w:t>s</w:t>
      </w:r>
      <w:r w:rsidRPr="00927CB6">
        <w:t xml:space="preserve"> </w:t>
      </w:r>
      <w:r w:rsidR="00BF7EAA">
        <w:t xml:space="preserve">de renforcement des cadres nationaux </w:t>
      </w:r>
      <w:r w:rsidR="00DB6696">
        <w:t>e</w:t>
      </w:r>
      <w:r w:rsidRPr="00927CB6">
        <w:t>n matière de droit d’auteur et de propriété intellectuelle</w:t>
      </w:r>
      <w:r w:rsidR="00DB6696">
        <w:t> ;</w:t>
      </w:r>
    </w:p>
    <w:p w14:paraId="4B565F90" w14:textId="4659FF82" w:rsidR="00912454" w:rsidRPr="00927CB6" w:rsidRDefault="00912454" w:rsidP="00EF1789">
      <w:pPr>
        <w:pStyle w:val="Paragraphe"/>
        <w:numPr>
          <w:ilvl w:val="0"/>
          <w:numId w:val="42"/>
        </w:numPr>
      </w:pPr>
      <w:r w:rsidRPr="00927CB6">
        <w:t>Encourage le renforcement des mécanismes de mobilité régionale des artistes et des professionnels des ICC, afin de faciliter la circulation des</w:t>
      </w:r>
      <w:r w:rsidR="00212CDB" w:rsidRPr="00927CB6">
        <w:t xml:space="preserve"> personnes, des</w:t>
      </w:r>
      <w:r w:rsidRPr="00927CB6">
        <w:t xml:space="preserve"> œuvres et des</w:t>
      </w:r>
      <w:r w:rsidR="00212CDB" w:rsidRPr="00927CB6">
        <w:t xml:space="preserve"> biens culturels</w:t>
      </w:r>
      <w:r w:rsidRPr="00927CB6">
        <w:t xml:space="preserve"> et de soutenir l’intégration du marché culturel régional ;</w:t>
      </w:r>
    </w:p>
    <w:p w14:paraId="4923CDAD" w14:textId="05AC06AE" w:rsidR="00377647" w:rsidRDefault="00912454" w:rsidP="00EF1789">
      <w:pPr>
        <w:pStyle w:val="Paragraphe"/>
        <w:numPr>
          <w:ilvl w:val="0"/>
          <w:numId w:val="42"/>
        </w:numPr>
      </w:pPr>
      <w:r w:rsidRPr="00927CB6">
        <w:t xml:space="preserve">Mandate le Secrétariat général </w:t>
      </w:r>
      <w:r w:rsidR="00F368BA" w:rsidRPr="00927CB6">
        <w:t>à</w:t>
      </w:r>
      <w:r w:rsidRPr="00927CB6">
        <w:t xml:space="preserve"> préparer une seconde phase du projet, visant à consolider les acquis et à amplifier les dynamiques régionale</w:t>
      </w:r>
      <w:r w:rsidR="00E5462B">
        <w:t>s</w:t>
      </w:r>
      <w:r w:rsidR="001950AD">
        <w:t xml:space="preserve"> en tenant compte </w:t>
      </w:r>
      <w:r w:rsidR="003B6308">
        <w:t>du bilan des actions engagées et de la valeur ajoutée de la COI</w:t>
      </w:r>
      <w:r w:rsidR="00377647">
        <w:t> ;</w:t>
      </w:r>
    </w:p>
    <w:p w14:paraId="4B9CE490" w14:textId="3388FCA1" w:rsidR="00912454" w:rsidRPr="00927CB6" w:rsidRDefault="00377647" w:rsidP="00EF1789">
      <w:pPr>
        <w:pStyle w:val="Paragraphe"/>
        <w:numPr>
          <w:ilvl w:val="0"/>
          <w:numId w:val="42"/>
        </w:numPr>
      </w:pPr>
      <w:r>
        <w:t>E</w:t>
      </w:r>
      <w:r w:rsidRPr="00377647">
        <w:t>ncourage le Secrétariat général à engager, dans les meilleurs délais, les démarches nécessaires à la mobilisation de partenaires aux côtés du Département de La Réunion pour le lancement du Prix Indianocéanie Jeunesse, et à œuvrer, plus largement, à la pérennisation de cette initiative emblématique du paysage littéraire régional</w:t>
      </w:r>
      <w:r w:rsidR="00912454" w:rsidRPr="00927CB6">
        <w:t>.</w:t>
      </w:r>
    </w:p>
    <w:bookmarkEnd w:id="0"/>
    <w:p w14:paraId="61115D0B" w14:textId="77777777" w:rsidR="00E91529" w:rsidRDefault="00E91529" w:rsidP="00E91529">
      <w:pPr>
        <w:pStyle w:val="Paragraphe"/>
        <w:ind w:left="720"/>
        <w:jc w:val="left"/>
      </w:pPr>
    </w:p>
    <w:p w14:paraId="3D5FE3BF" w14:textId="77777777" w:rsidR="00E91529" w:rsidRPr="00E91529" w:rsidRDefault="00E91529" w:rsidP="00E91529">
      <w:pPr>
        <w:pStyle w:val="Paragraphe"/>
        <w:ind w:left="720"/>
        <w:jc w:val="left"/>
      </w:pPr>
    </w:p>
    <w:sectPr w:rsidR="00E91529" w:rsidRPr="00E91529" w:rsidSect="0046236C">
      <w:headerReference w:type="default" r:id="rId8"/>
      <w:footerReference w:type="default" r:id="rId9"/>
      <w:pgSz w:w="11906" w:h="16838"/>
      <w:pgMar w:top="1276" w:right="1417" w:bottom="851"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1DF8E" w14:textId="77777777" w:rsidR="00723BA7" w:rsidRDefault="00723BA7">
      <w:pPr>
        <w:spacing w:after="0" w:line="240" w:lineRule="auto"/>
      </w:pPr>
      <w:r>
        <w:separator/>
      </w:r>
    </w:p>
  </w:endnote>
  <w:endnote w:type="continuationSeparator" w:id="0">
    <w:p w14:paraId="4BA8FE00" w14:textId="77777777" w:rsidR="00723BA7" w:rsidRDefault="00723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6DE45" w14:textId="77777777" w:rsidR="00723BA7" w:rsidRDefault="00723BA7">
      <w:pPr>
        <w:spacing w:after="0" w:line="240" w:lineRule="auto"/>
      </w:pPr>
      <w:r>
        <w:separator/>
      </w:r>
    </w:p>
  </w:footnote>
  <w:footnote w:type="continuationSeparator" w:id="0">
    <w:p w14:paraId="757A730B" w14:textId="77777777" w:rsidR="00723BA7" w:rsidRDefault="00723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7793" w14:textId="1654448A" w:rsidR="00AA63A3" w:rsidRDefault="00854EEA" w:rsidP="003F79E4">
    <w:pPr>
      <w:pStyle w:val="En-tte"/>
      <w:pBdr>
        <w:bottom w:val="single" w:sz="4" w:space="1" w:color="0070C0"/>
      </w:pBdr>
      <w:tabs>
        <w:tab w:val="clear" w:pos="4536"/>
        <w:tab w:val="clear" w:pos="9072"/>
        <w:tab w:val="center" w:pos="0"/>
      </w:tabs>
    </w:pPr>
    <w:r>
      <w:rPr>
        <w:i/>
        <w:iCs/>
        <w:noProof/>
      </w:rPr>
      <w:drawing>
        <wp:inline distT="0" distB="0" distL="0" distR="0" wp14:anchorId="09635A91" wp14:editId="3A6A5A2C">
          <wp:extent cx="1090909" cy="360000"/>
          <wp:effectExtent l="0" t="0" r="0" b="2540"/>
          <wp:docPr id="622733955" name="Image 622733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rsidR="003604B9" w:rsidRPr="0018252D">
      <w:rPr>
        <w:rFonts w:ascii="Verdana" w:hAnsi="Verdana"/>
        <w:b/>
        <w:bCs/>
        <w:sz w:val="20"/>
        <w:szCs w:val="20"/>
      </w:rPr>
      <w:t>Point</w:t>
    </w:r>
    <w:r w:rsidR="00E06B10">
      <w:rPr>
        <w:rFonts w:ascii="Verdana" w:hAnsi="Verdana"/>
        <w:b/>
        <w:bCs/>
        <w:sz w:val="20"/>
        <w:szCs w:val="20"/>
      </w:rPr>
      <w:t xml:space="preserve"> 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50B7"/>
    <w:multiLevelType w:val="multilevel"/>
    <w:tmpl w:val="86166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84E75"/>
    <w:multiLevelType w:val="multilevel"/>
    <w:tmpl w:val="37A04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5644D59"/>
    <w:multiLevelType w:val="multilevel"/>
    <w:tmpl w:val="4CF27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A934BE"/>
    <w:multiLevelType w:val="multilevel"/>
    <w:tmpl w:val="3E20C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90E5F8D"/>
    <w:multiLevelType w:val="hybridMultilevel"/>
    <w:tmpl w:val="D6528A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94A7057"/>
    <w:multiLevelType w:val="multilevel"/>
    <w:tmpl w:val="21AE5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FBE7AF0"/>
    <w:multiLevelType w:val="hybridMultilevel"/>
    <w:tmpl w:val="2FBA53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2431987"/>
    <w:multiLevelType w:val="multilevel"/>
    <w:tmpl w:val="0340F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5F1D80"/>
    <w:multiLevelType w:val="hybridMultilevel"/>
    <w:tmpl w:val="65E8D4CA"/>
    <w:lvl w:ilvl="0" w:tplc="804A21F6">
      <w:start w:val="13"/>
      <w:numFmt w:val="bullet"/>
      <w:lvlText w:val="-"/>
      <w:lvlJc w:val="left"/>
      <w:pPr>
        <w:ind w:left="720" w:hanging="360"/>
      </w:pPr>
      <w:rPr>
        <w:rFonts w:ascii="Verdana" w:eastAsiaTheme="minorHAnsi" w:hAnsi="Verdana" w:cs="Calibr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4FF7F7B"/>
    <w:multiLevelType w:val="multilevel"/>
    <w:tmpl w:val="CC348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8A057E"/>
    <w:multiLevelType w:val="multilevel"/>
    <w:tmpl w:val="A532FC8C"/>
    <w:lvl w:ilvl="0">
      <w:start w:val="2"/>
      <w:numFmt w:val="decimal"/>
      <w:lvlText w:val="%1"/>
      <w:lvlJc w:val="left"/>
      <w:pPr>
        <w:ind w:left="720" w:hanging="360"/>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6120" w:hanging="1440"/>
      </w:pPr>
      <w:rPr>
        <w:rFonts w:hint="default"/>
      </w:rPr>
    </w:lvl>
    <w:lvl w:ilvl="5">
      <w:start w:val="1"/>
      <w:numFmt w:val="decimal"/>
      <w:lvlText w:val="%1.%2.%3.%4.%5.%6"/>
      <w:lvlJc w:val="left"/>
      <w:pPr>
        <w:ind w:left="7200" w:hanging="1440"/>
      </w:pPr>
      <w:rPr>
        <w:rFonts w:hint="default"/>
      </w:rPr>
    </w:lvl>
    <w:lvl w:ilvl="6">
      <w:start w:val="1"/>
      <w:numFmt w:val="decimal"/>
      <w:lvlText w:val="%1.%2.%3.%4.%5.%6.%7"/>
      <w:lvlJc w:val="left"/>
      <w:pPr>
        <w:ind w:left="8640" w:hanging="1800"/>
      </w:pPr>
      <w:rPr>
        <w:rFonts w:hint="default"/>
      </w:rPr>
    </w:lvl>
    <w:lvl w:ilvl="7">
      <w:start w:val="1"/>
      <w:numFmt w:val="decimal"/>
      <w:lvlText w:val="%1.%2.%3.%4.%5.%6.%7.%8"/>
      <w:lvlJc w:val="left"/>
      <w:pPr>
        <w:ind w:left="10080" w:hanging="2160"/>
      </w:pPr>
      <w:rPr>
        <w:rFonts w:hint="default"/>
      </w:rPr>
    </w:lvl>
    <w:lvl w:ilvl="8">
      <w:start w:val="1"/>
      <w:numFmt w:val="decimal"/>
      <w:lvlText w:val="%1.%2.%3.%4.%5.%6.%7.%8.%9"/>
      <w:lvlJc w:val="left"/>
      <w:pPr>
        <w:ind w:left="11160" w:hanging="2160"/>
      </w:pPr>
      <w:rPr>
        <w:rFonts w:hint="default"/>
      </w:rPr>
    </w:lvl>
  </w:abstractNum>
  <w:abstractNum w:abstractNumId="17" w15:restartNumberingAfterBreak="0">
    <w:nsid w:val="2C126C41"/>
    <w:multiLevelType w:val="multilevel"/>
    <w:tmpl w:val="A532FC8C"/>
    <w:lvl w:ilvl="0">
      <w:start w:val="2"/>
      <w:numFmt w:val="decimal"/>
      <w:lvlText w:val="%1"/>
      <w:lvlJc w:val="left"/>
      <w:pPr>
        <w:ind w:left="720" w:hanging="360"/>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6120" w:hanging="1440"/>
      </w:pPr>
      <w:rPr>
        <w:rFonts w:hint="default"/>
      </w:rPr>
    </w:lvl>
    <w:lvl w:ilvl="5">
      <w:start w:val="1"/>
      <w:numFmt w:val="decimal"/>
      <w:lvlText w:val="%1.%2.%3.%4.%5.%6"/>
      <w:lvlJc w:val="left"/>
      <w:pPr>
        <w:ind w:left="7200" w:hanging="1440"/>
      </w:pPr>
      <w:rPr>
        <w:rFonts w:hint="default"/>
      </w:rPr>
    </w:lvl>
    <w:lvl w:ilvl="6">
      <w:start w:val="1"/>
      <w:numFmt w:val="decimal"/>
      <w:lvlText w:val="%1.%2.%3.%4.%5.%6.%7"/>
      <w:lvlJc w:val="left"/>
      <w:pPr>
        <w:ind w:left="8640" w:hanging="1800"/>
      </w:pPr>
      <w:rPr>
        <w:rFonts w:hint="default"/>
      </w:rPr>
    </w:lvl>
    <w:lvl w:ilvl="7">
      <w:start w:val="1"/>
      <w:numFmt w:val="decimal"/>
      <w:lvlText w:val="%1.%2.%3.%4.%5.%6.%7.%8"/>
      <w:lvlJc w:val="left"/>
      <w:pPr>
        <w:ind w:left="10080" w:hanging="2160"/>
      </w:pPr>
      <w:rPr>
        <w:rFonts w:hint="default"/>
      </w:rPr>
    </w:lvl>
    <w:lvl w:ilvl="8">
      <w:start w:val="1"/>
      <w:numFmt w:val="decimal"/>
      <w:lvlText w:val="%1.%2.%3.%4.%5.%6.%7.%8.%9"/>
      <w:lvlJc w:val="left"/>
      <w:pPr>
        <w:ind w:left="11160" w:hanging="2160"/>
      </w:pPr>
      <w:rPr>
        <w:rFonts w:hint="default"/>
      </w:rPr>
    </w:lvl>
  </w:abstractNum>
  <w:abstractNum w:abstractNumId="18" w15:restartNumberingAfterBreak="0">
    <w:nsid w:val="2DDA3C5D"/>
    <w:multiLevelType w:val="multilevel"/>
    <w:tmpl w:val="0E68F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BF6BDA"/>
    <w:multiLevelType w:val="hybridMultilevel"/>
    <w:tmpl w:val="F28C9474"/>
    <w:lvl w:ilvl="0" w:tplc="EB5A8836">
      <w:start w:val="2"/>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F5F58F3"/>
    <w:multiLevelType w:val="multilevel"/>
    <w:tmpl w:val="5348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817962"/>
    <w:multiLevelType w:val="hybridMultilevel"/>
    <w:tmpl w:val="E26E2E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AD92173"/>
    <w:multiLevelType w:val="multilevel"/>
    <w:tmpl w:val="FD8C9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F8790C"/>
    <w:multiLevelType w:val="multilevel"/>
    <w:tmpl w:val="256AB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3E67D8"/>
    <w:multiLevelType w:val="multilevel"/>
    <w:tmpl w:val="54024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6C6959"/>
    <w:multiLevelType w:val="multilevel"/>
    <w:tmpl w:val="ADF2892E"/>
    <w:lvl w:ilvl="0">
      <w:start w:val="1"/>
      <w:numFmt w:val="decimal"/>
      <w:lvlText w:val="%1.1"/>
      <w:lvlJc w:val="right"/>
      <w:pPr>
        <w:ind w:left="1068" w:hanging="360"/>
      </w:pPr>
      <w:rPr>
        <w:rFonts w:hint="default"/>
      </w:rPr>
    </w:lvl>
    <w:lvl w:ilvl="1">
      <w:start w:val="2"/>
      <w:numFmt w:val="decimal"/>
      <w:lvlText w:val="%1.%2"/>
      <w:lvlJc w:val="left"/>
      <w:pPr>
        <w:ind w:left="2508" w:hanging="720"/>
      </w:pPr>
      <w:rPr>
        <w:rFonts w:hint="default"/>
      </w:rPr>
    </w:lvl>
    <w:lvl w:ilvl="2">
      <w:start w:val="1"/>
      <w:numFmt w:val="decimal"/>
      <w:lvlText w:val="%1.%2.%3"/>
      <w:lvlJc w:val="left"/>
      <w:pPr>
        <w:ind w:left="3588" w:hanging="720"/>
      </w:pPr>
      <w:rPr>
        <w:rFonts w:hint="default"/>
      </w:rPr>
    </w:lvl>
    <w:lvl w:ilvl="3">
      <w:start w:val="1"/>
      <w:numFmt w:val="decimal"/>
      <w:lvlText w:val="%1.%2.%3.%4"/>
      <w:lvlJc w:val="left"/>
      <w:pPr>
        <w:ind w:left="5028" w:hanging="1080"/>
      </w:pPr>
      <w:rPr>
        <w:rFonts w:hint="default"/>
      </w:rPr>
    </w:lvl>
    <w:lvl w:ilvl="4">
      <w:start w:val="1"/>
      <w:numFmt w:val="decimal"/>
      <w:lvlText w:val="%1.%2.%3.%4.%5"/>
      <w:lvlJc w:val="left"/>
      <w:pPr>
        <w:ind w:left="6468" w:hanging="1440"/>
      </w:pPr>
      <w:rPr>
        <w:rFonts w:hint="default"/>
      </w:rPr>
    </w:lvl>
    <w:lvl w:ilvl="5">
      <w:start w:val="1"/>
      <w:numFmt w:val="decimal"/>
      <w:lvlText w:val="%1.%2.%3.%4.%5.%6"/>
      <w:lvlJc w:val="left"/>
      <w:pPr>
        <w:ind w:left="7548" w:hanging="1440"/>
      </w:pPr>
      <w:rPr>
        <w:rFonts w:hint="default"/>
      </w:rPr>
    </w:lvl>
    <w:lvl w:ilvl="6">
      <w:start w:val="1"/>
      <w:numFmt w:val="decimal"/>
      <w:lvlText w:val="%1.%2.%3.%4.%5.%6.%7"/>
      <w:lvlJc w:val="left"/>
      <w:pPr>
        <w:ind w:left="8988" w:hanging="1800"/>
      </w:pPr>
      <w:rPr>
        <w:rFonts w:hint="default"/>
      </w:rPr>
    </w:lvl>
    <w:lvl w:ilvl="7">
      <w:start w:val="1"/>
      <w:numFmt w:val="decimal"/>
      <w:lvlText w:val="%1.%2.%3.%4.%5.%6.%7.%8"/>
      <w:lvlJc w:val="left"/>
      <w:pPr>
        <w:ind w:left="10428" w:hanging="2160"/>
      </w:pPr>
      <w:rPr>
        <w:rFonts w:hint="default"/>
      </w:rPr>
    </w:lvl>
    <w:lvl w:ilvl="8">
      <w:start w:val="1"/>
      <w:numFmt w:val="decimal"/>
      <w:lvlText w:val="%1.%2.%3.%4.%5.%6.%7.%8.%9"/>
      <w:lvlJc w:val="left"/>
      <w:pPr>
        <w:ind w:left="11508" w:hanging="2160"/>
      </w:pPr>
      <w:rPr>
        <w:rFonts w:hint="default"/>
      </w:rPr>
    </w:lvl>
  </w:abstractNum>
  <w:abstractNum w:abstractNumId="26"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95D16B5"/>
    <w:multiLevelType w:val="hybridMultilevel"/>
    <w:tmpl w:val="BCD26314"/>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0A13A31"/>
    <w:multiLevelType w:val="multilevel"/>
    <w:tmpl w:val="39EEC6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8E45C4"/>
    <w:multiLevelType w:val="multilevel"/>
    <w:tmpl w:val="6FDE0992"/>
    <w:lvl w:ilvl="0">
      <w:start w:val="2"/>
      <w:numFmt w:val="decimal"/>
      <w:lvlText w:val="%1"/>
      <w:lvlJc w:val="left"/>
      <w:pPr>
        <w:ind w:left="360" w:hanging="36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7824" w:hanging="2160"/>
      </w:pPr>
      <w:rPr>
        <w:rFonts w:hint="default"/>
      </w:rPr>
    </w:lvl>
  </w:abstractNum>
  <w:abstractNum w:abstractNumId="31" w15:restartNumberingAfterBreak="0">
    <w:nsid w:val="659E1DD0"/>
    <w:multiLevelType w:val="multilevel"/>
    <w:tmpl w:val="BD88B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DB4347"/>
    <w:multiLevelType w:val="hybridMultilevel"/>
    <w:tmpl w:val="7626011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E480E7E"/>
    <w:multiLevelType w:val="multilevel"/>
    <w:tmpl w:val="B21C800A"/>
    <w:lvl w:ilvl="0">
      <w:start w:val="1"/>
      <w:numFmt w:val="bullet"/>
      <w:lvlText w:val=""/>
      <w:lvlJc w:val="left"/>
      <w:pPr>
        <w:tabs>
          <w:tab w:val="num" w:pos="720"/>
        </w:tabs>
        <w:ind w:left="720" w:hanging="360"/>
      </w:pPr>
      <w:rPr>
        <w:rFonts w:ascii="Symbol" w:hAnsi="Symbol" w:hint="default"/>
        <w:sz w:val="20"/>
      </w:rPr>
    </w:lvl>
    <w:lvl w:ilvl="1">
      <w:start w:val="40"/>
      <w:numFmt w:val="bullet"/>
      <w:lvlText w:val="-"/>
      <w:lvlJc w:val="left"/>
      <w:pPr>
        <w:ind w:left="1440" w:hanging="360"/>
      </w:pPr>
      <w:rPr>
        <w:rFonts w:ascii="Arial" w:eastAsia="Calibri"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4901C6"/>
    <w:multiLevelType w:val="hybridMultilevel"/>
    <w:tmpl w:val="82D21E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74466350"/>
    <w:multiLevelType w:val="multilevel"/>
    <w:tmpl w:val="68863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D73A23"/>
    <w:multiLevelType w:val="hybridMultilevel"/>
    <w:tmpl w:val="0A90853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A8459C0"/>
    <w:multiLevelType w:val="multilevel"/>
    <w:tmpl w:val="BE1A9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8F0165"/>
    <w:multiLevelType w:val="hybridMultilevel"/>
    <w:tmpl w:val="1750A400"/>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DE75793"/>
    <w:multiLevelType w:val="hybridMultilevel"/>
    <w:tmpl w:val="C4940AB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EE85836"/>
    <w:multiLevelType w:val="multilevel"/>
    <w:tmpl w:val="B1126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5043321">
    <w:abstractNumId w:val="10"/>
  </w:num>
  <w:num w:numId="2" w16cid:durableId="1176194741">
    <w:abstractNumId w:val="28"/>
  </w:num>
  <w:num w:numId="3" w16cid:durableId="1100371679">
    <w:abstractNumId w:val="4"/>
  </w:num>
  <w:num w:numId="4" w16cid:durableId="631909020">
    <w:abstractNumId w:val="2"/>
  </w:num>
  <w:num w:numId="5" w16cid:durableId="86312178">
    <w:abstractNumId w:val="26"/>
  </w:num>
  <w:num w:numId="6" w16cid:durableId="1929193516">
    <w:abstractNumId w:val="7"/>
  </w:num>
  <w:num w:numId="7" w16cid:durableId="824392916">
    <w:abstractNumId w:val="14"/>
  </w:num>
  <w:num w:numId="8" w16cid:durableId="48650080">
    <w:abstractNumId w:val="4"/>
    <w:lvlOverride w:ilvl="0">
      <w:startOverride w:val="1"/>
    </w:lvlOverride>
  </w:num>
  <w:num w:numId="9" w16cid:durableId="456534952">
    <w:abstractNumId w:val="3"/>
  </w:num>
  <w:num w:numId="10" w16cid:durableId="63526095">
    <w:abstractNumId w:val="34"/>
  </w:num>
  <w:num w:numId="11" w16cid:durableId="1556158772">
    <w:abstractNumId w:val="8"/>
  </w:num>
  <w:num w:numId="12" w16cid:durableId="1213496681">
    <w:abstractNumId w:val="38"/>
  </w:num>
  <w:num w:numId="13" w16cid:durableId="1392121756">
    <w:abstractNumId w:val="27"/>
  </w:num>
  <w:num w:numId="14" w16cid:durableId="635918583">
    <w:abstractNumId w:val="11"/>
  </w:num>
  <w:num w:numId="15" w16cid:durableId="1702852697">
    <w:abstractNumId w:val="37"/>
  </w:num>
  <w:num w:numId="16" w16cid:durableId="240410811">
    <w:abstractNumId w:val="23"/>
  </w:num>
  <w:num w:numId="17" w16cid:durableId="1846166452">
    <w:abstractNumId w:val="29"/>
  </w:num>
  <w:num w:numId="18" w16cid:durableId="566495533">
    <w:abstractNumId w:val="31"/>
  </w:num>
  <w:num w:numId="19" w16cid:durableId="1976904914">
    <w:abstractNumId w:val="33"/>
  </w:num>
  <w:num w:numId="20" w16cid:durableId="864714738">
    <w:abstractNumId w:val="9"/>
  </w:num>
  <w:num w:numId="21" w16cid:durableId="440683876">
    <w:abstractNumId w:val="5"/>
  </w:num>
  <w:num w:numId="22" w16cid:durableId="285041067">
    <w:abstractNumId w:val="22"/>
  </w:num>
  <w:num w:numId="23" w16cid:durableId="1644773363">
    <w:abstractNumId w:val="12"/>
  </w:num>
  <w:num w:numId="24" w16cid:durableId="622734283">
    <w:abstractNumId w:val="40"/>
  </w:num>
  <w:num w:numId="25" w16cid:durableId="184907241">
    <w:abstractNumId w:val="13"/>
  </w:num>
  <w:num w:numId="26" w16cid:durableId="776867984">
    <w:abstractNumId w:val="33"/>
  </w:num>
  <w:num w:numId="27" w16cid:durableId="507403211">
    <w:abstractNumId w:val="20"/>
  </w:num>
  <w:num w:numId="28" w16cid:durableId="1104837289">
    <w:abstractNumId w:val="15"/>
  </w:num>
  <w:num w:numId="29" w16cid:durableId="196813944">
    <w:abstractNumId w:val="1"/>
  </w:num>
  <w:num w:numId="30" w16cid:durableId="1864707816">
    <w:abstractNumId w:val="24"/>
  </w:num>
  <w:num w:numId="31" w16cid:durableId="450905648">
    <w:abstractNumId w:val="19"/>
  </w:num>
  <w:num w:numId="32" w16cid:durableId="1238899678">
    <w:abstractNumId w:val="0"/>
  </w:num>
  <w:num w:numId="33" w16cid:durableId="1482236249">
    <w:abstractNumId w:val="6"/>
  </w:num>
  <w:num w:numId="34" w16cid:durableId="16058393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31165502">
    <w:abstractNumId w:val="16"/>
  </w:num>
  <w:num w:numId="36" w16cid:durableId="1466924184">
    <w:abstractNumId w:val="17"/>
  </w:num>
  <w:num w:numId="37" w16cid:durableId="1361510655">
    <w:abstractNumId w:val="25"/>
  </w:num>
  <w:num w:numId="38" w16cid:durableId="987050995">
    <w:abstractNumId w:val="30"/>
  </w:num>
  <w:num w:numId="39" w16cid:durableId="715079652">
    <w:abstractNumId w:val="21"/>
  </w:num>
  <w:num w:numId="40" w16cid:durableId="1231505442">
    <w:abstractNumId w:val="39"/>
  </w:num>
  <w:num w:numId="41" w16cid:durableId="1757945388">
    <w:abstractNumId w:val="32"/>
  </w:num>
  <w:num w:numId="42" w16cid:durableId="1779594597">
    <w:abstractNumId w:val="36"/>
  </w:num>
  <w:num w:numId="43" w16cid:durableId="64766091">
    <w:abstractNumId w:val="18"/>
  </w:num>
  <w:num w:numId="44" w16cid:durableId="65970176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1B2A"/>
    <w:rsid w:val="00007C0D"/>
    <w:rsid w:val="00010733"/>
    <w:rsid w:val="00034039"/>
    <w:rsid w:val="000373B2"/>
    <w:rsid w:val="00042CF5"/>
    <w:rsid w:val="00044881"/>
    <w:rsid w:val="00044EA0"/>
    <w:rsid w:val="0004623D"/>
    <w:rsid w:val="00053332"/>
    <w:rsid w:val="00060CA0"/>
    <w:rsid w:val="00063A26"/>
    <w:rsid w:val="00067EF8"/>
    <w:rsid w:val="000764B8"/>
    <w:rsid w:val="0008468B"/>
    <w:rsid w:val="00090187"/>
    <w:rsid w:val="00091854"/>
    <w:rsid w:val="00094A39"/>
    <w:rsid w:val="000A1C5B"/>
    <w:rsid w:val="000A468A"/>
    <w:rsid w:val="000B003A"/>
    <w:rsid w:val="000B0FBD"/>
    <w:rsid w:val="000B2248"/>
    <w:rsid w:val="000C5565"/>
    <w:rsid w:val="000C5B5D"/>
    <w:rsid w:val="000D4842"/>
    <w:rsid w:val="000F38B6"/>
    <w:rsid w:val="000F4728"/>
    <w:rsid w:val="001008CE"/>
    <w:rsid w:val="00106D3A"/>
    <w:rsid w:val="00107D9D"/>
    <w:rsid w:val="001230C6"/>
    <w:rsid w:val="001348F9"/>
    <w:rsid w:val="00142168"/>
    <w:rsid w:val="001426C5"/>
    <w:rsid w:val="00160093"/>
    <w:rsid w:val="00170975"/>
    <w:rsid w:val="0018252D"/>
    <w:rsid w:val="00192D7D"/>
    <w:rsid w:val="00192E92"/>
    <w:rsid w:val="001950AD"/>
    <w:rsid w:val="0019700C"/>
    <w:rsid w:val="001A3F64"/>
    <w:rsid w:val="001A46A4"/>
    <w:rsid w:val="001A56F1"/>
    <w:rsid w:val="001B0E0E"/>
    <w:rsid w:val="001B3465"/>
    <w:rsid w:val="001B4738"/>
    <w:rsid w:val="001C6E05"/>
    <w:rsid w:val="001C7674"/>
    <w:rsid w:val="001C76E9"/>
    <w:rsid w:val="001D68C3"/>
    <w:rsid w:val="001E2C90"/>
    <w:rsid w:val="001F1D18"/>
    <w:rsid w:val="001F4792"/>
    <w:rsid w:val="001F526D"/>
    <w:rsid w:val="00212CDB"/>
    <w:rsid w:val="00223B4A"/>
    <w:rsid w:val="00231929"/>
    <w:rsid w:val="00233FE5"/>
    <w:rsid w:val="00263B60"/>
    <w:rsid w:val="00283F72"/>
    <w:rsid w:val="002844BC"/>
    <w:rsid w:val="00285732"/>
    <w:rsid w:val="002A0933"/>
    <w:rsid w:val="002A096E"/>
    <w:rsid w:val="002A0B29"/>
    <w:rsid w:val="002B032A"/>
    <w:rsid w:val="002C0A65"/>
    <w:rsid w:val="002C1DFC"/>
    <w:rsid w:val="002C56ED"/>
    <w:rsid w:val="002D4404"/>
    <w:rsid w:val="002E69EF"/>
    <w:rsid w:val="002F1700"/>
    <w:rsid w:val="002F200D"/>
    <w:rsid w:val="002F418A"/>
    <w:rsid w:val="002F6864"/>
    <w:rsid w:val="00311C03"/>
    <w:rsid w:val="00317476"/>
    <w:rsid w:val="00332B73"/>
    <w:rsid w:val="00356E5D"/>
    <w:rsid w:val="003604B9"/>
    <w:rsid w:val="0036454C"/>
    <w:rsid w:val="0036468B"/>
    <w:rsid w:val="003772FB"/>
    <w:rsid w:val="00377647"/>
    <w:rsid w:val="00391152"/>
    <w:rsid w:val="00393189"/>
    <w:rsid w:val="003A2FD2"/>
    <w:rsid w:val="003A45D5"/>
    <w:rsid w:val="003B3728"/>
    <w:rsid w:val="003B6308"/>
    <w:rsid w:val="003C0E7D"/>
    <w:rsid w:val="003C2538"/>
    <w:rsid w:val="003C6269"/>
    <w:rsid w:val="003D00D4"/>
    <w:rsid w:val="003D485F"/>
    <w:rsid w:val="003D5328"/>
    <w:rsid w:val="003E3B90"/>
    <w:rsid w:val="003F2E00"/>
    <w:rsid w:val="003F79E4"/>
    <w:rsid w:val="0041278C"/>
    <w:rsid w:val="00417683"/>
    <w:rsid w:val="00426673"/>
    <w:rsid w:val="00441908"/>
    <w:rsid w:val="00443C13"/>
    <w:rsid w:val="00447BA4"/>
    <w:rsid w:val="00450710"/>
    <w:rsid w:val="004607F7"/>
    <w:rsid w:val="0046236C"/>
    <w:rsid w:val="0046340E"/>
    <w:rsid w:val="0046436C"/>
    <w:rsid w:val="0046733F"/>
    <w:rsid w:val="00471283"/>
    <w:rsid w:val="004802EC"/>
    <w:rsid w:val="00481714"/>
    <w:rsid w:val="004844F5"/>
    <w:rsid w:val="00486015"/>
    <w:rsid w:val="0049188F"/>
    <w:rsid w:val="004A2C7D"/>
    <w:rsid w:val="004A6245"/>
    <w:rsid w:val="004A6589"/>
    <w:rsid w:val="004B0CE3"/>
    <w:rsid w:val="004B16E5"/>
    <w:rsid w:val="004B2244"/>
    <w:rsid w:val="004B5413"/>
    <w:rsid w:val="004B70AF"/>
    <w:rsid w:val="004C0F7C"/>
    <w:rsid w:val="004C142A"/>
    <w:rsid w:val="004C1C4E"/>
    <w:rsid w:val="004C4BCA"/>
    <w:rsid w:val="004D36B8"/>
    <w:rsid w:val="004D38E3"/>
    <w:rsid w:val="004E03AF"/>
    <w:rsid w:val="004E4ED4"/>
    <w:rsid w:val="004F5163"/>
    <w:rsid w:val="004F5C4B"/>
    <w:rsid w:val="00503F75"/>
    <w:rsid w:val="00512963"/>
    <w:rsid w:val="005177D7"/>
    <w:rsid w:val="00517FAD"/>
    <w:rsid w:val="0053773D"/>
    <w:rsid w:val="00544643"/>
    <w:rsid w:val="00545C19"/>
    <w:rsid w:val="00562061"/>
    <w:rsid w:val="00563070"/>
    <w:rsid w:val="0057223F"/>
    <w:rsid w:val="00574850"/>
    <w:rsid w:val="005765B3"/>
    <w:rsid w:val="0058278C"/>
    <w:rsid w:val="00595D7D"/>
    <w:rsid w:val="005A0A2D"/>
    <w:rsid w:val="005C7149"/>
    <w:rsid w:val="005D0C73"/>
    <w:rsid w:val="005D1AA4"/>
    <w:rsid w:val="005E391B"/>
    <w:rsid w:val="005F323A"/>
    <w:rsid w:val="005F5357"/>
    <w:rsid w:val="006020C8"/>
    <w:rsid w:val="00607B79"/>
    <w:rsid w:val="00620B90"/>
    <w:rsid w:val="00631F3A"/>
    <w:rsid w:val="006356AF"/>
    <w:rsid w:val="00652314"/>
    <w:rsid w:val="006548BF"/>
    <w:rsid w:val="006576F0"/>
    <w:rsid w:val="006603E8"/>
    <w:rsid w:val="00660504"/>
    <w:rsid w:val="0066140F"/>
    <w:rsid w:val="00662D68"/>
    <w:rsid w:val="006631BA"/>
    <w:rsid w:val="00676757"/>
    <w:rsid w:val="00684AC6"/>
    <w:rsid w:val="0069541B"/>
    <w:rsid w:val="006A04FB"/>
    <w:rsid w:val="006B7BD8"/>
    <w:rsid w:val="006B7FD6"/>
    <w:rsid w:val="006C59F0"/>
    <w:rsid w:val="006C6360"/>
    <w:rsid w:val="006D7E4D"/>
    <w:rsid w:val="006E2CEC"/>
    <w:rsid w:val="006E2D84"/>
    <w:rsid w:val="006E2D9E"/>
    <w:rsid w:val="006E4C36"/>
    <w:rsid w:val="006F6561"/>
    <w:rsid w:val="00706219"/>
    <w:rsid w:val="0071688D"/>
    <w:rsid w:val="00721B33"/>
    <w:rsid w:val="00723BA7"/>
    <w:rsid w:val="007250D1"/>
    <w:rsid w:val="00747523"/>
    <w:rsid w:val="007509B5"/>
    <w:rsid w:val="00762312"/>
    <w:rsid w:val="00766014"/>
    <w:rsid w:val="00767632"/>
    <w:rsid w:val="00772625"/>
    <w:rsid w:val="00777E9D"/>
    <w:rsid w:val="00782050"/>
    <w:rsid w:val="00792184"/>
    <w:rsid w:val="00794C40"/>
    <w:rsid w:val="00795657"/>
    <w:rsid w:val="007A32EC"/>
    <w:rsid w:val="007A4525"/>
    <w:rsid w:val="007A5324"/>
    <w:rsid w:val="007A5989"/>
    <w:rsid w:val="007B245C"/>
    <w:rsid w:val="007C41E3"/>
    <w:rsid w:val="007C78FC"/>
    <w:rsid w:val="007D17E0"/>
    <w:rsid w:val="007E1B40"/>
    <w:rsid w:val="007F1FE0"/>
    <w:rsid w:val="007F3DC6"/>
    <w:rsid w:val="00803090"/>
    <w:rsid w:val="00816DAC"/>
    <w:rsid w:val="0083290E"/>
    <w:rsid w:val="00832C1F"/>
    <w:rsid w:val="0083389F"/>
    <w:rsid w:val="008421DA"/>
    <w:rsid w:val="00843FF2"/>
    <w:rsid w:val="008453AB"/>
    <w:rsid w:val="00854EEA"/>
    <w:rsid w:val="008551DA"/>
    <w:rsid w:val="0088117C"/>
    <w:rsid w:val="008A07CA"/>
    <w:rsid w:val="008B56F6"/>
    <w:rsid w:val="008C117C"/>
    <w:rsid w:val="008C1764"/>
    <w:rsid w:val="008C4EF3"/>
    <w:rsid w:val="008D193F"/>
    <w:rsid w:val="008D553D"/>
    <w:rsid w:val="008D6ECC"/>
    <w:rsid w:val="008E3F3D"/>
    <w:rsid w:val="008E7DC9"/>
    <w:rsid w:val="008F173C"/>
    <w:rsid w:val="008F525A"/>
    <w:rsid w:val="008F7BB3"/>
    <w:rsid w:val="00904CCC"/>
    <w:rsid w:val="00905C1F"/>
    <w:rsid w:val="00912454"/>
    <w:rsid w:val="0092665B"/>
    <w:rsid w:val="00927CB6"/>
    <w:rsid w:val="00944510"/>
    <w:rsid w:val="00947299"/>
    <w:rsid w:val="0095433F"/>
    <w:rsid w:val="00954A13"/>
    <w:rsid w:val="00955BB3"/>
    <w:rsid w:val="00967284"/>
    <w:rsid w:val="0098125E"/>
    <w:rsid w:val="00986EB4"/>
    <w:rsid w:val="009876A2"/>
    <w:rsid w:val="0099256F"/>
    <w:rsid w:val="00995F00"/>
    <w:rsid w:val="009A0E48"/>
    <w:rsid w:val="009A38AD"/>
    <w:rsid w:val="009A5BAA"/>
    <w:rsid w:val="009A683E"/>
    <w:rsid w:val="009C4BB8"/>
    <w:rsid w:val="009C632C"/>
    <w:rsid w:val="009D0591"/>
    <w:rsid w:val="009D6F31"/>
    <w:rsid w:val="009E2ACE"/>
    <w:rsid w:val="009E34AC"/>
    <w:rsid w:val="009E7353"/>
    <w:rsid w:val="009F702D"/>
    <w:rsid w:val="00A148A1"/>
    <w:rsid w:val="00A21494"/>
    <w:rsid w:val="00A24371"/>
    <w:rsid w:val="00A33D1F"/>
    <w:rsid w:val="00A36C09"/>
    <w:rsid w:val="00A37C9F"/>
    <w:rsid w:val="00A4046D"/>
    <w:rsid w:val="00A56278"/>
    <w:rsid w:val="00A57B2F"/>
    <w:rsid w:val="00A63761"/>
    <w:rsid w:val="00A65E68"/>
    <w:rsid w:val="00A70123"/>
    <w:rsid w:val="00A703B8"/>
    <w:rsid w:val="00A71CB7"/>
    <w:rsid w:val="00A76B07"/>
    <w:rsid w:val="00A81B98"/>
    <w:rsid w:val="00A83378"/>
    <w:rsid w:val="00A90305"/>
    <w:rsid w:val="00A96F08"/>
    <w:rsid w:val="00AA63A3"/>
    <w:rsid w:val="00AA780C"/>
    <w:rsid w:val="00AB0D92"/>
    <w:rsid w:val="00AB4937"/>
    <w:rsid w:val="00AB4BA8"/>
    <w:rsid w:val="00AB5EB7"/>
    <w:rsid w:val="00AC5AB1"/>
    <w:rsid w:val="00AD0B82"/>
    <w:rsid w:val="00AD4D97"/>
    <w:rsid w:val="00AD7ACB"/>
    <w:rsid w:val="00AE2453"/>
    <w:rsid w:val="00AF183F"/>
    <w:rsid w:val="00AF5151"/>
    <w:rsid w:val="00B059A7"/>
    <w:rsid w:val="00B05DFC"/>
    <w:rsid w:val="00B079E8"/>
    <w:rsid w:val="00B16B5D"/>
    <w:rsid w:val="00B21542"/>
    <w:rsid w:val="00B36EEA"/>
    <w:rsid w:val="00B76BC7"/>
    <w:rsid w:val="00BA1C2D"/>
    <w:rsid w:val="00BA4B55"/>
    <w:rsid w:val="00BB3CF8"/>
    <w:rsid w:val="00BD07F2"/>
    <w:rsid w:val="00BD0DB8"/>
    <w:rsid w:val="00BD5C0C"/>
    <w:rsid w:val="00BD7D2A"/>
    <w:rsid w:val="00BE2C8B"/>
    <w:rsid w:val="00BE6425"/>
    <w:rsid w:val="00BE69B3"/>
    <w:rsid w:val="00BF0D69"/>
    <w:rsid w:val="00BF7EAA"/>
    <w:rsid w:val="00C1239E"/>
    <w:rsid w:val="00C12C93"/>
    <w:rsid w:val="00C226BB"/>
    <w:rsid w:val="00C2272F"/>
    <w:rsid w:val="00C325F5"/>
    <w:rsid w:val="00C4168B"/>
    <w:rsid w:val="00C42131"/>
    <w:rsid w:val="00C457E8"/>
    <w:rsid w:val="00C50211"/>
    <w:rsid w:val="00C609B9"/>
    <w:rsid w:val="00C71D10"/>
    <w:rsid w:val="00C737A0"/>
    <w:rsid w:val="00C75559"/>
    <w:rsid w:val="00C77081"/>
    <w:rsid w:val="00C86AD5"/>
    <w:rsid w:val="00CA3FF2"/>
    <w:rsid w:val="00CA4066"/>
    <w:rsid w:val="00CA7968"/>
    <w:rsid w:val="00CC33B6"/>
    <w:rsid w:val="00CE2386"/>
    <w:rsid w:val="00CE7F2B"/>
    <w:rsid w:val="00CF04B1"/>
    <w:rsid w:val="00D04C90"/>
    <w:rsid w:val="00D0565B"/>
    <w:rsid w:val="00D0727A"/>
    <w:rsid w:val="00D12664"/>
    <w:rsid w:val="00D355F5"/>
    <w:rsid w:val="00D42CE2"/>
    <w:rsid w:val="00D54119"/>
    <w:rsid w:val="00D5627F"/>
    <w:rsid w:val="00D5628A"/>
    <w:rsid w:val="00D611CC"/>
    <w:rsid w:val="00D6356F"/>
    <w:rsid w:val="00D673EA"/>
    <w:rsid w:val="00D67EF2"/>
    <w:rsid w:val="00D7742B"/>
    <w:rsid w:val="00D842AB"/>
    <w:rsid w:val="00D8654C"/>
    <w:rsid w:val="00DA1031"/>
    <w:rsid w:val="00DA1100"/>
    <w:rsid w:val="00DA4FD1"/>
    <w:rsid w:val="00DB04B3"/>
    <w:rsid w:val="00DB6696"/>
    <w:rsid w:val="00DB6870"/>
    <w:rsid w:val="00DB7758"/>
    <w:rsid w:val="00DD1EBC"/>
    <w:rsid w:val="00DF44D3"/>
    <w:rsid w:val="00DF48CE"/>
    <w:rsid w:val="00DF6C74"/>
    <w:rsid w:val="00E067DE"/>
    <w:rsid w:val="00E06B10"/>
    <w:rsid w:val="00E1355B"/>
    <w:rsid w:val="00E23ABF"/>
    <w:rsid w:val="00E2552A"/>
    <w:rsid w:val="00E323D0"/>
    <w:rsid w:val="00E32408"/>
    <w:rsid w:val="00E33CCE"/>
    <w:rsid w:val="00E46019"/>
    <w:rsid w:val="00E5462B"/>
    <w:rsid w:val="00E61263"/>
    <w:rsid w:val="00E62BAA"/>
    <w:rsid w:val="00E633E1"/>
    <w:rsid w:val="00E70539"/>
    <w:rsid w:val="00E842C8"/>
    <w:rsid w:val="00E845D4"/>
    <w:rsid w:val="00E90BAB"/>
    <w:rsid w:val="00E91529"/>
    <w:rsid w:val="00E94DA0"/>
    <w:rsid w:val="00EA1145"/>
    <w:rsid w:val="00EB399E"/>
    <w:rsid w:val="00EB49A1"/>
    <w:rsid w:val="00EC182B"/>
    <w:rsid w:val="00EC22CC"/>
    <w:rsid w:val="00EC22FE"/>
    <w:rsid w:val="00ED281A"/>
    <w:rsid w:val="00ED6B69"/>
    <w:rsid w:val="00ED75F7"/>
    <w:rsid w:val="00EE0F54"/>
    <w:rsid w:val="00EE34F4"/>
    <w:rsid w:val="00EF1789"/>
    <w:rsid w:val="00EF21EE"/>
    <w:rsid w:val="00EF22A4"/>
    <w:rsid w:val="00EF3F01"/>
    <w:rsid w:val="00F0054F"/>
    <w:rsid w:val="00F03068"/>
    <w:rsid w:val="00F11478"/>
    <w:rsid w:val="00F1259B"/>
    <w:rsid w:val="00F20173"/>
    <w:rsid w:val="00F368BA"/>
    <w:rsid w:val="00F3706C"/>
    <w:rsid w:val="00F4131A"/>
    <w:rsid w:val="00F42839"/>
    <w:rsid w:val="00F54EA0"/>
    <w:rsid w:val="00F67B89"/>
    <w:rsid w:val="00F70A04"/>
    <w:rsid w:val="00F733CB"/>
    <w:rsid w:val="00F735E0"/>
    <w:rsid w:val="00F75933"/>
    <w:rsid w:val="00F77BC1"/>
    <w:rsid w:val="00F867A3"/>
    <w:rsid w:val="00F96EE9"/>
    <w:rsid w:val="00FA65B5"/>
    <w:rsid w:val="00FB39E4"/>
    <w:rsid w:val="00FB46B9"/>
    <w:rsid w:val="00FB6D8D"/>
    <w:rsid w:val="00FC097A"/>
    <w:rsid w:val="00FD5612"/>
    <w:rsid w:val="00FE25AF"/>
    <w:rsid w:val="00FE285D"/>
    <w:rsid w:val="00FE7D7C"/>
    <w:rsid w:val="00FF554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DB7CDC62-19CD-46AB-B8F5-BB1BFDE6D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character" w:styleId="Lienhypertexte">
    <w:name w:val="Hyperlink"/>
    <w:basedOn w:val="Policepardfaut"/>
    <w:uiPriority w:val="99"/>
    <w:unhideWhenUsed/>
    <w:rsid w:val="00F0054F"/>
    <w:rPr>
      <w:color w:val="0563C1" w:themeColor="hyperlink"/>
      <w:u w:val="single"/>
    </w:rPr>
  </w:style>
  <w:style w:type="character" w:styleId="Mentionnonrsolue">
    <w:name w:val="Unresolved Mention"/>
    <w:basedOn w:val="Policepardfaut"/>
    <w:uiPriority w:val="99"/>
    <w:semiHidden/>
    <w:unhideWhenUsed/>
    <w:rsid w:val="00F0054F"/>
    <w:rPr>
      <w:color w:val="605E5C"/>
      <w:shd w:val="clear" w:color="auto" w:fill="E1DFDD"/>
    </w:rPr>
  </w:style>
  <w:style w:type="paragraph" w:customStyle="1" w:styleId="Default">
    <w:name w:val="Default"/>
    <w:rsid w:val="00C4168B"/>
    <w:pPr>
      <w:autoSpaceDE w:val="0"/>
      <w:autoSpaceDN w:val="0"/>
      <w:adjustRightInd w:val="0"/>
      <w:spacing w:after="0" w:line="240" w:lineRule="auto"/>
    </w:pPr>
    <w:rPr>
      <w:rFonts w:ascii="Verdana" w:hAnsi="Verdana" w:cs="Verdana"/>
      <w:color w:val="000000"/>
      <w:sz w:val="24"/>
      <w:szCs w:val="24"/>
    </w:rPr>
  </w:style>
  <w:style w:type="paragraph" w:styleId="Notedebasdepage">
    <w:name w:val="footnote text"/>
    <w:basedOn w:val="Normal"/>
    <w:link w:val="NotedebasdepageCar"/>
    <w:uiPriority w:val="99"/>
    <w:semiHidden/>
    <w:unhideWhenUsed/>
    <w:rsid w:val="008F525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F525A"/>
    <w:rPr>
      <w:sz w:val="20"/>
      <w:szCs w:val="20"/>
    </w:rPr>
  </w:style>
  <w:style w:type="character" w:styleId="Appelnotedebasdep">
    <w:name w:val="footnote reference"/>
    <w:basedOn w:val="Policepardfaut"/>
    <w:uiPriority w:val="99"/>
    <w:semiHidden/>
    <w:unhideWhenUsed/>
    <w:rsid w:val="008F525A"/>
    <w:rPr>
      <w:vertAlign w:val="superscript"/>
    </w:rPr>
  </w:style>
  <w:style w:type="paragraph" w:styleId="Rvision">
    <w:name w:val="Revision"/>
    <w:hidden/>
    <w:uiPriority w:val="99"/>
    <w:semiHidden/>
    <w:rsid w:val="00AD0B82"/>
    <w:pPr>
      <w:spacing w:after="0" w:line="240" w:lineRule="auto"/>
    </w:pPr>
  </w:style>
  <w:style w:type="paragraph" w:styleId="NormalWeb">
    <w:name w:val="Normal (Web)"/>
    <w:basedOn w:val="Normal"/>
    <w:uiPriority w:val="99"/>
    <w:unhideWhenUsed/>
    <w:rsid w:val="00BD5C0C"/>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BD5C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kiltir.org/un-patrimoine-ciel-ouvert-les-architectures-traditionnelles-de-locean-indi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1399</Words>
  <Characters>8006</Characters>
  <Application>Microsoft Office Word</Application>
  <DocSecurity>0</DocSecurity>
  <Lines>138</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Audibert</dc:creator>
  <cp:keywords/>
  <dc:description/>
  <cp:lastModifiedBy>Gilles RIBOUET</cp:lastModifiedBy>
  <cp:revision>2</cp:revision>
  <dcterms:created xsi:type="dcterms:W3CDTF">2026-05-12T07:18:00Z</dcterms:created>
  <dcterms:modified xsi:type="dcterms:W3CDTF">2026-05-12T07:18:00Z</dcterms:modified>
</cp:coreProperties>
</file>