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650"/>
        <w:gridCol w:w="1412"/>
      </w:tblGrid>
      <w:tr w:rsidR="00EC22CC" w14:paraId="51109D41" w14:textId="77777777" w:rsidTr="000E2E1E">
        <w:tc>
          <w:tcPr>
            <w:tcW w:w="9062" w:type="dxa"/>
            <w:gridSpan w:val="2"/>
          </w:tcPr>
          <w:p w14:paraId="6FC76F95" w14:textId="4AAEBFAB" w:rsidR="00EC22CC" w:rsidRPr="005D4CDC" w:rsidRDefault="005D4CDC" w:rsidP="00854EEA">
            <w:pPr>
              <w:jc w:val="center"/>
              <w:rPr>
                <w:rFonts w:ascii="Verdana" w:hAnsi="Verdana"/>
                <w:b/>
                <w:bCs/>
                <w:sz w:val="20"/>
                <w:szCs w:val="20"/>
              </w:rPr>
            </w:pPr>
            <w:r w:rsidRPr="005D4CDC">
              <w:rPr>
                <w:rFonts w:ascii="Verdana" w:hAnsi="Verdana"/>
                <w:b/>
                <w:bCs/>
                <w:sz w:val="20"/>
                <w:szCs w:val="20"/>
              </w:rPr>
              <w:t>S</w:t>
            </w:r>
            <w:r w:rsidR="00A40B8A" w:rsidRPr="005D4CDC">
              <w:rPr>
                <w:rFonts w:ascii="Verdana" w:hAnsi="Verdana"/>
                <w:b/>
                <w:bCs/>
                <w:sz w:val="20"/>
                <w:szCs w:val="20"/>
              </w:rPr>
              <w:t>tratégie régionale de recherche et innovation de</w:t>
            </w:r>
            <w:r w:rsidR="00CA627F" w:rsidRPr="005D4CDC">
              <w:rPr>
                <w:rFonts w:ascii="Verdana" w:hAnsi="Verdana"/>
                <w:b/>
                <w:bCs/>
                <w:sz w:val="20"/>
                <w:szCs w:val="20"/>
              </w:rPr>
              <w:t>s Etats membres de la Commission de</w:t>
            </w:r>
            <w:r w:rsidR="00A40B8A" w:rsidRPr="005D4CDC">
              <w:rPr>
                <w:rFonts w:ascii="Verdana" w:hAnsi="Verdana"/>
                <w:b/>
                <w:bCs/>
                <w:sz w:val="20"/>
                <w:szCs w:val="20"/>
              </w:rPr>
              <w:t xml:space="preserve"> l’océan Indien</w:t>
            </w:r>
          </w:p>
        </w:tc>
      </w:tr>
      <w:tr w:rsidR="00EC22CC" w14:paraId="7F1B63D2" w14:textId="77777777" w:rsidTr="005D4CDC">
        <w:tc>
          <w:tcPr>
            <w:tcW w:w="7650" w:type="dxa"/>
          </w:tcPr>
          <w:p w14:paraId="056D9B10" w14:textId="6240DA0D" w:rsidR="00EC22CC" w:rsidRPr="002A096E" w:rsidRDefault="005D4CDC" w:rsidP="002A096E">
            <w:pPr>
              <w:rPr>
                <w:rFonts w:ascii="Verdana" w:hAnsi="Verdana"/>
                <w:sz w:val="20"/>
                <w:szCs w:val="20"/>
              </w:rPr>
            </w:pPr>
            <w:r>
              <w:rPr>
                <w:rFonts w:ascii="Verdana" w:hAnsi="Verdana"/>
                <w:sz w:val="20"/>
                <w:szCs w:val="20"/>
              </w:rPr>
              <w:t>40</w:t>
            </w:r>
            <w:r w:rsidRPr="005D4CDC">
              <w:rPr>
                <w:rFonts w:ascii="Verdana" w:hAnsi="Verdana"/>
                <w:sz w:val="20"/>
                <w:szCs w:val="20"/>
                <w:vertAlign w:val="superscript"/>
              </w:rPr>
              <w:t>e</w:t>
            </w:r>
            <w:r>
              <w:rPr>
                <w:rFonts w:ascii="Verdana" w:hAnsi="Verdana"/>
                <w:sz w:val="20"/>
                <w:szCs w:val="20"/>
              </w:rPr>
              <w:t xml:space="preserve"> Conseil des ministres de la COI | 08 juin 2026, Union des Comores</w:t>
            </w:r>
            <w:r w:rsidR="00364B0B" w:rsidRPr="00E03FD0">
              <w:rPr>
                <w:rFonts w:ascii="Verdana" w:hAnsi="Verdana"/>
                <w:sz w:val="20"/>
                <w:szCs w:val="20"/>
              </w:rPr>
              <w:t xml:space="preserve"> </w:t>
            </w:r>
          </w:p>
        </w:tc>
        <w:tc>
          <w:tcPr>
            <w:tcW w:w="1412" w:type="dxa"/>
          </w:tcPr>
          <w:p w14:paraId="58E25D1F" w14:textId="48F9C3CE" w:rsidR="00EC22CC" w:rsidRPr="002A0933" w:rsidRDefault="005D4CDC" w:rsidP="00854EEA">
            <w:pPr>
              <w:jc w:val="center"/>
              <w:rPr>
                <w:rFonts w:ascii="Verdana" w:hAnsi="Verdana"/>
                <w:sz w:val="20"/>
                <w:szCs w:val="20"/>
              </w:rPr>
            </w:pPr>
            <w:r>
              <w:rPr>
                <w:rFonts w:ascii="Verdana" w:hAnsi="Verdana"/>
                <w:sz w:val="20"/>
                <w:szCs w:val="20"/>
              </w:rPr>
              <w:t>11</w:t>
            </w:r>
          </w:p>
        </w:tc>
      </w:tr>
      <w:tr w:rsidR="00EC22CC" w14:paraId="537D1DE5" w14:textId="77777777" w:rsidTr="005D4CDC">
        <w:tc>
          <w:tcPr>
            <w:tcW w:w="7650" w:type="dxa"/>
          </w:tcPr>
          <w:p w14:paraId="43DEF09E" w14:textId="4C6860C0"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A40B8A">
              <w:rPr>
                <w:rFonts w:ascii="Verdana" w:hAnsi="Verdana"/>
                <w:sz w:val="20"/>
                <w:szCs w:val="20"/>
              </w:rPr>
              <w:t>Juliette Janin</w:t>
            </w:r>
            <w:r w:rsidR="0018252D" w:rsidRPr="006B416E">
              <w:rPr>
                <w:rFonts w:ascii="Verdana" w:hAnsi="Verdana"/>
                <w:sz w:val="20"/>
                <w:szCs w:val="20"/>
              </w:rPr>
              <w:t xml:space="preserve">, </w:t>
            </w:r>
            <w:r w:rsidR="006B416E" w:rsidRPr="006B416E">
              <w:rPr>
                <w:rFonts w:ascii="Verdana" w:hAnsi="Verdana"/>
                <w:sz w:val="20"/>
                <w:szCs w:val="20"/>
              </w:rPr>
              <w:t>chargé</w:t>
            </w:r>
            <w:r w:rsidR="00A40B8A">
              <w:rPr>
                <w:rFonts w:ascii="Verdana" w:hAnsi="Verdana"/>
                <w:sz w:val="20"/>
                <w:szCs w:val="20"/>
              </w:rPr>
              <w:t>e</w:t>
            </w:r>
            <w:r w:rsidR="006B416E" w:rsidRPr="006B416E">
              <w:rPr>
                <w:rFonts w:ascii="Verdana" w:hAnsi="Verdana"/>
                <w:sz w:val="20"/>
                <w:szCs w:val="20"/>
              </w:rPr>
              <w:t xml:space="preserve"> de mission</w:t>
            </w:r>
          </w:p>
        </w:tc>
        <w:tc>
          <w:tcPr>
            <w:tcW w:w="1412"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62595A32" w:rsidR="00A90305" w:rsidRDefault="00A90305" w:rsidP="00A90305">
            <w:pPr>
              <w:rPr>
                <w:rFonts w:ascii="Verdana" w:hAnsi="Verdana"/>
                <w:sz w:val="20"/>
                <w:szCs w:val="20"/>
              </w:rPr>
            </w:pPr>
            <w:r>
              <w:rPr>
                <w:rFonts w:ascii="Verdana" w:hAnsi="Verdana"/>
                <w:i/>
                <w:iCs/>
                <w:sz w:val="20"/>
                <w:szCs w:val="20"/>
              </w:rPr>
              <w:t xml:space="preserve">Version du </w:t>
            </w:r>
            <w:r w:rsidR="007C4776">
              <w:rPr>
                <w:rFonts w:ascii="Verdana" w:hAnsi="Verdana"/>
                <w:i/>
                <w:iCs/>
                <w:sz w:val="20"/>
                <w:szCs w:val="20"/>
              </w:rPr>
              <w:t>10</w:t>
            </w:r>
            <w:r w:rsidR="005D4CDC">
              <w:rPr>
                <w:rFonts w:ascii="Verdana" w:hAnsi="Verdana"/>
                <w:i/>
                <w:iCs/>
                <w:sz w:val="20"/>
                <w:szCs w:val="20"/>
              </w:rPr>
              <w:t>/05/2026</w:t>
            </w:r>
            <w:r>
              <w:rPr>
                <w:rFonts w:ascii="Verdana" w:hAnsi="Verdana"/>
                <w:i/>
                <w:iCs/>
                <w:sz w:val="20"/>
                <w:szCs w:val="20"/>
              </w:rPr>
              <w:t xml:space="preserve"> </w:t>
            </w:r>
          </w:p>
        </w:tc>
      </w:tr>
    </w:tbl>
    <w:p w14:paraId="1611BCC4" w14:textId="77777777" w:rsidR="00854EEA" w:rsidRDefault="00854EEA" w:rsidP="00816DAC">
      <w:pPr>
        <w:pStyle w:val="Paragraphe"/>
        <w:rPr>
          <w:sz w:val="4"/>
          <w:szCs w:val="4"/>
        </w:rPr>
      </w:pPr>
      <w:bookmarkStart w:id="0" w:name="_Hlk24535240"/>
    </w:p>
    <w:p w14:paraId="681C98C0" w14:textId="77777777" w:rsidR="007713C8" w:rsidRDefault="007713C8" w:rsidP="00816DAC">
      <w:pPr>
        <w:pStyle w:val="Paragraphe"/>
        <w:rPr>
          <w:sz w:val="4"/>
          <w:szCs w:val="4"/>
        </w:rPr>
      </w:pPr>
    </w:p>
    <w:p w14:paraId="678F0DFC" w14:textId="380D6125" w:rsidR="00854EEA" w:rsidRPr="0008468B" w:rsidRDefault="007C4776" w:rsidP="005D4CDC">
      <w:pPr>
        <w:pStyle w:val="Titrepartie"/>
        <w:spacing w:after="120" w:line="276" w:lineRule="auto"/>
        <w:contextualSpacing w:val="0"/>
      </w:pPr>
      <w:r>
        <w:t>R</w:t>
      </w:r>
      <w:r w:rsidR="00955BB3" w:rsidRPr="0008468B">
        <w:t>ésumé</w:t>
      </w:r>
    </w:p>
    <w:p w14:paraId="420F9E6B" w14:textId="5F4B4302" w:rsidR="00336EBC" w:rsidRDefault="00037CB9" w:rsidP="005D4CDC">
      <w:pPr>
        <w:pStyle w:val="Titrepartie"/>
        <w:numPr>
          <w:ilvl w:val="0"/>
          <w:numId w:val="0"/>
        </w:numPr>
        <w:spacing w:after="120" w:line="276" w:lineRule="auto"/>
        <w:contextualSpacing w:val="0"/>
        <w:rPr>
          <w:b w:val="0"/>
          <w:bCs w:val="0"/>
          <w:color w:val="auto"/>
          <w:sz w:val="20"/>
        </w:rPr>
      </w:pPr>
      <w:r w:rsidRPr="00037CB9">
        <w:rPr>
          <w:b w:val="0"/>
          <w:bCs w:val="0"/>
          <w:color w:val="auto"/>
          <w:sz w:val="20"/>
        </w:rPr>
        <w:t>Dans le cadre de l’élaboration de sa stratégie régionale de recherche et innovation (RI) de</w:t>
      </w:r>
      <w:r w:rsidR="00CA627F">
        <w:rPr>
          <w:b w:val="0"/>
          <w:bCs w:val="0"/>
          <w:color w:val="auto"/>
          <w:sz w:val="20"/>
        </w:rPr>
        <w:t>s Etats membres de la Commission de</w:t>
      </w:r>
      <w:r w:rsidRPr="00037CB9">
        <w:rPr>
          <w:b w:val="0"/>
          <w:bCs w:val="0"/>
          <w:color w:val="auto"/>
          <w:sz w:val="20"/>
        </w:rPr>
        <w:t xml:space="preserve"> l’océan Indien, la COI a formulé le 5 mai 2023 à l'Organisation des États d'Afrique, des Caraïbes et du Pacifique (OEACP) une manifestation d'intérêt pour bénéficier du mécanisme de soutien à la politique (PSF) de RI de l’OEACP.  Cette dernière y a répondu favorablement le 20 juin 2023.  Cette assistance de l’OEACP s</w:t>
      </w:r>
      <w:r>
        <w:rPr>
          <w:b w:val="0"/>
          <w:bCs w:val="0"/>
          <w:color w:val="auto"/>
          <w:sz w:val="20"/>
        </w:rPr>
        <w:t>’est t</w:t>
      </w:r>
      <w:r w:rsidRPr="00037CB9">
        <w:rPr>
          <w:b w:val="0"/>
          <w:bCs w:val="0"/>
          <w:color w:val="auto"/>
          <w:sz w:val="20"/>
        </w:rPr>
        <w:t>radui</w:t>
      </w:r>
      <w:r>
        <w:rPr>
          <w:b w:val="0"/>
          <w:bCs w:val="0"/>
          <w:color w:val="auto"/>
          <w:sz w:val="20"/>
        </w:rPr>
        <w:t>te</w:t>
      </w:r>
      <w:r w:rsidRPr="00037CB9">
        <w:rPr>
          <w:b w:val="0"/>
          <w:bCs w:val="0"/>
          <w:color w:val="auto"/>
          <w:sz w:val="20"/>
        </w:rPr>
        <w:t xml:space="preserve"> par la mobilisation d’un groupe d’experts identifiés et validés par la COI, qui apportera une assistance technique à la COI dans la formulation d’une stratégie régionale de recherche et d'innovation. Des comités consultatifs nationaux recherche-innovation et des points focaux nationaux </w:t>
      </w:r>
      <w:r>
        <w:rPr>
          <w:b w:val="0"/>
          <w:bCs w:val="0"/>
          <w:color w:val="auto"/>
          <w:sz w:val="20"/>
        </w:rPr>
        <w:t>ont été</w:t>
      </w:r>
      <w:r w:rsidRPr="00037CB9">
        <w:rPr>
          <w:b w:val="0"/>
          <w:bCs w:val="0"/>
          <w:color w:val="auto"/>
          <w:sz w:val="20"/>
        </w:rPr>
        <w:t xml:space="preserve"> nommés. Ces comités </w:t>
      </w:r>
      <w:r>
        <w:rPr>
          <w:b w:val="0"/>
          <w:bCs w:val="0"/>
          <w:color w:val="auto"/>
          <w:sz w:val="20"/>
        </w:rPr>
        <w:t>ont été</w:t>
      </w:r>
      <w:r w:rsidRPr="00037CB9">
        <w:rPr>
          <w:b w:val="0"/>
          <w:bCs w:val="0"/>
          <w:color w:val="auto"/>
          <w:sz w:val="20"/>
        </w:rPr>
        <w:t xml:space="preserve"> les interlocuteurs de l’équipe d’experts de l’OEACP.</w:t>
      </w:r>
      <w:r>
        <w:rPr>
          <w:b w:val="0"/>
          <w:bCs w:val="0"/>
          <w:color w:val="auto"/>
          <w:sz w:val="20"/>
        </w:rPr>
        <w:t xml:space="preserve"> </w:t>
      </w:r>
      <w:r w:rsidR="00364B0B">
        <w:rPr>
          <w:b w:val="0"/>
          <w:bCs w:val="0"/>
          <w:color w:val="auto"/>
          <w:sz w:val="20"/>
        </w:rPr>
        <w:t>Le COPL n°02/202</w:t>
      </w:r>
      <w:r w:rsidR="005D4CDC">
        <w:rPr>
          <w:b w:val="0"/>
          <w:bCs w:val="0"/>
          <w:color w:val="auto"/>
          <w:sz w:val="20"/>
        </w:rPr>
        <w:t xml:space="preserve">6 a procédé aux dernières modifications du document pour la soumettre à l’examen et à l’approbation du Conseil. </w:t>
      </w:r>
    </w:p>
    <w:p w14:paraId="6ECBB0DF" w14:textId="77777777" w:rsidR="007713C8" w:rsidRPr="005D4CDC" w:rsidRDefault="007713C8" w:rsidP="005D4CDC">
      <w:pPr>
        <w:pStyle w:val="Titrepartie"/>
        <w:numPr>
          <w:ilvl w:val="0"/>
          <w:numId w:val="0"/>
        </w:numPr>
        <w:spacing w:after="120" w:line="276" w:lineRule="auto"/>
        <w:contextualSpacing w:val="0"/>
        <w:rPr>
          <w:b w:val="0"/>
          <w:bCs w:val="0"/>
          <w:color w:val="auto"/>
          <w:sz w:val="20"/>
        </w:rPr>
      </w:pPr>
    </w:p>
    <w:p w14:paraId="68009DDB" w14:textId="6AAD4F76" w:rsidR="0008468B" w:rsidRDefault="00955BB3" w:rsidP="005D4CDC">
      <w:pPr>
        <w:pStyle w:val="Titrepartie"/>
        <w:spacing w:after="120" w:line="276" w:lineRule="auto"/>
        <w:contextualSpacing w:val="0"/>
      </w:pPr>
      <w:r w:rsidRPr="0008468B">
        <w:t>Etat d’avancement</w:t>
      </w:r>
    </w:p>
    <w:p w14:paraId="62CC3273" w14:textId="77777777" w:rsidR="006E338B" w:rsidRPr="007C4776" w:rsidRDefault="006E338B" w:rsidP="007C4776">
      <w:pPr>
        <w:pStyle w:val="Titrepartie"/>
        <w:numPr>
          <w:ilvl w:val="0"/>
          <w:numId w:val="0"/>
        </w:numPr>
        <w:rPr>
          <w:b w:val="0"/>
          <w:bCs w:val="0"/>
          <w:color w:val="auto"/>
          <w:sz w:val="20"/>
        </w:rPr>
      </w:pPr>
      <w:r w:rsidRPr="007C4776">
        <w:rPr>
          <w:b w:val="0"/>
          <w:bCs w:val="0"/>
          <w:color w:val="auto"/>
          <w:sz w:val="20"/>
        </w:rPr>
        <w:t xml:space="preserve">Dans le cadre du renforcement de la coopération régionale en matière de recherche et innovation (RI), la Commission de l’océan Indien (COI) a bénéficié, depuis 2023, de l’appui technique et financier de l’Organisation des États d’Afrique, des Caraïbes et du Pacifique (OEACP) et de l’Union européenne, à travers le mécanisme de soutien aux politiques de RI ACP-UE. </w:t>
      </w:r>
    </w:p>
    <w:p w14:paraId="4EB861EF" w14:textId="60C5AE18" w:rsidR="006E338B" w:rsidRPr="007C4776" w:rsidRDefault="006E338B" w:rsidP="007C4776">
      <w:pPr>
        <w:pStyle w:val="Titrepartie"/>
        <w:numPr>
          <w:ilvl w:val="0"/>
          <w:numId w:val="0"/>
        </w:numPr>
        <w:rPr>
          <w:b w:val="0"/>
          <w:bCs w:val="0"/>
          <w:color w:val="auto"/>
          <w:sz w:val="20"/>
        </w:rPr>
      </w:pPr>
      <w:r w:rsidRPr="007C4776">
        <w:rPr>
          <w:b w:val="0"/>
          <w:bCs w:val="0"/>
          <w:color w:val="auto"/>
          <w:sz w:val="20"/>
        </w:rPr>
        <w:t>Le processus d’élaboration de la Stratégie régionale de recherche et innovation (SRRI) a mobilisé les États membres, des experts internationaux et les principales parties prenantes régionales</w:t>
      </w:r>
      <w:r w:rsidR="007C4776">
        <w:rPr>
          <w:b w:val="0"/>
          <w:bCs w:val="0"/>
          <w:color w:val="auto"/>
          <w:sz w:val="20"/>
        </w:rPr>
        <w:t xml:space="preserve"> désignés par les Etats membres</w:t>
      </w:r>
      <w:r w:rsidRPr="007C4776">
        <w:rPr>
          <w:b w:val="0"/>
          <w:bCs w:val="0"/>
          <w:color w:val="auto"/>
          <w:sz w:val="20"/>
        </w:rPr>
        <w:t xml:space="preserve">, autour d’une démarche concertée visant à doter la région d’un cadre commun de coopération scientifique, technologique et d’innovation. </w:t>
      </w:r>
    </w:p>
    <w:p w14:paraId="3B29DDCA" w14:textId="2DDAB897" w:rsidR="006E338B" w:rsidRDefault="006E338B" w:rsidP="007C4776">
      <w:pPr>
        <w:pStyle w:val="Titrepartie"/>
        <w:numPr>
          <w:ilvl w:val="0"/>
          <w:numId w:val="0"/>
        </w:numPr>
        <w:rPr>
          <w:b w:val="0"/>
          <w:bCs w:val="0"/>
          <w:color w:val="auto"/>
          <w:sz w:val="20"/>
        </w:rPr>
      </w:pPr>
      <w:r w:rsidRPr="007C4776">
        <w:rPr>
          <w:b w:val="0"/>
          <w:bCs w:val="0"/>
          <w:color w:val="auto"/>
          <w:sz w:val="20"/>
        </w:rPr>
        <w:t>La stratégie proposée répond aux défis prioritaires de la région, notamment l’adaptation aux changements climatiques</w:t>
      </w:r>
      <w:r w:rsidR="007C4776">
        <w:rPr>
          <w:b w:val="0"/>
          <w:bCs w:val="0"/>
          <w:color w:val="auto"/>
          <w:sz w:val="20"/>
        </w:rPr>
        <w:t xml:space="preserve">, </w:t>
      </w:r>
      <w:r w:rsidRPr="007C4776">
        <w:rPr>
          <w:b w:val="0"/>
          <w:bCs w:val="0"/>
          <w:color w:val="auto"/>
          <w:sz w:val="20"/>
        </w:rPr>
        <w:t>la gestion durable des ressources marines et côtières</w:t>
      </w:r>
      <w:r w:rsidR="007C4776">
        <w:rPr>
          <w:b w:val="0"/>
          <w:bCs w:val="0"/>
          <w:color w:val="auto"/>
          <w:sz w:val="20"/>
        </w:rPr>
        <w:t xml:space="preserve">, </w:t>
      </w:r>
      <w:r w:rsidRPr="007C4776">
        <w:rPr>
          <w:b w:val="0"/>
          <w:bCs w:val="0"/>
          <w:color w:val="auto"/>
          <w:sz w:val="20"/>
        </w:rPr>
        <w:t>la sécurité alimentaire et l’agriculture durable</w:t>
      </w:r>
      <w:r w:rsidR="007C4776">
        <w:rPr>
          <w:b w:val="0"/>
          <w:bCs w:val="0"/>
          <w:color w:val="auto"/>
          <w:sz w:val="20"/>
        </w:rPr>
        <w:t xml:space="preserve">, </w:t>
      </w:r>
      <w:r w:rsidRPr="007C4776">
        <w:rPr>
          <w:b w:val="0"/>
          <w:bCs w:val="0"/>
          <w:color w:val="auto"/>
          <w:sz w:val="20"/>
        </w:rPr>
        <w:t>le développement de l’économie océanique</w:t>
      </w:r>
      <w:r w:rsidR="007C4776">
        <w:rPr>
          <w:b w:val="0"/>
          <w:bCs w:val="0"/>
          <w:color w:val="auto"/>
          <w:sz w:val="20"/>
        </w:rPr>
        <w:t xml:space="preserve">, </w:t>
      </w:r>
      <w:r w:rsidRPr="007C4776">
        <w:rPr>
          <w:b w:val="0"/>
          <w:bCs w:val="0"/>
          <w:color w:val="auto"/>
          <w:sz w:val="20"/>
        </w:rPr>
        <w:t xml:space="preserve">le renforcement de l’entrepreneuriat innovant et des liens entre recherche et secteur privé. </w:t>
      </w:r>
    </w:p>
    <w:p w14:paraId="7994980E" w14:textId="77777777" w:rsidR="007C4776" w:rsidRPr="007C4776" w:rsidRDefault="007C4776" w:rsidP="007C4776">
      <w:pPr>
        <w:pStyle w:val="Titrepartie"/>
        <w:numPr>
          <w:ilvl w:val="0"/>
          <w:numId w:val="0"/>
        </w:numPr>
        <w:rPr>
          <w:b w:val="0"/>
          <w:bCs w:val="0"/>
          <w:color w:val="auto"/>
          <w:sz w:val="20"/>
        </w:rPr>
      </w:pPr>
    </w:p>
    <w:p w14:paraId="40D4FD4E" w14:textId="393B75DE" w:rsidR="006E338B" w:rsidRDefault="006E338B" w:rsidP="007C4776">
      <w:pPr>
        <w:pStyle w:val="Titrepartie"/>
        <w:numPr>
          <w:ilvl w:val="0"/>
          <w:numId w:val="0"/>
        </w:numPr>
        <w:rPr>
          <w:b w:val="0"/>
          <w:bCs w:val="0"/>
          <w:color w:val="auto"/>
          <w:sz w:val="20"/>
        </w:rPr>
      </w:pPr>
      <w:r w:rsidRPr="007C4776">
        <w:rPr>
          <w:b w:val="0"/>
          <w:bCs w:val="0"/>
          <w:color w:val="auto"/>
          <w:sz w:val="20"/>
        </w:rPr>
        <w:t xml:space="preserve">La SRRI repose sur trois priorités structurantes </w:t>
      </w:r>
      <w:r w:rsidR="007C4776">
        <w:rPr>
          <w:b w:val="0"/>
          <w:bCs w:val="0"/>
          <w:color w:val="auto"/>
          <w:sz w:val="20"/>
        </w:rPr>
        <w:t xml:space="preserve">dont </w:t>
      </w:r>
      <w:r w:rsidRPr="007C4776">
        <w:rPr>
          <w:b w:val="0"/>
          <w:bCs w:val="0"/>
          <w:color w:val="auto"/>
          <w:sz w:val="20"/>
        </w:rPr>
        <w:t>le renforcement des systèmes universitaires, de formation et de recherche</w:t>
      </w:r>
      <w:r w:rsidR="007C4776">
        <w:rPr>
          <w:b w:val="0"/>
          <w:bCs w:val="0"/>
          <w:color w:val="auto"/>
          <w:sz w:val="20"/>
        </w:rPr>
        <w:t xml:space="preserve">, </w:t>
      </w:r>
      <w:r w:rsidRPr="007C4776">
        <w:rPr>
          <w:b w:val="0"/>
          <w:bCs w:val="0"/>
          <w:color w:val="auto"/>
          <w:sz w:val="20"/>
        </w:rPr>
        <w:t>le développement d’une économie durable fondée sur les ressources océaniques, agricoles et climatiques</w:t>
      </w:r>
      <w:r w:rsidR="007C4776">
        <w:rPr>
          <w:b w:val="0"/>
          <w:bCs w:val="0"/>
          <w:color w:val="auto"/>
          <w:sz w:val="20"/>
        </w:rPr>
        <w:t xml:space="preserve">, </w:t>
      </w:r>
      <w:r w:rsidRPr="007C4776">
        <w:rPr>
          <w:b w:val="0"/>
          <w:bCs w:val="0"/>
          <w:color w:val="auto"/>
          <w:sz w:val="20"/>
        </w:rPr>
        <w:t xml:space="preserve">le soutien au secteur privé, à l’innovation et à l’entrepreneuriat. </w:t>
      </w:r>
    </w:p>
    <w:p w14:paraId="70B26F1E" w14:textId="77777777" w:rsidR="007C4776" w:rsidRPr="007C4776" w:rsidRDefault="007C4776" w:rsidP="007C4776">
      <w:pPr>
        <w:pStyle w:val="Titrepartie"/>
        <w:numPr>
          <w:ilvl w:val="0"/>
          <w:numId w:val="0"/>
        </w:numPr>
        <w:rPr>
          <w:b w:val="0"/>
          <w:bCs w:val="0"/>
          <w:color w:val="auto"/>
          <w:sz w:val="20"/>
        </w:rPr>
      </w:pPr>
    </w:p>
    <w:p w14:paraId="34C0FB00" w14:textId="44A55654" w:rsidR="006E338B" w:rsidRDefault="006E338B" w:rsidP="007C4776">
      <w:pPr>
        <w:pStyle w:val="Titrepartie"/>
        <w:numPr>
          <w:ilvl w:val="0"/>
          <w:numId w:val="0"/>
        </w:numPr>
        <w:rPr>
          <w:b w:val="0"/>
          <w:bCs w:val="0"/>
          <w:color w:val="auto"/>
          <w:sz w:val="20"/>
        </w:rPr>
      </w:pPr>
      <w:r w:rsidRPr="007C4776">
        <w:rPr>
          <w:b w:val="0"/>
          <w:bCs w:val="0"/>
          <w:color w:val="auto"/>
          <w:sz w:val="20"/>
        </w:rPr>
        <w:t>Le document propose également la mise en place d’un cadre régional de gouvernance de la recherche et de l’innovation sous l’égide de la COI, ainsi qu’un dispositif de mise en œuvre articulé autour d’un plan d’actions opérationnel</w:t>
      </w:r>
      <w:r w:rsidR="007C4776">
        <w:rPr>
          <w:b w:val="0"/>
          <w:bCs w:val="0"/>
          <w:color w:val="auto"/>
          <w:sz w:val="20"/>
        </w:rPr>
        <w:t xml:space="preserve">, </w:t>
      </w:r>
      <w:r w:rsidRPr="007C4776">
        <w:rPr>
          <w:b w:val="0"/>
          <w:bCs w:val="0"/>
          <w:color w:val="auto"/>
          <w:sz w:val="20"/>
        </w:rPr>
        <w:t>d’un calendrier d’exécution</w:t>
      </w:r>
      <w:r w:rsidR="007C4776">
        <w:rPr>
          <w:b w:val="0"/>
          <w:bCs w:val="0"/>
          <w:color w:val="auto"/>
          <w:sz w:val="20"/>
        </w:rPr>
        <w:t xml:space="preserve"> et d’un </w:t>
      </w:r>
      <w:r w:rsidR="007C4776" w:rsidRPr="007C4776">
        <w:rPr>
          <w:b w:val="0"/>
          <w:bCs w:val="0"/>
          <w:color w:val="auto"/>
          <w:sz w:val="20"/>
        </w:rPr>
        <w:t>plan</w:t>
      </w:r>
      <w:r w:rsidRPr="007C4776">
        <w:rPr>
          <w:b w:val="0"/>
          <w:bCs w:val="0"/>
          <w:color w:val="auto"/>
          <w:sz w:val="20"/>
        </w:rPr>
        <w:t xml:space="preserve"> de financement mobilisant partenaires publics et privés. </w:t>
      </w:r>
    </w:p>
    <w:p w14:paraId="37153A30" w14:textId="77777777" w:rsidR="007C4776" w:rsidRPr="007C4776" w:rsidRDefault="007C4776" w:rsidP="007C4776">
      <w:pPr>
        <w:pStyle w:val="Titrepartie"/>
        <w:numPr>
          <w:ilvl w:val="0"/>
          <w:numId w:val="0"/>
        </w:numPr>
        <w:rPr>
          <w:b w:val="0"/>
          <w:bCs w:val="0"/>
          <w:color w:val="auto"/>
          <w:sz w:val="20"/>
        </w:rPr>
      </w:pPr>
    </w:p>
    <w:p w14:paraId="6A6A0F81" w14:textId="77777777" w:rsidR="006E338B" w:rsidRDefault="006E338B" w:rsidP="007C4776">
      <w:pPr>
        <w:pStyle w:val="Titrepartie"/>
        <w:numPr>
          <w:ilvl w:val="0"/>
          <w:numId w:val="0"/>
        </w:numPr>
        <w:rPr>
          <w:b w:val="0"/>
          <w:bCs w:val="0"/>
          <w:color w:val="auto"/>
          <w:sz w:val="20"/>
        </w:rPr>
      </w:pPr>
      <w:r w:rsidRPr="007C4776">
        <w:rPr>
          <w:b w:val="0"/>
          <w:bCs w:val="0"/>
          <w:color w:val="auto"/>
          <w:sz w:val="20"/>
        </w:rPr>
        <w:t xml:space="preserve">Le Conseil est invité à approuver cette stratégie et à mandater le Secrétariat général pour mobiliser les partenariats et financements nécessaires à sa mise en œuvre. </w:t>
      </w:r>
    </w:p>
    <w:p w14:paraId="13C95CB0" w14:textId="77777777" w:rsidR="007713C8" w:rsidRDefault="007713C8" w:rsidP="007C4776">
      <w:pPr>
        <w:pStyle w:val="Titrepartie"/>
        <w:numPr>
          <w:ilvl w:val="0"/>
          <w:numId w:val="0"/>
        </w:numPr>
        <w:rPr>
          <w:b w:val="0"/>
          <w:bCs w:val="0"/>
          <w:color w:val="auto"/>
          <w:sz w:val="20"/>
        </w:rPr>
      </w:pPr>
    </w:p>
    <w:p w14:paraId="19D2A671" w14:textId="77777777" w:rsidR="007713C8" w:rsidRDefault="007713C8" w:rsidP="007C4776">
      <w:pPr>
        <w:pStyle w:val="Titrepartie"/>
        <w:numPr>
          <w:ilvl w:val="0"/>
          <w:numId w:val="0"/>
        </w:numPr>
        <w:rPr>
          <w:b w:val="0"/>
          <w:bCs w:val="0"/>
          <w:color w:val="auto"/>
          <w:sz w:val="20"/>
        </w:rPr>
      </w:pPr>
    </w:p>
    <w:p w14:paraId="1CD3B18C" w14:textId="77777777" w:rsidR="007C4776" w:rsidRPr="007C4776" w:rsidRDefault="007C4776" w:rsidP="007C4776">
      <w:pPr>
        <w:pStyle w:val="Titrepartie"/>
        <w:numPr>
          <w:ilvl w:val="0"/>
          <w:numId w:val="0"/>
        </w:numPr>
        <w:rPr>
          <w:b w:val="0"/>
          <w:bCs w:val="0"/>
          <w:color w:val="auto"/>
          <w:sz w:val="20"/>
        </w:rPr>
      </w:pPr>
    </w:p>
    <w:p w14:paraId="2F7F5914" w14:textId="608AD6BB" w:rsidR="00955BB3" w:rsidRPr="0008468B" w:rsidRDefault="00955BB3" w:rsidP="00A70123">
      <w:pPr>
        <w:pStyle w:val="Titrepartie"/>
      </w:pPr>
      <w:r w:rsidRPr="0008468B">
        <w:lastRenderedPageBreak/>
        <w:t>Proposition de décision</w:t>
      </w:r>
    </w:p>
    <w:p w14:paraId="05F1F967" w14:textId="17805A37" w:rsidR="0008468B" w:rsidRPr="004F5C4B" w:rsidRDefault="0008468B" w:rsidP="00FE285D">
      <w:pPr>
        <w:pStyle w:val="Paragraphe"/>
      </w:pPr>
      <w:r w:rsidRPr="004F5C4B">
        <w:t xml:space="preserve">Le </w:t>
      </w:r>
      <w:r w:rsidR="004014F7">
        <w:t xml:space="preserve">Conseil des ministres : </w:t>
      </w:r>
    </w:p>
    <w:p w14:paraId="3C75727B" w14:textId="7995DDD3" w:rsidR="00735A53" w:rsidRDefault="004014F7" w:rsidP="00DD3BCB">
      <w:pPr>
        <w:pStyle w:val="Paragraphe"/>
        <w:numPr>
          <w:ilvl w:val="0"/>
          <w:numId w:val="6"/>
        </w:numPr>
      </w:pPr>
      <w:r>
        <w:t>Approuve</w:t>
      </w:r>
      <w:r w:rsidR="00735A53" w:rsidRPr="001C4F46">
        <w:t xml:space="preserve"> </w:t>
      </w:r>
      <w:r w:rsidR="00735A53">
        <w:t>l</w:t>
      </w:r>
      <w:r>
        <w:t>a</w:t>
      </w:r>
      <w:r w:rsidR="00735A53">
        <w:t xml:space="preserve"> stratégie régionale de recherche et innovation</w:t>
      </w:r>
      <w:r w:rsidR="0023780D">
        <w:t xml:space="preserve"> et mandate le Secrétariat général à explorer les voies et moyens auprès des partenaires au développement pour sa mise en œuvre de ladite stratégie, notamment à travers des mécanismes de réseautage ;</w:t>
      </w:r>
    </w:p>
    <w:p w14:paraId="785515E3" w14:textId="4E87A470" w:rsidR="009940CA" w:rsidRDefault="009940CA" w:rsidP="00DD3BCB">
      <w:pPr>
        <w:pStyle w:val="Paragraphe"/>
        <w:numPr>
          <w:ilvl w:val="0"/>
          <w:numId w:val="6"/>
        </w:numPr>
      </w:pPr>
      <w:r>
        <w:t>Remercie l’O</w:t>
      </w:r>
      <w:r w:rsidR="008C5149">
        <w:t xml:space="preserve">rganisation des États d’Afrique, </w:t>
      </w:r>
      <w:r w:rsidR="00667828">
        <w:t xml:space="preserve">des </w:t>
      </w:r>
      <w:r w:rsidR="008C5149">
        <w:t>Caraïbe</w:t>
      </w:r>
      <w:r w:rsidR="00667828">
        <w:t>s et du Pacifique (O</w:t>
      </w:r>
      <w:r>
        <w:t>EACP</w:t>
      </w:r>
      <w:r w:rsidR="00667828">
        <w:t>)</w:t>
      </w:r>
      <w:r>
        <w:t xml:space="preserve"> </w:t>
      </w:r>
      <w:r w:rsidR="00680A5A">
        <w:t xml:space="preserve">et l’Union européenne </w:t>
      </w:r>
      <w:r>
        <w:t>p</w:t>
      </w:r>
      <w:r w:rsidRPr="009940CA">
        <w:t xml:space="preserve">our </w:t>
      </w:r>
      <w:r w:rsidR="00680A5A">
        <w:t>leur</w:t>
      </w:r>
      <w:r w:rsidRPr="009940CA">
        <w:t xml:space="preserve"> appui technique et financier, </w:t>
      </w:r>
      <w:r>
        <w:t xml:space="preserve">à travers </w:t>
      </w:r>
      <w:r w:rsidR="00680A5A">
        <w:t>le</w:t>
      </w:r>
      <w:r w:rsidRPr="009940CA">
        <w:t xml:space="preserve"> programme </w:t>
      </w:r>
      <w:r>
        <w:t xml:space="preserve">de soutien la </w:t>
      </w:r>
      <w:r w:rsidRPr="009940CA">
        <w:t>Recherche et Innovation</w:t>
      </w:r>
      <w:r w:rsidR="00A05A11">
        <w:t xml:space="preserve"> ACP-UE</w:t>
      </w:r>
      <w:r w:rsidRPr="009940CA">
        <w:t>, qui a permis l’élaboration de la présente stratégie</w:t>
      </w:r>
      <w:r>
        <w:t xml:space="preserve">. </w:t>
      </w:r>
    </w:p>
    <w:p w14:paraId="357F365D" w14:textId="77777777" w:rsidR="009940CA" w:rsidRDefault="009940CA" w:rsidP="009940CA">
      <w:pPr>
        <w:pStyle w:val="Paragraphe"/>
        <w:ind w:left="720"/>
      </w:pPr>
    </w:p>
    <w:bookmarkEnd w:id="0"/>
    <w:p w14:paraId="1D6F1669" w14:textId="02BA8381" w:rsidR="00417683" w:rsidRPr="0008468B" w:rsidRDefault="00B24931" w:rsidP="00060CA0">
      <w:pPr>
        <w:pStyle w:val="Titrepartie"/>
      </w:pPr>
      <w:r>
        <w:t>A</w:t>
      </w:r>
      <w:r w:rsidR="00417683" w:rsidRPr="0008468B">
        <w:t>nnexe</w:t>
      </w:r>
    </w:p>
    <w:p w14:paraId="43B7F213" w14:textId="5CF27B7C" w:rsidR="00E229C7" w:rsidRDefault="00614A8F" w:rsidP="008529F6">
      <w:pPr>
        <w:pStyle w:val="Paragraphe"/>
        <w:numPr>
          <w:ilvl w:val="0"/>
          <w:numId w:val="9"/>
        </w:numPr>
        <w:spacing w:after="0"/>
      </w:pPr>
      <w:r>
        <w:t xml:space="preserve">Annexe </w:t>
      </w:r>
      <w:r w:rsidR="00CA627F">
        <w:t>1</w:t>
      </w:r>
      <w:r>
        <w:t xml:space="preserve"> : </w:t>
      </w:r>
      <w:r w:rsidR="008529F6">
        <w:t>La stratégie régionale de recherche et innovation</w:t>
      </w:r>
      <w:r w:rsidR="00CA627F">
        <w:t xml:space="preserve"> des Etats membres de la COI</w:t>
      </w:r>
    </w:p>
    <w:p w14:paraId="4648F921" w14:textId="44BC4DE7" w:rsidR="008F173C" w:rsidRDefault="008F173C" w:rsidP="00A05A11">
      <w:pPr>
        <w:pStyle w:val="Paragraphe"/>
        <w:spacing w:after="0"/>
      </w:pPr>
    </w:p>
    <w:sectPr w:rsidR="008F173C"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1FB2" w14:textId="77777777" w:rsidR="00A656E2" w:rsidRDefault="00A656E2">
      <w:pPr>
        <w:spacing w:after="0" w:line="240" w:lineRule="auto"/>
      </w:pPr>
      <w:r>
        <w:separator/>
      </w:r>
    </w:p>
  </w:endnote>
  <w:endnote w:type="continuationSeparator" w:id="0">
    <w:p w14:paraId="32C53E0C" w14:textId="77777777" w:rsidR="00A656E2" w:rsidRDefault="00A6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B302" w14:textId="77777777" w:rsidR="00A656E2" w:rsidRDefault="00A656E2">
      <w:pPr>
        <w:spacing w:after="0" w:line="240" w:lineRule="auto"/>
      </w:pPr>
      <w:r>
        <w:separator/>
      </w:r>
    </w:p>
  </w:footnote>
  <w:footnote w:type="continuationSeparator" w:id="0">
    <w:p w14:paraId="68C6172D" w14:textId="77777777" w:rsidR="00A656E2" w:rsidRDefault="00A6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A779581" w:rsidR="00AA63A3" w:rsidRDefault="00854EEA" w:rsidP="004014F7">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364B0B">
      <w:rPr>
        <w:rFonts w:ascii="Verdana" w:hAnsi="Verdana"/>
        <w:b/>
        <w:bCs/>
        <w:sz w:val="20"/>
        <w:szCs w:val="20"/>
      </w:rPr>
      <w:t>Point</w:t>
    </w:r>
    <w:r w:rsidR="005D4CDC">
      <w:rPr>
        <w:rFonts w:ascii="Verdana" w:hAnsi="Verdana"/>
        <w:b/>
        <w:bCs/>
        <w:sz w:val="20"/>
        <w:szCs w:val="20"/>
      </w:rPr>
      <w:t xml:space="preserve">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DD5"/>
    <w:multiLevelType w:val="hybridMultilevel"/>
    <w:tmpl w:val="893646B8"/>
    <w:lvl w:ilvl="0" w:tplc="7C96FBB8">
      <w:numFmt w:val="bullet"/>
      <w:lvlText w:val="-"/>
      <w:lvlJc w:val="left"/>
      <w:pPr>
        <w:ind w:left="1070" w:hanging="710"/>
      </w:pPr>
      <w:rPr>
        <w:rFonts w:ascii="Verdana" w:eastAsiaTheme="minorHAnsi" w:hAnsi="Verdana"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52C130F"/>
    <w:multiLevelType w:val="hybridMultilevel"/>
    <w:tmpl w:val="904E70C8"/>
    <w:lvl w:ilvl="0" w:tplc="1722C522">
      <w:numFmt w:val="bullet"/>
      <w:lvlText w:val="-"/>
      <w:lvlJc w:val="left"/>
      <w:pPr>
        <w:ind w:left="360" w:hanging="360"/>
      </w:pPr>
      <w:rPr>
        <w:rFonts w:ascii="Calibri" w:eastAsiaTheme="minorHAnsi" w:hAnsi="Calibri" w:cstheme="minorBidi"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7613CC"/>
    <w:multiLevelType w:val="multilevel"/>
    <w:tmpl w:val="468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A6E502A"/>
    <w:multiLevelType w:val="multilevel"/>
    <w:tmpl w:val="34AA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50CF5602"/>
    <w:multiLevelType w:val="multilevel"/>
    <w:tmpl w:val="8FB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882F3D"/>
    <w:multiLevelType w:val="multilevel"/>
    <w:tmpl w:val="18720F42"/>
    <w:lvl w:ilvl="0">
      <w:start w:val="1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8"/>
  </w:num>
  <w:num w:numId="2" w16cid:durableId="730155708">
    <w:abstractNumId w:val="20"/>
  </w:num>
  <w:num w:numId="3" w16cid:durableId="1226992778">
    <w:abstractNumId w:val="6"/>
  </w:num>
  <w:num w:numId="4" w16cid:durableId="131143113">
    <w:abstractNumId w:val="2"/>
  </w:num>
  <w:num w:numId="5" w16cid:durableId="2012178635">
    <w:abstractNumId w:val="18"/>
  </w:num>
  <w:num w:numId="6" w16cid:durableId="758718310">
    <w:abstractNumId w:val="7"/>
  </w:num>
  <w:num w:numId="7" w16cid:durableId="1547988449">
    <w:abstractNumId w:val="9"/>
  </w:num>
  <w:num w:numId="8" w16cid:durableId="1117337497">
    <w:abstractNumId w:val="6"/>
    <w:lvlOverride w:ilvl="0">
      <w:startOverride w:val="1"/>
    </w:lvlOverride>
  </w:num>
  <w:num w:numId="9" w16cid:durableId="1107774655">
    <w:abstractNumId w:val="5"/>
  </w:num>
  <w:num w:numId="10" w16cid:durableId="1865903141">
    <w:abstractNumId w:val="3"/>
  </w:num>
  <w:num w:numId="11" w16cid:durableId="409931527">
    <w:abstractNumId w:val="6"/>
  </w:num>
  <w:num w:numId="12" w16cid:durableId="1956594569">
    <w:abstractNumId w:val="17"/>
  </w:num>
  <w:num w:numId="13" w16cid:durableId="568005613">
    <w:abstractNumId w:val="11"/>
  </w:num>
  <w:num w:numId="14" w16cid:durableId="1140994487">
    <w:abstractNumId w:val="6"/>
  </w:num>
  <w:num w:numId="15" w16cid:durableId="752436064">
    <w:abstractNumId w:val="14"/>
  </w:num>
  <w:num w:numId="16" w16cid:durableId="1242790777">
    <w:abstractNumId w:val="6"/>
  </w:num>
  <w:num w:numId="17" w16cid:durableId="1205292131">
    <w:abstractNumId w:val="13"/>
  </w:num>
  <w:num w:numId="18" w16cid:durableId="1190029721">
    <w:abstractNumId w:val="16"/>
  </w:num>
  <w:num w:numId="19" w16cid:durableId="800463630">
    <w:abstractNumId w:val="19"/>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4"/>
  </w:num>
  <w:num w:numId="23" w16cid:durableId="1913083392">
    <w:abstractNumId w:val="22"/>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2136563644">
    <w:abstractNumId w:val="1"/>
  </w:num>
  <w:num w:numId="33" w16cid:durableId="512493018">
    <w:abstractNumId w:val="0"/>
  </w:num>
  <w:num w:numId="34" w16cid:durableId="310865091">
    <w:abstractNumId w:val="21"/>
  </w:num>
  <w:num w:numId="35" w16cid:durableId="246887772">
    <w:abstractNumId w:val="6"/>
  </w:num>
  <w:num w:numId="36" w16cid:durableId="1862431571">
    <w:abstractNumId w:val="6"/>
  </w:num>
  <w:num w:numId="37" w16cid:durableId="393158837">
    <w:abstractNumId w:val="6"/>
  </w:num>
  <w:num w:numId="38" w16cid:durableId="700933055">
    <w:abstractNumId w:val="6"/>
  </w:num>
  <w:num w:numId="39" w16cid:durableId="861162869">
    <w:abstractNumId w:val="10"/>
  </w:num>
  <w:num w:numId="40" w16cid:durableId="747459641">
    <w:abstractNumId w:val="12"/>
  </w:num>
  <w:num w:numId="41" w16cid:durableId="1218281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1BE3"/>
    <w:rsid w:val="000373B2"/>
    <w:rsid w:val="00037CB9"/>
    <w:rsid w:val="00042CF5"/>
    <w:rsid w:val="00060CA0"/>
    <w:rsid w:val="00063A26"/>
    <w:rsid w:val="0006583C"/>
    <w:rsid w:val="0008468B"/>
    <w:rsid w:val="000A468A"/>
    <w:rsid w:val="000B0FBD"/>
    <w:rsid w:val="000B489A"/>
    <w:rsid w:val="000B5884"/>
    <w:rsid w:val="000B78DE"/>
    <w:rsid w:val="000E35F0"/>
    <w:rsid w:val="000E3F3F"/>
    <w:rsid w:val="000F38B6"/>
    <w:rsid w:val="000F4728"/>
    <w:rsid w:val="00107D9D"/>
    <w:rsid w:val="00116BCC"/>
    <w:rsid w:val="00117F1A"/>
    <w:rsid w:val="001667B3"/>
    <w:rsid w:val="0018252D"/>
    <w:rsid w:val="001A56F1"/>
    <w:rsid w:val="001B3F3A"/>
    <w:rsid w:val="001B4738"/>
    <w:rsid w:val="001D3815"/>
    <w:rsid w:val="001F0C27"/>
    <w:rsid w:val="001F6CDE"/>
    <w:rsid w:val="0020446F"/>
    <w:rsid w:val="00217D63"/>
    <w:rsid w:val="00236A45"/>
    <w:rsid w:val="0023780D"/>
    <w:rsid w:val="00247C44"/>
    <w:rsid w:val="002573FA"/>
    <w:rsid w:val="0026279A"/>
    <w:rsid w:val="002A0933"/>
    <w:rsid w:val="002A096E"/>
    <w:rsid w:val="002C56ED"/>
    <w:rsid w:val="002D3C5B"/>
    <w:rsid w:val="002E0FE4"/>
    <w:rsid w:val="00336EBC"/>
    <w:rsid w:val="00345C92"/>
    <w:rsid w:val="00354CE2"/>
    <w:rsid w:val="003604B9"/>
    <w:rsid w:val="003615A6"/>
    <w:rsid w:val="00364B0B"/>
    <w:rsid w:val="003772FB"/>
    <w:rsid w:val="00391152"/>
    <w:rsid w:val="003B2862"/>
    <w:rsid w:val="003C2538"/>
    <w:rsid w:val="003D485F"/>
    <w:rsid w:val="003D5328"/>
    <w:rsid w:val="003D6F3A"/>
    <w:rsid w:val="003E4F9E"/>
    <w:rsid w:val="003F16E6"/>
    <w:rsid w:val="004014F7"/>
    <w:rsid w:val="0041278C"/>
    <w:rsid w:val="00417683"/>
    <w:rsid w:val="00422748"/>
    <w:rsid w:val="0042468B"/>
    <w:rsid w:val="00426673"/>
    <w:rsid w:val="00444C58"/>
    <w:rsid w:val="004478C3"/>
    <w:rsid w:val="004607F7"/>
    <w:rsid w:val="00485E88"/>
    <w:rsid w:val="00491466"/>
    <w:rsid w:val="004D2765"/>
    <w:rsid w:val="004F5C4B"/>
    <w:rsid w:val="00502B59"/>
    <w:rsid w:val="0053773D"/>
    <w:rsid w:val="00544F07"/>
    <w:rsid w:val="00547689"/>
    <w:rsid w:val="0055059B"/>
    <w:rsid w:val="00550977"/>
    <w:rsid w:val="005725B7"/>
    <w:rsid w:val="005813A2"/>
    <w:rsid w:val="005C1713"/>
    <w:rsid w:val="005D4CDC"/>
    <w:rsid w:val="00614A8F"/>
    <w:rsid w:val="00620B90"/>
    <w:rsid w:val="00627329"/>
    <w:rsid w:val="006356AF"/>
    <w:rsid w:val="006548BF"/>
    <w:rsid w:val="00660504"/>
    <w:rsid w:val="00663459"/>
    <w:rsid w:val="00667828"/>
    <w:rsid w:val="0067468C"/>
    <w:rsid w:val="00680A5A"/>
    <w:rsid w:val="0069014A"/>
    <w:rsid w:val="00690C42"/>
    <w:rsid w:val="00696720"/>
    <w:rsid w:val="006A33B8"/>
    <w:rsid w:val="006B416E"/>
    <w:rsid w:val="006B7FD6"/>
    <w:rsid w:val="006E2D9E"/>
    <w:rsid w:val="006E338B"/>
    <w:rsid w:val="00721142"/>
    <w:rsid w:val="00735A53"/>
    <w:rsid w:val="007713C8"/>
    <w:rsid w:val="0077195E"/>
    <w:rsid w:val="00777426"/>
    <w:rsid w:val="007846FE"/>
    <w:rsid w:val="007B245C"/>
    <w:rsid w:val="007C0735"/>
    <w:rsid w:val="007C4776"/>
    <w:rsid w:val="007C78FC"/>
    <w:rsid w:val="007E1E74"/>
    <w:rsid w:val="007E2BB5"/>
    <w:rsid w:val="007E5F4D"/>
    <w:rsid w:val="007F3CE9"/>
    <w:rsid w:val="0080295F"/>
    <w:rsid w:val="00803332"/>
    <w:rsid w:val="00816DAC"/>
    <w:rsid w:val="00827004"/>
    <w:rsid w:val="0083290E"/>
    <w:rsid w:val="00843FF2"/>
    <w:rsid w:val="008453AB"/>
    <w:rsid w:val="008529F6"/>
    <w:rsid w:val="00854EEA"/>
    <w:rsid w:val="008551DA"/>
    <w:rsid w:val="008636DE"/>
    <w:rsid w:val="008C5149"/>
    <w:rsid w:val="008D193F"/>
    <w:rsid w:val="008E2E5C"/>
    <w:rsid w:val="008F11E8"/>
    <w:rsid w:val="008F173C"/>
    <w:rsid w:val="0090544B"/>
    <w:rsid w:val="00920B2B"/>
    <w:rsid w:val="00955BB3"/>
    <w:rsid w:val="00961E12"/>
    <w:rsid w:val="009723C0"/>
    <w:rsid w:val="009925BD"/>
    <w:rsid w:val="009940CA"/>
    <w:rsid w:val="009A38AD"/>
    <w:rsid w:val="009A565A"/>
    <w:rsid w:val="009B0DE6"/>
    <w:rsid w:val="009F3C0F"/>
    <w:rsid w:val="009F46EE"/>
    <w:rsid w:val="009F496C"/>
    <w:rsid w:val="00A05A11"/>
    <w:rsid w:val="00A10495"/>
    <w:rsid w:val="00A148A1"/>
    <w:rsid w:val="00A36C09"/>
    <w:rsid w:val="00A37C9F"/>
    <w:rsid w:val="00A40B8A"/>
    <w:rsid w:val="00A65270"/>
    <w:rsid w:val="00A656E2"/>
    <w:rsid w:val="00A70123"/>
    <w:rsid w:val="00A76B07"/>
    <w:rsid w:val="00A81B98"/>
    <w:rsid w:val="00A901B6"/>
    <w:rsid w:val="00A90305"/>
    <w:rsid w:val="00AA63A3"/>
    <w:rsid w:val="00AB5EB7"/>
    <w:rsid w:val="00AD4D97"/>
    <w:rsid w:val="00AE2453"/>
    <w:rsid w:val="00AE2695"/>
    <w:rsid w:val="00B033EB"/>
    <w:rsid w:val="00B05DFC"/>
    <w:rsid w:val="00B11F5E"/>
    <w:rsid w:val="00B24931"/>
    <w:rsid w:val="00B25DA2"/>
    <w:rsid w:val="00B36EEA"/>
    <w:rsid w:val="00B6153E"/>
    <w:rsid w:val="00B8359A"/>
    <w:rsid w:val="00BA4B55"/>
    <w:rsid w:val="00BB368C"/>
    <w:rsid w:val="00BD5927"/>
    <w:rsid w:val="00BF1CCA"/>
    <w:rsid w:val="00C12C93"/>
    <w:rsid w:val="00C325F5"/>
    <w:rsid w:val="00C457E8"/>
    <w:rsid w:val="00C609B9"/>
    <w:rsid w:val="00C635C3"/>
    <w:rsid w:val="00C70085"/>
    <w:rsid w:val="00C87090"/>
    <w:rsid w:val="00CA627F"/>
    <w:rsid w:val="00CB2BBA"/>
    <w:rsid w:val="00CB6C96"/>
    <w:rsid w:val="00CE2386"/>
    <w:rsid w:val="00CE4290"/>
    <w:rsid w:val="00CF6E0E"/>
    <w:rsid w:val="00CF79FD"/>
    <w:rsid w:val="00D20D13"/>
    <w:rsid w:val="00D24A4A"/>
    <w:rsid w:val="00D27037"/>
    <w:rsid w:val="00D31359"/>
    <w:rsid w:val="00D32E49"/>
    <w:rsid w:val="00D47564"/>
    <w:rsid w:val="00D53346"/>
    <w:rsid w:val="00D657AE"/>
    <w:rsid w:val="00D729BE"/>
    <w:rsid w:val="00E229C7"/>
    <w:rsid w:val="00E31D44"/>
    <w:rsid w:val="00E32408"/>
    <w:rsid w:val="00E34CAE"/>
    <w:rsid w:val="00E3648C"/>
    <w:rsid w:val="00E57F4E"/>
    <w:rsid w:val="00E77F41"/>
    <w:rsid w:val="00E845D4"/>
    <w:rsid w:val="00E93901"/>
    <w:rsid w:val="00EA209A"/>
    <w:rsid w:val="00EC22CC"/>
    <w:rsid w:val="00EC4800"/>
    <w:rsid w:val="00ED1576"/>
    <w:rsid w:val="00ED6B69"/>
    <w:rsid w:val="00EE1893"/>
    <w:rsid w:val="00EE34F4"/>
    <w:rsid w:val="00EF22A4"/>
    <w:rsid w:val="00F0674E"/>
    <w:rsid w:val="00F124E6"/>
    <w:rsid w:val="00F51D7B"/>
    <w:rsid w:val="00F54EA0"/>
    <w:rsid w:val="00F86E4C"/>
    <w:rsid w:val="00F96EE9"/>
    <w:rsid w:val="00FC075E"/>
    <w:rsid w:val="00FD747C"/>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aliases w:val="Знак сноски-FN,Footnote reference number,Footnote symbol,Ciae niinee-FN,Знак сноски 1,Footnote Reference Number,fr,Used by Word for Help footnote symbols,сноска,ftref,Footnote anchor,Times 10 Point,Exposant 3 Point"/>
    <w:basedOn w:val="Policepardfaut"/>
    <w:uiPriority w:val="99"/>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Corpsdetexte">
    <w:name w:val="Body Text"/>
    <w:basedOn w:val="Normal"/>
    <w:link w:val="CorpsdetexteCar"/>
    <w:uiPriority w:val="99"/>
    <w:semiHidden/>
    <w:unhideWhenUsed/>
    <w:rsid w:val="001D3815"/>
    <w:pPr>
      <w:spacing w:after="120"/>
    </w:pPr>
  </w:style>
  <w:style w:type="character" w:customStyle="1" w:styleId="CorpsdetexteCar">
    <w:name w:val="Corps de texte Car"/>
    <w:basedOn w:val="Policepardfaut"/>
    <w:link w:val="Corpsdetexte"/>
    <w:uiPriority w:val="99"/>
    <w:semiHidden/>
    <w:rsid w:val="001D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2026-05-12T06:37:00Z</dcterms:created>
  <dcterms:modified xsi:type="dcterms:W3CDTF">2026-05-12T06:37:00Z</dcterms:modified>
</cp:coreProperties>
</file>