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DD30" w14:textId="77777777" w:rsidR="00036454" w:rsidRDefault="00036454">
      <w:pPr>
        <w:pStyle w:val="Normal1"/>
        <w:pageBreakBefore/>
        <w:jc w:val="center"/>
        <w:rPr>
          <w:rFonts w:ascii="Verdana" w:hAnsi="Verdana"/>
          <w:b/>
          <w:bCs/>
          <w:sz w:val="2"/>
          <w:szCs w:val="2"/>
        </w:rPr>
      </w:pPr>
    </w:p>
    <w:tbl>
      <w:tblPr>
        <w:tblW w:w="0" w:type="auto"/>
        <w:tblInd w:w="108" w:type="dxa"/>
        <w:tblLayout w:type="fixed"/>
        <w:tblLook w:val="0000" w:firstRow="0" w:lastRow="0" w:firstColumn="0" w:lastColumn="0" w:noHBand="0" w:noVBand="0"/>
      </w:tblPr>
      <w:tblGrid>
        <w:gridCol w:w="7655"/>
        <w:gridCol w:w="1407"/>
      </w:tblGrid>
      <w:tr w:rsidR="00036454" w14:paraId="2F5F980B" w14:textId="77777777">
        <w:tc>
          <w:tcPr>
            <w:tcW w:w="9062" w:type="dxa"/>
            <w:gridSpan w:val="2"/>
            <w:tcBorders>
              <w:top w:val="single" w:sz="4" w:space="0" w:color="000000"/>
              <w:left w:val="single" w:sz="4" w:space="0" w:color="000000"/>
              <w:bottom w:val="single" w:sz="4" w:space="0" w:color="000000"/>
              <w:right w:val="single" w:sz="4" w:space="0" w:color="000000"/>
            </w:tcBorders>
          </w:tcPr>
          <w:p w14:paraId="48BA551A" w14:textId="77777777" w:rsidR="00036454" w:rsidRDefault="00036454">
            <w:pPr>
              <w:pStyle w:val="Normal1"/>
              <w:spacing w:after="0" w:line="100" w:lineRule="atLeast"/>
              <w:jc w:val="center"/>
            </w:pPr>
            <w:r>
              <w:rPr>
                <w:rStyle w:val="Policepardfaut1"/>
                <w:rFonts w:ascii="Verdana" w:eastAsia="Yu Mincho" w:hAnsi="Verdana"/>
                <w:b/>
                <w:bCs/>
                <w:color w:val="000000"/>
              </w:rPr>
              <w:t>Santé et réseau SEGA-One Health</w:t>
            </w:r>
          </w:p>
        </w:tc>
      </w:tr>
      <w:tr w:rsidR="00036454" w14:paraId="15A4EEBA" w14:textId="77777777" w:rsidTr="006D584A">
        <w:tc>
          <w:tcPr>
            <w:tcW w:w="7655" w:type="dxa"/>
            <w:tcBorders>
              <w:top w:val="single" w:sz="4" w:space="0" w:color="000000"/>
              <w:left w:val="single" w:sz="4" w:space="0" w:color="000000"/>
              <w:bottom w:val="single" w:sz="4" w:space="0" w:color="000000"/>
              <w:right w:val="single" w:sz="4" w:space="0" w:color="000000"/>
            </w:tcBorders>
          </w:tcPr>
          <w:p w14:paraId="0158B06C" w14:textId="36543AAA" w:rsidR="00036454" w:rsidRDefault="006D584A">
            <w:pPr>
              <w:pStyle w:val="Normal1"/>
              <w:spacing w:after="0" w:line="100" w:lineRule="atLeast"/>
              <w:rPr>
                <w:rFonts w:ascii="Verdana" w:hAnsi="Verdana"/>
                <w:sz w:val="20"/>
                <w:szCs w:val="20"/>
              </w:rPr>
            </w:pPr>
            <w:r>
              <w:rPr>
                <w:rFonts w:ascii="Verdana" w:hAnsi="Verdana"/>
                <w:sz w:val="20"/>
                <w:szCs w:val="20"/>
              </w:rPr>
              <w:t>40</w:t>
            </w:r>
            <w:r w:rsidRPr="006D584A">
              <w:rPr>
                <w:rFonts w:ascii="Verdana" w:hAnsi="Verdana"/>
                <w:sz w:val="20"/>
                <w:szCs w:val="20"/>
                <w:vertAlign w:val="superscript"/>
              </w:rPr>
              <w:t>e</w:t>
            </w:r>
            <w:r>
              <w:rPr>
                <w:rFonts w:ascii="Verdana" w:hAnsi="Verdana"/>
                <w:sz w:val="20"/>
                <w:szCs w:val="20"/>
              </w:rPr>
              <w:t xml:space="preserve"> Conseil des ministres de la COI | </w:t>
            </w:r>
            <w:r w:rsidR="00B520E5">
              <w:rPr>
                <w:rFonts w:ascii="Verdana" w:hAnsi="Verdana"/>
                <w:sz w:val="20"/>
                <w:szCs w:val="20"/>
              </w:rPr>
              <w:t>08 juin 2026, Union des Comores</w:t>
            </w:r>
          </w:p>
        </w:tc>
        <w:tc>
          <w:tcPr>
            <w:tcW w:w="1407" w:type="dxa"/>
            <w:tcBorders>
              <w:top w:val="single" w:sz="4" w:space="0" w:color="000000"/>
              <w:left w:val="single" w:sz="4" w:space="0" w:color="000000"/>
              <w:bottom w:val="single" w:sz="4" w:space="0" w:color="000000"/>
              <w:right w:val="single" w:sz="4" w:space="0" w:color="000000"/>
            </w:tcBorders>
          </w:tcPr>
          <w:p w14:paraId="4274CB38" w14:textId="1B1705A9" w:rsidR="00036454" w:rsidRDefault="00036454">
            <w:pPr>
              <w:pStyle w:val="Normal1"/>
              <w:spacing w:after="0" w:line="100" w:lineRule="atLeast"/>
              <w:jc w:val="center"/>
            </w:pPr>
            <w:r>
              <w:rPr>
                <w:rFonts w:ascii="Verdana" w:hAnsi="Verdana"/>
                <w:sz w:val="20"/>
                <w:szCs w:val="20"/>
              </w:rPr>
              <w:t xml:space="preserve">Point </w:t>
            </w:r>
            <w:r w:rsidR="006D584A">
              <w:rPr>
                <w:rFonts w:ascii="Verdana" w:hAnsi="Verdana"/>
                <w:sz w:val="20"/>
                <w:szCs w:val="20"/>
              </w:rPr>
              <w:t>10</w:t>
            </w:r>
          </w:p>
        </w:tc>
      </w:tr>
      <w:tr w:rsidR="00036454" w14:paraId="757CB7BA" w14:textId="77777777" w:rsidTr="006D584A">
        <w:tc>
          <w:tcPr>
            <w:tcW w:w="7655" w:type="dxa"/>
            <w:tcBorders>
              <w:top w:val="single" w:sz="4" w:space="0" w:color="000000"/>
              <w:left w:val="single" w:sz="4" w:space="0" w:color="000000"/>
              <w:bottom w:val="single" w:sz="4" w:space="0" w:color="000000"/>
              <w:right w:val="single" w:sz="4" w:space="0" w:color="000000"/>
            </w:tcBorders>
          </w:tcPr>
          <w:p w14:paraId="73670A2B" w14:textId="77777777" w:rsidR="00036454" w:rsidRDefault="00036454">
            <w:pPr>
              <w:pStyle w:val="Normal1"/>
              <w:spacing w:after="0" w:line="100" w:lineRule="atLeast"/>
              <w:rPr>
                <w:rFonts w:ascii="Verdana" w:hAnsi="Verdana"/>
                <w:sz w:val="20"/>
                <w:szCs w:val="20"/>
              </w:rPr>
            </w:pPr>
            <w:r>
              <w:rPr>
                <w:rStyle w:val="Policepardfaut1"/>
                <w:rFonts w:ascii="Verdana" w:hAnsi="Verdana"/>
                <w:i/>
                <w:iCs/>
                <w:sz w:val="20"/>
                <w:szCs w:val="20"/>
              </w:rPr>
              <w:t>Dossier suivi par :</w:t>
            </w:r>
            <w:r>
              <w:rPr>
                <w:rStyle w:val="Policepardfaut1"/>
                <w:rFonts w:ascii="Verdana" w:hAnsi="Verdana"/>
                <w:sz w:val="20"/>
                <w:szCs w:val="20"/>
              </w:rPr>
              <w:t xml:space="preserve"> </w:t>
            </w:r>
            <w:r>
              <w:rPr>
                <w:rStyle w:val="Policepardfaut1"/>
                <w:rFonts w:ascii="Verdana" w:eastAsia="Yu Mincho" w:hAnsi="Verdana"/>
                <w:color w:val="000000"/>
                <w:sz w:val="20"/>
                <w:szCs w:val="20"/>
              </w:rPr>
              <w:t>Juliette Janin, Chargée de mission DI5</w:t>
            </w:r>
          </w:p>
        </w:tc>
        <w:tc>
          <w:tcPr>
            <w:tcW w:w="1407" w:type="dxa"/>
            <w:tcBorders>
              <w:top w:val="single" w:sz="4" w:space="0" w:color="000000"/>
              <w:left w:val="single" w:sz="4" w:space="0" w:color="000000"/>
              <w:bottom w:val="single" w:sz="4" w:space="0" w:color="000000"/>
              <w:right w:val="single" w:sz="4" w:space="0" w:color="000000"/>
            </w:tcBorders>
          </w:tcPr>
          <w:p w14:paraId="52FE0117" w14:textId="77777777" w:rsidR="00036454" w:rsidRDefault="00036454">
            <w:pPr>
              <w:pStyle w:val="Normal1"/>
              <w:spacing w:after="0" w:line="100" w:lineRule="atLeast"/>
              <w:jc w:val="center"/>
            </w:pPr>
            <w:r>
              <w:rPr>
                <w:rFonts w:ascii="Verdana" w:hAnsi="Verdana"/>
                <w:sz w:val="20"/>
                <w:szCs w:val="20"/>
              </w:rPr>
              <w:t>Décision</w:t>
            </w:r>
          </w:p>
        </w:tc>
      </w:tr>
      <w:tr w:rsidR="00036454" w14:paraId="65498DEB" w14:textId="77777777">
        <w:tc>
          <w:tcPr>
            <w:tcW w:w="9062" w:type="dxa"/>
            <w:gridSpan w:val="2"/>
            <w:tcBorders>
              <w:top w:val="single" w:sz="4" w:space="0" w:color="000000"/>
              <w:left w:val="single" w:sz="4" w:space="0" w:color="000000"/>
              <w:bottom w:val="single" w:sz="4" w:space="0" w:color="000000"/>
              <w:right w:val="single" w:sz="4" w:space="0" w:color="000000"/>
            </w:tcBorders>
          </w:tcPr>
          <w:p w14:paraId="4CA15BBF" w14:textId="1D45B0C8" w:rsidR="00036454" w:rsidRDefault="00036454">
            <w:pPr>
              <w:pStyle w:val="Normal1"/>
              <w:spacing w:after="0" w:line="100" w:lineRule="atLeast"/>
            </w:pPr>
            <w:r>
              <w:rPr>
                <w:rStyle w:val="Policepardfaut1"/>
                <w:rFonts w:ascii="Verdana" w:hAnsi="Verdana"/>
                <w:i/>
                <w:iCs/>
                <w:sz w:val="20"/>
                <w:szCs w:val="20"/>
              </w:rPr>
              <w:t xml:space="preserve">Version du </w:t>
            </w:r>
            <w:r w:rsidR="000531CE">
              <w:rPr>
                <w:rStyle w:val="Policepardfaut1"/>
                <w:rFonts w:ascii="Verdana" w:hAnsi="Verdana"/>
                <w:i/>
                <w:iCs/>
                <w:sz w:val="20"/>
                <w:szCs w:val="20"/>
              </w:rPr>
              <w:t>07/05/2026</w:t>
            </w:r>
          </w:p>
        </w:tc>
      </w:tr>
    </w:tbl>
    <w:p w14:paraId="51D660EA" w14:textId="77777777" w:rsidR="00036454" w:rsidRDefault="00036454">
      <w:pPr>
        <w:pStyle w:val="Paragraphe"/>
      </w:pPr>
      <w:bookmarkStart w:id="0" w:name="_Hlk24535240"/>
    </w:p>
    <w:p w14:paraId="2850C41B" w14:textId="77777777" w:rsidR="00036454" w:rsidRDefault="00036454">
      <w:pPr>
        <w:pStyle w:val="Titrepartie"/>
      </w:pPr>
      <w:r>
        <w:t>Résumé</w:t>
      </w:r>
    </w:p>
    <w:p w14:paraId="31A65A0F" w14:textId="2255BE59" w:rsidR="00160D0B" w:rsidRDefault="00160D0B" w:rsidP="00160D0B">
      <w:pPr>
        <w:pStyle w:val="Paragraphe"/>
      </w:pPr>
      <w:r>
        <w:t>L’année 2025 a marqué la première année de mise en œuvre effective du projet « Sécurité sanitaire dans l’Indopacifique », avec des résultats opérationnels significatifs malgré des contraintes initiales de mobilisation des ressources humaines. Le projet a permis de renforcer les capacités régionales à travers des appuis techniques, des formations, des interventions d’urgence lors d’épidémies et des actions de partage d’expertise entre États membres.</w:t>
      </w:r>
    </w:p>
    <w:p w14:paraId="581EAC62" w14:textId="77777777" w:rsidR="00160D0B" w:rsidRDefault="00160D0B" w:rsidP="00160D0B">
      <w:pPr>
        <w:pStyle w:val="Paragraphe"/>
      </w:pPr>
      <w:r>
        <w:t xml:space="preserve">Des avancées importantes ont été enregistrées sur les principales composantes du réseau SEGA-One Health, notamment les laboratoires, la surveillance, la riposte et le climat-santé. Le Fonds SEGA-One Health progresse dans son opérationnalisation mais reste conditionné à la mobilisation complète des contributions des États membres, dans un contexte international de raréfaction des financements. </w:t>
      </w:r>
    </w:p>
    <w:p w14:paraId="56FB81CC" w14:textId="1383495D" w:rsidR="00036454" w:rsidRDefault="00160D0B" w:rsidP="00160D0B">
      <w:pPr>
        <w:pStyle w:val="Paragraphe"/>
      </w:pPr>
      <w:r>
        <w:t xml:space="preserve">La mobilisation de ressources complémentaires et le renforcement des partenariats constituent des leviers stratégiques, notamment à travers de nouveaux projets structurants. </w:t>
      </w:r>
    </w:p>
    <w:p w14:paraId="1E7C3DAD" w14:textId="61562111" w:rsidR="000529CB" w:rsidRDefault="000529CB" w:rsidP="00160D0B">
      <w:pPr>
        <w:pStyle w:val="Titrepartie"/>
      </w:pPr>
      <w:r>
        <w:t>Etat d’avancement</w:t>
      </w:r>
    </w:p>
    <w:p w14:paraId="09AF5624" w14:textId="77777777" w:rsidR="00036454" w:rsidRDefault="00036454">
      <w:pPr>
        <w:pStyle w:val="Sous-partie2"/>
        <w:numPr>
          <w:ilvl w:val="1"/>
          <w:numId w:val="1"/>
        </w:numPr>
        <w:ind w:left="1077" w:firstLine="0"/>
        <w:rPr>
          <w:color w:val="auto"/>
        </w:rPr>
      </w:pPr>
      <w:r>
        <w:t xml:space="preserve">Projet Sécurité Sanitaire dans </w:t>
      </w:r>
      <w:proofErr w:type="spellStart"/>
      <w:r>
        <w:t>l’IndoPacifique</w:t>
      </w:r>
      <w:proofErr w:type="spellEnd"/>
      <w:r>
        <w:t xml:space="preserve"> (SSIP)</w:t>
      </w:r>
    </w:p>
    <w:p w14:paraId="26884D31" w14:textId="5BBB73EC" w:rsidR="00036454" w:rsidRDefault="000529CB">
      <w:pPr>
        <w:pStyle w:val="Sous-partie2"/>
        <w:tabs>
          <w:tab w:val="clear" w:pos="66"/>
        </w:tabs>
        <w:ind w:left="0" w:firstLine="0"/>
        <w:rPr>
          <w:color w:val="auto"/>
        </w:rPr>
      </w:pPr>
      <w:r>
        <w:rPr>
          <w:color w:val="auto"/>
        </w:rPr>
        <w:t>L</w:t>
      </w:r>
      <w:r w:rsidR="00036454">
        <w:rPr>
          <w:color w:val="auto"/>
        </w:rPr>
        <w:t xml:space="preserve">e projet a réalisé des résultats significatifs, avec </w:t>
      </w:r>
      <w:r w:rsidR="00036454" w:rsidRPr="00DF41E8">
        <w:rPr>
          <w:b/>
          <w:bCs/>
          <w:color w:val="auto"/>
        </w:rPr>
        <w:t>75 appuis techniques réalisés</w:t>
      </w:r>
      <w:r w:rsidR="00036454">
        <w:rPr>
          <w:color w:val="auto"/>
        </w:rPr>
        <w:t xml:space="preserve"> dans les États membres et </w:t>
      </w:r>
      <w:r w:rsidR="00036454" w:rsidRPr="00DF41E8">
        <w:rPr>
          <w:b/>
          <w:bCs/>
          <w:color w:val="auto"/>
        </w:rPr>
        <w:t>82 initiatives de partage d’information et d’expertise et des appuis</w:t>
      </w:r>
      <w:r w:rsidR="00036454">
        <w:rPr>
          <w:color w:val="auto"/>
        </w:rPr>
        <w:t xml:space="preserve"> à la riposte aux épidémies</w:t>
      </w:r>
      <w:r w:rsidR="001665E4">
        <w:rPr>
          <w:color w:val="auto"/>
        </w:rPr>
        <w:t>.</w:t>
      </w:r>
    </w:p>
    <w:p w14:paraId="5606076C" w14:textId="77777777" w:rsidR="00036454" w:rsidRDefault="00036454" w:rsidP="00E84D52">
      <w:pPr>
        <w:pStyle w:val="Sous-partie2"/>
        <w:tabs>
          <w:tab w:val="clear" w:pos="66"/>
        </w:tabs>
        <w:ind w:left="0" w:firstLine="0"/>
        <w:rPr>
          <w:color w:val="auto"/>
        </w:rPr>
      </w:pPr>
      <w:r>
        <w:rPr>
          <w:color w:val="auto"/>
        </w:rPr>
        <w:t>Sur le plan thématique, des avancées ont été enregistrées sur l’ensemble des axes :</w:t>
      </w:r>
    </w:p>
    <w:p w14:paraId="2DBC4A5B" w14:textId="09190C17" w:rsidR="000529CB" w:rsidRDefault="000529CB">
      <w:pPr>
        <w:pStyle w:val="Sous-partie2"/>
        <w:numPr>
          <w:ilvl w:val="0"/>
          <w:numId w:val="2"/>
        </w:numPr>
        <w:rPr>
          <w:color w:val="auto"/>
        </w:rPr>
      </w:pPr>
      <w:r>
        <w:rPr>
          <w:color w:val="auto"/>
        </w:rPr>
        <w:t xml:space="preserve">Axe laboratoire : </w:t>
      </w:r>
      <w:r w:rsidRPr="000529CB">
        <w:rPr>
          <w:color w:val="auto"/>
        </w:rPr>
        <w:t xml:space="preserve">les capacités de diagnostic ont été renforcées dans tous les </w:t>
      </w:r>
      <w:r w:rsidR="00F570A7">
        <w:rPr>
          <w:color w:val="auto"/>
        </w:rPr>
        <w:t>Etats membres</w:t>
      </w:r>
      <w:r w:rsidRPr="000529CB">
        <w:rPr>
          <w:color w:val="auto"/>
        </w:rPr>
        <w:t xml:space="preserve">, notamment pour des maladies prioritaires comme la dengue et le chikungunya. La standardisation des méthodes et le partage de certains réactifs entre </w:t>
      </w:r>
      <w:r w:rsidR="00F570A7">
        <w:rPr>
          <w:color w:val="auto"/>
        </w:rPr>
        <w:t>Etats</w:t>
      </w:r>
      <w:r w:rsidRPr="000529CB">
        <w:rPr>
          <w:color w:val="auto"/>
        </w:rPr>
        <w:t xml:space="preserve"> ont amélioré la coopération régionale et la rapidité de réponse aux épidémies.</w:t>
      </w:r>
      <w:r>
        <w:rPr>
          <w:color w:val="auto"/>
        </w:rPr>
        <w:t xml:space="preserve"> </w:t>
      </w:r>
    </w:p>
    <w:p w14:paraId="4057A409" w14:textId="43458ED4" w:rsidR="00036454" w:rsidRDefault="000529CB">
      <w:pPr>
        <w:pStyle w:val="Sous-partie2"/>
        <w:numPr>
          <w:ilvl w:val="0"/>
          <w:numId w:val="2"/>
        </w:numPr>
        <w:rPr>
          <w:color w:val="auto"/>
        </w:rPr>
      </w:pPr>
      <w:r>
        <w:rPr>
          <w:color w:val="auto"/>
        </w:rPr>
        <w:t>Axe</w:t>
      </w:r>
      <w:r w:rsidR="00036454">
        <w:rPr>
          <w:color w:val="auto"/>
        </w:rPr>
        <w:t xml:space="preserve"> climat-santé</w:t>
      </w:r>
      <w:r>
        <w:rPr>
          <w:color w:val="auto"/>
        </w:rPr>
        <w:t> : Les</w:t>
      </w:r>
      <w:r w:rsidR="00036454">
        <w:rPr>
          <w:color w:val="auto"/>
        </w:rPr>
        <w:t xml:space="preserve"> bases d’un système d’alerte précoce (EWARS)</w:t>
      </w:r>
      <w:r>
        <w:rPr>
          <w:color w:val="auto"/>
        </w:rPr>
        <w:t xml:space="preserve"> ont été posés</w:t>
      </w:r>
      <w:r w:rsidR="00036454">
        <w:rPr>
          <w:color w:val="auto"/>
        </w:rPr>
        <w:t xml:space="preserve">, avec la consolidation de l’outil et une avancée de la consultation des services météorologiques et pour l’intégration des données climatiques dans le dispositif. </w:t>
      </w:r>
    </w:p>
    <w:p w14:paraId="296BD70F" w14:textId="32F89543" w:rsidR="000529CB" w:rsidRDefault="000529CB">
      <w:pPr>
        <w:pStyle w:val="Sous-partie2"/>
        <w:numPr>
          <w:ilvl w:val="0"/>
          <w:numId w:val="2"/>
        </w:numPr>
        <w:rPr>
          <w:color w:val="auto"/>
        </w:rPr>
      </w:pPr>
      <w:r w:rsidRPr="000529CB">
        <w:rPr>
          <w:color w:val="auto"/>
        </w:rPr>
        <w:t xml:space="preserve">Axe surveillance et formation : les systèmes de surveillance ont gagné en réactivité, notamment grâce à la surveillance basée sur les événements dans certains </w:t>
      </w:r>
      <w:r w:rsidR="00F570A7">
        <w:rPr>
          <w:color w:val="auto"/>
        </w:rPr>
        <w:t>Etats membres</w:t>
      </w:r>
      <w:r w:rsidRPr="000529CB">
        <w:rPr>
          <w:color w:val="auto"/>
        </w:rPr>
        <w:t>. Le programme de formation avancée en épidémiologie de terrain (Master FETP One Health) a permis de former une première cohorte de spécialistes, diplômée en mars 2026, désormais mobilisable dans les États pour appuyer les enquêtes et la gestion des épidémies.</w:t>
      </w:r>
    </w:p>
    <w:p w14:paraId="25308345" w14:textId="057404E4" w:rsidR="000529CB" w:rsidRPr="000529CB" w:rsidRDefault="000529CB" w:rsidP="000529CB">
      <w:pPr>
        <w:pStyle w:val="Sous-partie2"/>
        <w:numPr>
          <w:ilvl w:val="0"/>
          <w:numId w:val="2"/>
        </w:numPr>
        <w:rPr>
          <w:color w:val="auto"/>
        </w:rPr>
      </w:pPr>
      <w:r w:rsidRPr="000529CB">
        <w:rPr>
          <w:color w:val="auto"/>
        </w:rPr>
        <w:t>Axe riposte : le réseau a appuyé une dizaine d’interventions lors d’épidémies majeures (peste, rage, dengue, chikungunya, entre autres), renforçant la capacité des États à répondre rapidement et de manière coordonnée aux crises sanitaires.</w:t>
      </w:r>
    </w:p>
    <w:p w14:paraId="5A27C51C" w14:textId="77777777" w:rsidR="000529CB" w:rsidRDefault="000529CB" w:rsidP="000529CB">
      <w:pPr>
        <w:pStyle w:val="Sous-partie2"/>
        <w:tabs>
          <w:tab w:val="clear" w:pos="66"/>
        </w:tabs>
        <w:ind w:left="426" w:firstLine="0"/>
        <w:rPr>
          <w:color w:val="auto"/>
        </w:rPr>
      </w:pPr>
      <w:r w:rsidRPr="000529CB">
        <w:rPr>
          <w:color w:val="auto"/>
        </w:rPr>
        <w:lastRenderedPageBreak/>
        <w:t xml:space="preserve">• Renforcement des capacités : </w:t>
      </w:r>
      <w:r w:rsidRPr="00DF41E8">
        <w:rPr>
          <w:b/>
          <w:bCs/>
          <w:color w:val="auto"/>
        </w:rPr>
        <w:t>32 formations ont été réalisées au bénéfice de 923 professionnels</w:t>
      </w:r>
      <w:r w:rsidRPr="000529CB">
        <w:rPr>
          <w:color w:val="auto"/>
        </w:rPr>
        <w:t>, contribuant à diffuser les compétences dans les services de santé humaine, animale et environnementale.</w:t>
      </w:r>
    </w:p>
    <w:p w14:paraId="3C20C88C" w14:textId="70F2527D" w:rsidR="00036454" w:rsidRDefault="000529CB" w:rsidP="000529CB">
      <w:pPr>
        <w:pStyle w:val="Sous-partie2"/>
        <w:tabs>
          <w:tab w:val="clear" w:pos="66"/>
        </w:tabs>
        <w:ind w:left="0" w:firstLine="0"/>
        <w:rPr>
          <w:color w:val="auto"/>
        </w:rPr>
      </w:pPr>
      <w:r>
        <w:rPr>
          <w:color w:val="auto"/>
        </w:rPr>
        <w:t>Enfin, le</w:t>
      </w:r>
      <w:r w:rsidR="00036454">
        <w:rPr>
          <w:color w:val="auto"/>
        </w:rPr>
        <w:t xml:space="preserve"> projet a également contribué à la dynamique internationale à travers la participation au One Health Summit organisé en France par le président Macron, tandis que l’organisation d’un forum régional One Health à Maurice, labellisé « Festival One Health</w:t>
      </w:r>
      <w:r w:rsidR="00DF41E8">
        <w:rPr>
          <w:color w:val="auto"/>
        </w:rPr>
        <w:t> »</w:t>
      </w:r>
      <w:r w:rsidR="00036454">
        <w:rPr>
          <w:color w:val="auto"/>
        </w:rPr>
        <w:t xml:space="preserve"> en lien avec ce sommet, a permis de renforcer la notoriété scientifique, la visibilité régionale et internationale du réseau et du projet SSIP.</w:t>
      </w:r>
    </w:p>
    <w:p w14:paraId="67C1A51F" w14:textId="77777777" w:rsidR="00036454" w:rsidRDefault="00036454">
      <w:pPr>
        <w:pStyle w:val="Sous-partie2"/>
        <w:numPr>
          <w:ilvl w:val="1"/>
          <w:numId w:val="1"/>
        </w:numPr>
      </w:pPr>
      <w:r>
        <w:t>Fonds SEGA et Unité de coordination</w:t>
      </w:r>
    </w:p>
    <w:p w14:paraId="0AE88B87" w14:textId="77777777" w:rsidR="00036454" w:rsidRDefault="00036454">
      <w:pPr>
        <w:pStyle w:val="Paragraphe"/>
      </w:pPr>
      <w:r>
        <w:t xml:space="preserve">À la suite de l’adoption des Statuts du Fonds SEGA One Health lors du 39ème Conseil des ministres, le processus d’opérationnalisation se poursuit progressivement. </w:t>
      </w:r>
      <w:r w:rsidRPr="00DF41E8">
        <w:rPr>
          <w:b/>
          <w:bCs/>
        </w:rPr>
        <w:t>Ce Fonds constitue un levier stratégique pour la pérennisation du réseau SEGA-One Health</w:t>
      </w:r>
      <w:r>
        <w:t>, en permettant de doter la région d’une capacité de coordination autonome, de mobiliser des financements complémentaires (notamment via des réponses à des appels à projets) et de soutenir de manière durable les actions de prévention, préparation et riposte face aux menaces sanitaires.</w:t>
      </w:r>
    </w:p>
    <w:p w14:paraId="5993E66C" w14:textId="040FC5C8" w:rsidR="006F1C65" w:rsidRPr="006F1C65" w:rsidRDefault="006F1C65" w:rsidP="006F1C65">
      <w:pPr>
        <w:pStyle w:val="Paragraphe"/>
      </w:pPr>
      <w:r w:rsidRPr="006F1C65">
        <w:t>Des avancées sont observées dans la mobilisation des contributions au Fonds SEGA-One Health. Maurice a déjà contribué via les secteurs de la santé humaine et animale, et la France, par le ministère de l’Agriculture, a également apporté une contribution.</w:t>
      </w:r>
      <w:r>
        <w:t xml:space="preserve"> </w:t>
      </w:r>
      <w:r w:rsidRPr="006F1C65">
        <w:t>À Madagascar, les échanges progressent avec une volonté de contribution conjointe des secteurs de l’élevage et de l’agriculture au niveau national.</w:t>
      </w:r>
      <w:r>
        <w:t xml:space="preserve"> </w:t>
      </w:r>
      <w:r w:rsidRPr="006F1C65">
        <w:t>Les Comores envisagent une contribution en nature, en cours de définition, tandis qu’aux Seychelles le processus a été relancé et fait l’objet d’un suivi rapproché en vue de sa finalisation.</w:t>
      </w:r>
    </w:p>
    <w:p w14:paraId="70931FE3" w14:textId="77777777" w:rsidR="00D9566A" w:rsidRDefault="00D9566A" w:rsidP="00D9566A">
      <w:pPr>
        <w:pStyle w:val="Paragraphe"/>
      </w:pPr>
      <w:r>
        <w:t>Dans le contexte actuel de forte concurrence internationale pour les financements et de réduction des ressources disponibles, l’opérationnalisation complète du Fonds est un enjeu critique. Sans contributions consolidées de l’ensemble des États membres, des fonctions essentielles du réseau ne pourront pas être mises en place.</w:t>
      </w:r>
    </w:p>
    <w:p w14:paraId="573B3469" w14:textId="77777777" w:rsidR="00D9566A" w:rsidRDefault="00D9566A" w:rsidP="00D9566A">
      <w:pPr>
        <w:pStyle w:val="Paragraphe"/>
      </w:pPr>
      <w:r>
        <w:t>En particulier, le Fonds conditionne directement le recrutement d’un coordonnateur régional du réseau SEGA-One Health. Ce poste est stratégique car il permettra d’assurer la coordination technique régionale, le montage de nouveaux projets, la réponse aux appels à projets internationaux et la recherche active de financements complémentaires. En l’absence de ce poste, la capacité du réseau à répondre efficacement et de manière proactive aux besoins des États membres serait fortement limitée, notamment dans un contexte de multiplication des sollicitations et de raréfaction des ressources.</w:t>
      </w:r>
    </w:p>
    <w:p w14:paraId="76BE7CE7" w14:textId="15567E2F" w:rsidR="00E84D52" w:rsidRDefault="00D9566A" w:rsidP="00D9566A">
      <w:pPr>
        <w:pStyle w:val="Paragraphe"/>
      </w:pPr>
      <w:r>
        <w:t xml:space="preserve">Le Secrétariat général poursuit donc les actions de dialogue avec les États membres et prépare la tenue de la </w:t>
      </w:r>
      <w:r w:rsidRPr="00DF41E8">
        <w:rPr>
          <w:b/>
          <w:bCs/>
        </w:rPr>
        <w:t>première réunion du Conseil d’administration du Fonds en 2026</w:t>
      </w:r>
      <w:r>
        <w:t>, étape clé pour son opérationnalisation effective.</w:t>
      </w:r>
    </w:p>
    <w:p w14:paraId="04CAB331" w14:textId="77777777" w:rsidR="00036454" w:rsidRDefault="00036454">
      <w:pPr>
        <w:pStyle w:val="Sous-partie2"/>
        <w:numPr>
          <w:ilvl w:val="1"/>
          <w:numId w:val="1"/>
        </w:numPr>
        <w:rPr>
          <w:shd w:val="clear" w:color="auto" w:fill="FFFFFF"/>
        </w:rPr>
      </w:pPr>
      <w:r>
        <w:t>Soumission d’un projet stratégique régional sur les maladies non transmissibles (FRESH)</w:t>
      </w:r>
    </w:p>
    <w:p w14:paraId="0FEFDEF3" w14:textId="77777777" w:rsidR="00D9566A" w:rsidRPr="00D9566A" w:rsidRDefault="00D9566A" w:rsidP="00D9566A">
      <w:pPr>
        <w:pStyle w:val="Normal1"/>
        <w:jc w:val="both"/>
        <w:rPr>
          <w:rFonts w:ascii="Verdana" w:hAnsi="Verdana"/>
          <w:sz w:val="20"/>
          <w:szCs w:val="20"/>
          <w:shd w:val="clear" w:color="auto" w:fill="FFFFFF"/>
        </w:rPr>
      </w:pPr>
      <w:r w:rsidRPr="00D9566A">
        <w:rPr>
          <w:rFonts w:ascii="Verdana" w:hAnsi="Verdana"/>
          <w:sz w:val="20"/>
          <w:szCs w:val="20"/>
          <w:shd w:val="clear" w:color="auto" w:fill="FFFFFF"/>
        </w:rPr>
        <w:t xml:space="preserve">Dans le cadre de la stratégie de mobilisation de financements, </w:t>
      </w:r>
      <w:r w:rsidRPr="00DF41E8">
        <w:rPr>
          <w:rFonts w:ascii="Verdana" w:hAnsi="Verdana"/>
          <w:b/>
          <w:bCs/>
          <w:sz w:val="20"/>
          <w:szCs w:val="20"/>
          <w:shd w:val="clear" w:color="auto" w:fill="FFFFFF"/>
        </w:rPr>
        <w:t xml:space="preserve">le projet FRESH (Food </w:t>
      </w:r>
      <w:proofErr w:type="spellStart"/>
      <w:r w:rsidRPr="00DF41E8">
        <w:rPr>
          <w:rFonts w:ascii="Verdana" w:hAnsi="Verdana"/>
          <w:b/>
          <w:bCs/>
          <w:sz w:val="20"/>
          <w:szCs w:val="20"/>
          <w:shd w:val="clear" w:color="auto" w:fill="FFFFFF"/>
        </w:rPr>
        <w:t>Resilience</w:t>
      </w:r>
      <w:proofErr w:type="spellEnd"/>
      <w:r w:rsidRPr="00DF41E8">
        <w:rPr>
          <w:rFonts w:ascii="Verdana" w:hAnsi="Verdana"/>
          <w:b/>
          <w:bCs/>
          <w:sz w:val="20"/>
          <w:szCs w:val="20"/>
          <w:shd w:val="clear" w:color="auto" w:fill="FFFFFF"/>
        </w:rPr>
        <w:t xml:space="preserve"> </w:t>
      </w:r>
      <w:proofErr w:type="spellStart"/>
      <w:r w:rsidRPr="00DF41E8">
        <w:rPr>
          <w:rFonts w:ascii="Verdana" w:hAnsi="Verdana"/>
          <w:b/>
          <w:bCs/>
          <w:sz w:val="20"/>
          <w:szCs w:val="20"/>
          <w:shd w:val="clear" w:color="auto" w:fill="FFFFFF"/>
        </w:rPr>
        <w:t>Empowering</w:t>
      </w:r>
      <w:proofErr w:type="spellEnd"/>
      <w:r w:rsidRPr="00DF41E8">
        <w:rPr>
          <w:rFonts w:ascii="Verdana" w:hAnsi="Verdana"/>
          <w:b/>
          <w:bCs/>
          <w:sz w:val="20"/>
          <w:szCs w:val="20"/>
          <w:shd w:val="clear" w:color="auto" w:fill="FFFFFF"/>
        </w:rPr>
        <w:t xml:space="preserve"> for </w:t>
      </w:r>
      <w:proofErr w:type="spellStart"/>
      <w:r w:rsidRPr="00DF41E8">
        <w:rPr>
          <w:rFonts w:ascii="Verdana" w:hAnsi="Verdana"/>
          <w:b/>
          <w:bCs/>
          <w:sz w:val="20"/>
          <w:szCs w:val="20"/>
          <w:shd w:val="clear" w:color="auto" w:fill="FFFFFF"/>
        </w:rPr>
        <w:t>Sustainable</w:t>
      </w:r>
      <w:proofErr w:type="spellEnd"/>
      <w:r w:rsidRPr="00DF41E8">
        <w:rPr>
          <w:rFonts w:ascii="Verdana" w:hAnsi="Verdana"/>
          <w:b/>
          <w:bCs/>
          <w:sz w:val="20"/>
          <w:szCs w:val="20"/>
          <w:shd w:val="clear" w:color="auto" w:fill="FFFFFF"/>
        </w:rPr>
        <w:t xml:space="preserve"> Health) a été élaboré et soumis à un appel européen</w:t>
      </w:r>
      <w:r w:rsidRPr="00D9566A">
        <w:rPr>
          <w:rFonts w:ascii="Verdana" w:hAnsi="Verdana"/>
          <w:sz w:val="20"/>
          <w:szCs w:val="20"/>
          <w:shd w:val="clear" w:color="auto" w:fill="FFFFFF"/>
        </w:rPr>
        <w:t xml:space="preserve"> très compétitif, Horizon Europe. </w:t>
      </w:r>
    </w:p>
    <w:p w14:paraId="0048BEAA" w14:textId="77777777" w:rsidR="00D9566A" w:rsidRPr="00D9566A" w:rsidRDefault="00D9566A" w:rsidP="00D9566A">
      <w:pPr>
        <w:pStyle w:val="Normal1"/>
        <w:jc w:val="both"/>
        <w:rPr>
          <w:rFonts w:ascii="Verdana" w:hAnsi="Verdana"/>
          <w:sz w:val="20"/>
          <w:szCs w:val="20"/>
          <w:shd w:val="clear" w:color="auto" w:fill="FFFFFF"/>
        </w:rPr>
      </w:pPr>
      <w:r w:rsidRPr="00D9566A">
        <w:rPr>
          <w:rFonts w:ascii="Verdana" w:hAnsi="Verdana"/>
          <w:sz w:val="20"/>
          <w:szCs w:val="20"/>
          <w:shd w:val="clear" w:color="auto" w:fill="FFFFFF"/>
        </w:rPr>
        <w:t>Ce projet porte sur le lien entre systèmes alimentaires et maladies non transmissibles, un enjeu majeur de santé publique dans la région. Il propose une approche intégrée combinant recherche scientifique, analyse des déterminants alimentaires et appui aux politiques publiques de prévention.</w:t>
      </w:r>
    </w:p>
    <w:p w14:paraId="01C71D95" w14:textId="75C07778" w:rsidR="00D9566A" w:rsidRPr="00D9566A" w:rsidRDefault="00D9566A" w:rsidP="00D9566A">
      <w:pPr>
        <w:pStyle w:val="Normal1"/>
        <w:jc w:val="both"/>
        <w:rPr>
          <w:rFonts w:ascii="Verdana" w:hAnsi="Verdana"/>
          <w:sz w:val="20"/>
          <w:szCs w:val="20"/>
          <w:shd w:val="clear" w:color="auto" w:fill="FFFFFF"/>
        </w:rPr>
      </w:pPr>
      <w:r w:rsidRPr="00D9566A">
        <w:rPr>
          <w:rFonts w:ascii="Verdana" w:hAnsi="Verdana"/>
          <w:sz w:val="20"/>
          <w:szCs w:val="20"/>
          <w:shd w:val="clear" w:color="auto" w:fill="FFFFFF"/>
        </w:rPr>
        <w:lastRenderedPageBreak/>
        <w:t>Le consortium associe plusieurs institutions de recherche internationales reconnues (</w:t>
      </w:r>
      <w:proofErr w:type="spellStart"/>
      <w:r w:rsidRPr="00D9566A">
        <w:rPr>
          <w:rFonts w:ascii="Verdana" w:hAnsi="Verdana"/>
          <w:sz w:val="20"/>
          <w:szCs w:val="20"/>
          <w:shd w:val="clear" w:color="auto" w:fill="FFFFFF"/>
        </w:rPr>
        <w:t>EpiMACT</w:t>
      </w:r>
      <w:proofErr w:type="spellEnd"/>
      <w:r w:rsidRPr="00D9566A">
        <w:rPr>
          <w:rFonts w:ascii="Verdana" w:hAnsi="Verdana"/>
          <w:sz w:val="20"/>
          <w:szCs w:val="20"/>
          <w:shd w:val="clear" w:color="auto" w:fill="FFFFFF"/>
        </w:rPr>
        <w:t xml:space="preserve"> (Unité d’Épidémiologie des Maladies Chroniques Tropicales), Swiss TPH (Swiss Tropical and Public Health Institute), </w:t>
      </w:r>
      <w:proofErr w:type="spellStart"/>
      <w:r w:rsidRPr="00D9566A">
        <w:rPr>
          <w:rFonts w:ascii="Verdana" w:hAnsi="Verdana"/>
          <w:sz w:val="20"/>
          <w:szCs w:val="20"/>
          <w:shd w:val="clear" w:color="auto" w:fill="FFFFFF"/>
        </w:rPr>
        <w:t>ISGlobal</w:t>
      </w:r>
      <w:proofErr w:type="spellEnd"/>
      <w:r w:rsidRPr="00D9566A">
        <w:rPr>
          <w:rFonts w:ascii="Verdana" w:hAnsi="Verdana"/>
          <w:sz w:val="20"/>
          <w:szCs w:val="20"/>
          <w:shd w:val="clear" w:color="auto" w:fill="FFFFFF"/>
        </w:rPr>
        <w:t xml:space="preserve"> (Barcelona Institute for Global Health), et la COI à travers le réseau SEGA-One Health. </w:t>
      </w:r>
      <w:r w:rsidRPr="00DF41E8">
        <w:rPr>
          <w:rFonts w:ascii="Verdana" w:hAnsi="Verdana"/>
          <w:b/>
          <w:bCs/>
          <w:sz w:val="20"/>
          <w:szCs w:val="20"/>
          <w:shd w:val="clear" w:color="auto" w:fill="FFFFFF"/>
        </w:rPr>
        <w:t>Le budget global est d’environ 4 millions d’euros, dont 1,8M€ serait gérée par la COI.</w:t>
      </w:r>
      <w:r w:rsidRPr="00D9566A">
        <w:rPr>
          <w:rFonts w:ascii="Verdana" w:hAnsi="Verdana"/>
          <w:sz w:val="20"/>
          <w:szCs w:val="20"/>
          <w:shd w:val="clear" w:color="auto" w:fill="FFFFFF"/>
        </w:rPr>
        <w:t xml:space="preserve"> Le projet inclut des activités de recherche appliquée, de renforcement des capacités et de production d’outils d’aide à la décision pour les États membres.</w:t>
      </w:r>
    </w:p>
    <w:p w14:paraId="2145F297" w14:textId="3A1437BD" w:rsidR="00036454" w:rsidRPr="00D9566A" w:rsidRDefault="00D9566A" w:rsidP="00D9566A">
      <w:pPr>
        <w:pStyle w:val="Normal1"/>
        <w:jc w:val="both"/>
        <w:rPr>
          <w:rFonts w:ascii="Verdana" w:hAnsi="Verdana"/>
          <w:sz w:val="20"/>
          <w:szCs w:val="20"/>
          <w:shd w:val="clear" w:color="auto" w:fill="FFFFFF"/>
        </w:rPr>
      </w:pPr>
      <w:r w:rsidRPr="00D9566A">
        <w:rPr>
          <w:rFonts w:ascii="Verdana" w:hAnsi="Verdana"/>
          <w:sz w:val="20"/>
          <w:szCs w:val="20"/>
          <w:shd w:val="clear" w:color="auto" w:fill="FFFFFF"/>
        </w:rPr>
        <w:t>FRESH constitue une opportunité stratégique pour renforcer la visibilité scientifique du réseau et sa capacité à accéder à des financements compétitifs. Il contribue également à la diversification des sources de financement du réseau dans un contexte de forte pression</w:t>
      </w:r>
      <w:r>
        <w:rPr>
          <w:rFonts w:ascii="Verdana" w:hAnsi="Verdana"/>
          <w:sz w:val="20"/>
          <w:szCs w:val="20"/>
          <w:shd w:val="clear" w:color="auto" w:fill="FFFFFF"/>
        </w:rPr>
        <w:t>.</w:t>
      </w:r>
      <w:r w:rsidR="006F1C65">
        <w:rPr>
          <w:rFonts w:ascii="Verdana" w:hAnsi="Verdana"/>
          <w:sz w:val="20"/>
          <w:szCs w:val="20"/>
          <w:shd w:val="clear" w:color="auto" w:fill="FFFFFF"/>
        </w:rPr>
        <w:t xml:space="preserve"> </w:t>
      </w:r>
      <w:r w:rsidR="00036454">
        <w:rPr>
          <w:rFonts w:ascii="Verdana" w:hAnsi="Verdana"/>
          <w:sz w:val="20"/>
          <w:szCs w:val="20"/>
          <w:shd w:val="clear" w:color="auto" w:fill="FFFFFF"/>
        </w:rPr>
        <w:t>D’autres réponses à appels à projets sont en préparation afin de consolider cette dynamique.</w:t>
      </w:r>
    </w:p>
    <w:p w14:paraId="08550509" w14:textId="77777777" w:rsidR="00036454" w:rsidRDefault="00036454">
      <w:pPr>
        <w:pStyle w:val="Sous-partie2"/>
        <w:numPr>
          <w:ilvl w:val="1"/>
          <w:numId w:val="1"/>
        </w:numPr>
      </w:pPr>
      <w:r>
        <w:t>Partenariats </w:t>
      </w:r>
    </w:p>
    <w:p w14:paraId="197B028B" w14:textId="77777777" w:rsidR="006F1C65" w:rsidRDefault="00036454" w:rsidP="006F1C65">
      <w:pPr>
        <w:pStyle w:val="Normal1"/>
        <w:jc w:val="both"/>
        <w:rPr>
          <w:rFonts w:ascii="Verdana" w:hAnsi="Verdana" w:cs="Calibri"/>
          <w:sz w:val="20"/>
          <w:szCs w:val="20"/>
        </w:rPr>
      </w:pPr>
      <w:r>
        <w:rPr>
          <w:rFonts w:ascii="Verdana" w:hAnsi="Verdana" w:cs="Calibri"/>
          <w:sz w:val="20"/>
          <w:szCs w:val="20"/>
        </w:rPr>
        <w:t>Le développement des partenariats est essentiel dans la mise en œuvre des activités du réseau SEGA-One Health et dans le processus de pérennisation</w:t>
      </w:r>
      <w:r w:rsidR="00D9566A">
        <w:rPr>
          <w:rFonts w:ascii="Verdana" w:hAnsi="Verdana" w:cs="Calibri"/>
          <w:sz w:val="20"/>
          <w:szCs w:val="20"/>
        </w:rPr>
        <w:t>.</w:t>
      </w:r>
      <w:r>
        <w:rPr>
          <w:rFonts w:ascii="Verdana" w:hAnsi="Verdana" w:cs="Calibri"/>
          <w:sz w:val="20"/>
          <w:szCs w:val="20"/>
        </w:rPr>
        <w:t xml:space="preserve"> </w:t>
      </w:r>
    </w:p>
    <w:p w14:paraId="6F18595F" w14:textId="205FE258" w:rsidR="00036454" w:rsidRPr="006F1C65" w:rsidRDefault="00036454" w:rsidP="006F1C65">
      <w:pPr>
        <w:pStyle w:val="Normal1"/>
        <w:jc w:val="both"/>
        <w:rPr>
          <w:rFonts w:ascii="Verdana" w:hAnsi="Verdana" w:cs="Calibri"/>
          <w:sz w:val="20"/>
          <w:szCs w:val="20"/>
        </w:rPr>
      </w:pPr>
      <w:r>
        <w:rPr>
          <w:rFonts w:ascii="Verdana" w:hAnsi="Verdana"/>
          <w:b/>
          <w:bCs/>
          <w:sz w:val="20"/>
          <w:szCs w:val="20"/>
          <w:u w:val="single"/>
          <w:shd w:val="clear" w:color="auto" w:fill="FFFFFF"/>
        </w:rPr>
        <w:t>Accord de collaboration entre la COI et l’OMSA</w:t>
      </w:r>
    </w:p>
    <w:p w14:paraId="39BCA833" w14:textId="43F91B97" w:rsidR="006F1C65" w:rsidRPr="006F1C65" w:rsidRDefault="006F1C65" w:rsidP="006F1C65">
      <w:pPr>
        <w:pStyle w:val="Normal1"/>
        <w:jc w:val="both"/>
        <w:rPr>
          <w:rFonts w:ascii="Verdana" w:hAnsi="Verdana"/>
          <w:sz w:val="20"/>
          <w:szCs w:val="20"/>
          <w:shd w:val="clear" w:color="auto" w:fill="FFFFFF"/>
        </w:rPr>
      </w:pPr>
      <w:r w:rsidRPr="006F1C65">
        <w:rPr>
          <w:rFonts w:ascii="Verdana" w:hAnsi="Verdana"/>
          <w:sz w:val="20"/>
          <w:szCs w:val="20"/>
          <w:shd w:val="clear" w:color="auto" w:fill="FFFFFF"/>
        </w:rPr>
        <w:t xml:space="preserve">Le </w:t>
      </w:r>
      <w:r w:rsidRPr="00DF41E8">
        <w:rPr>
          <w:rFonts w:ascii="Verdana" w:hAnsi="Verdana"/>
          <w:b/>
          <w:bCs/>
          <w:sz w:val="20"/>
          <w:szCs w:val="20"/>
          <w:shd w:val="clear" w:color="auto" w:fill="FFFFFF"/>
        </w:rPr>
        <w:t>partenariat entre la COI et l’Organisation mondiale de la santé animale (OMSA), engagé depuis 2016 et renouvelé en 2020, a démontré sa forte valeur ajoutée</w:t>
      </w:r>
      <w:r w:rsidRPr="006F1C65">
        <w:rPr>
          <w:rFonts w:ascii="Verdana" w:hAnsi="Verdana"/>
          <w:sz w:val="20"/>
          <w:szCs w:val="20"/>
          <w:shd w:val="clear" w:color="auto" w:fill="FFFFFF"/>
        </w:rPr>
        <w:t xml:space="preserve"> pour les États membres, tant sur le plan opérationnel que stratégique. Il a notamment permis des résultats concrets, comme la </w:t>
      </w:r>
      <w:r w:rsidRPr="00DF41E8">
        <w:rPr>
          <w:rFonts w:ascii="Verdana" w:hAnsi="Verdana"/>
          <w:b/>
          <w:bCs/>
          <w:sz w:val="20"/>
          <w:szCs w:val="20"/>
          <w:shd w:val="clear" w:color="auto" w:fill="FFFFFF"/>
        </w:rPr>
        <w:t>facilitation en 2019 de la donation de 100 000 doses de vaccins antirabiques pour chiens à Madagascar</w:t>
      </w:r>
      <w:r w:rsidRPr="006F1C65">
        <w:rPr>
          <w:rFonts w:ascii="Verdana" w:hAnsi="Verdana"/>
          <w:sz w:val="20"/>
          <w:szCs w:val="20"/>
          <w:shd w:val="clear" w:color="auto" w:fill="FFFFFF"/>
        </w:rPr>
        <w:t>, grâce au rôle d’interface joué par la Commission dans la coordination technique, logistique et la mobilisation des appuis internationaux.</w:t>
      </w:r>
    </w:p>
    <w:p w14:paraId="158D774F" w14:textId="77777777" w:rsidR="006F1C65" w:rsidRPr="006F1C65" w:rsidRDefault="006F1C65" w:rsidP="006F1C65">
      <w:pPr>
        <w:pStyle w:val="Normal1"/>
        <w:jc w:val="both"/>
        <w:rPr>
          <w:rFonts w:ascii="Verdana" w:hAnsi="Verdana"/>
          <w:sz w:val="20"/>
          <w:szCs w:val="20"/>
          <w:shd w:val="clear" w:color="auto" w:fill="FFFFFF"/>
        </w:rPr>
      </w:pPr>
      <w:r w:rsidRPr="006F1C65">
        <w:rPr>
          <w:rFonts w:ascii="Verdana" w:hAnsi="Verdana"/>
          <w:sz w:val="20"/>
          <w:szCs w:val="20"/>
          <w:shd w:val="clear" w:color="auto" w:fill="FFFFFF"/>
        </w:rPr>
        <w:t xml:space="preserve">Ce partenariat a également contribué au renforcement des capacités régionales, notamment à travers des </w:t>
      </w:r>
      <w:r w:rsidRPr="00DF41E8">
        <w:rPr>
          <w:rFonts w:ascii="Verdana" w:hAnsi="Verdana"/>
          <w:b/>
          <w:bCs/>
          <w:sz w:val="20"/>
          <w:szCs w:val="20"/>
          <w:shd w:val="clear" w:color="auto" w:fill="FFFFFF"/>
        </w:rPr>
        <w:t>formations spécialisées</w:t>
      </w:r>
      <w:r w:rsidRPr="006F1C65">
        <w:rPr>
          <w:rFonts w:ascii="Verdana" w:hAnsi="Verdana"/>
          <w:sz w:val="20"/>
          <w:szCs w:val="20"/>
          <w:shd w:val="clear" w:color="auto" w:fill="FFFFFF"/>
        </w:rPr>
        <w:t xml:space="preserve"> intégrées au programme régional de formation en épidémiologie de terrain, ainsi qu’à la structuration de la coopération entre secteurs de la santé humaine et animale. Des </w:t>
      </w:r>
      <w:r w:rsidRPr="00DF41E8">
        <w:rPr>
          <w:rFonts w:ascii="Verdana" w:hAnsi="Verdana"/>
          <w:b/>
          <w:bCs/>
          <w:sz w:val="20"/>
          <w:szCs w:val="20"/>
          <w:shd w:val="clear" w:color="auto" w:fill="FFFFFF"/>
        </w:rPr>
        <w:t>exercices de coordination intersectorielle ont été menés dans plusieurs États membres</w:t>
      </w:r>
      <w:r w:rsidRPr="006F1C65">
        <w:rPr>
          <w:rFonts w:ascii="Verdana" w:hAnsi="Verdana"/>
          <w:sz w:val="20"/>
          <w:szCs w:val="20"/>
          <w:shd w:val="clear" w:color="auto" w:fill="FFFFFF"/>
        </w:rPr>
        <w:t>, permettant de traduire concrètement l’approche intégrée dite « Une seule santé ».</w:t>
      </w:r>
    </w:p>
    <w:p w14:paraId="6F26CFD0" w14:textId="0400671D" w:rsidR="006F1C65" w:rsidRPr="006F1C65" w:rsidRDefault="006F1C65" w:rsidP="006F1C65">
      <w:pPr>
        <w:pStyle w:val="Normal1"/>
        <w:jc w:val="both"/>
        <w:rPr>
          <w:rFonts w:ascii="Verdana" w:hAnsi="Verdana"/>
          <w:sz w:val="20"/>
          <w:szCs w:val="20"/>
          <w:shd w:val="clear" w:color="auto" w:fill="FFFFFF"/>
        </w:rPr>
      </w:pPr>
      <w:r w:rsidRPr="006F1C65">
        <w:rPr>
          <w:rFonts w:ascii="Verdana" w:hAnsi="Verdana"/>
          <w:sz w:val="20"/>
          <w:szCs w:val="20"/>
          <w:shd w:val="clear" w:color="auto" w:fill="FFFFFF"/>
        </w:rPr>
        <w:t xml:space="preserve">Sur le plan opérationnel, cette coopération permet à la région de bénéficier plus directement des expertises techniques, des outils d’évaluation et des appuis de </w:t>
      </w:r>
      <w:r>
        <w:rPr>
          <w:rFonts w:ascii="Verdana" w:hAnsi="Verdana"/>
          <w:sz w:val="20"/>
          <w:szCs w:val="20"/>
          <w:shd w:val="clear" w:color="auto" w:fill="FFFFFF"/>
        </w:rPr>
        <w:t>l’OMSA</w:t>
      </w:r>
      <w:r w:rsidRPr="006F1C65">
        <w:rPr>
          <w:rFonts w:ascii="Verdana" w:hAnsi="Verdana"/>
          <w:sz w:val="20"/>
          <w:szCs w:val="20"/>
          <w:shd w:val="clear" w:color="auto" w:fill="FFFFFF"/>
        </w:rPr>
        <w:t>, notamment en matière de surveillance des maladies animales, de gestion des zoonoses et de renforcement des services vétérinaires. Elle constitue ainsi un levier important pour améliorer la prévention et la réponse aux risques sanitaires transfrontaliers.</w:t>
      </w:r>
    </w:p>
    <w:p w14:paraId="3EFF4EA8" w14:textId="71ED5CF6" w:rsidR="006F1C65" w:rsidRPr="006F1C65" w:rsidRDefault="006F1C65" w:rsidP="006F1C65">
      <w:pPr>
        <w:pStyle w:val="Normal1"/>
        <w:jc w:val="both"/>
        <w:rPr>
          <w:rFonts w:ascii="Verdana" w:hAnsi="Verdana"/>
          <w:sz w:val="20"/>
          <w:szCs w:val="20"/>
          <w:shd w:val="clear" w:color="auto" w:fill="FFFFFF"/>
        </w:rPr>
      </w:pPr>
      <w:r w:rsidRPr="006F1C65">
        <w:rPr>
          <w:rFonts w:ascii="Verdana" w:hAnsi="Verdana"/>
          <w:sz w:val="20"/>
          <w:szCs w:val="20"/>
          <w:shd w:val="clear" w:color="auto" w:fill="FFFFFF"/>
        </w:rPr>
        <w:t xml:space="preserve">Le renouvellement de cet accord apparaît donc essentiel pour consolider ces acquis, renforcer le rôle de la </w:t>
      </w:r>
      <w:r>
        <w:rPr>
          <w:rFonts w:ascii="Verdana" w:hAnsi="Verdana"/>
          <w:sz w:val="20"/>
          <w:szCs w:val="20"/>
          <w:shd w:val="clear" w:color="auto" w:fill="FFFFFF"/>
        </w:rPr>
        <w:t>COI</w:t>
      </w:r>
      <w:r w:rsidRPr="006F1C65">
        <w:rPr>
          <w:rFonts w:ascii="Verdana" w:hAnsi="Verdana"/>
          <w:sz w:val="20"/>
          <w:szCs w:val="20"/>
          <w:shd w:val="clear" w:color="auto" w:fill="FFFFFF"/>
        </w:rPr>
        <w:t xml:space="preserve"> comme interface régionale et faciliter l’accès des États membres à des appuis techniques de haut niveau, en particulier dans un contexte où les risques sanitaires nécessitent des réponses rapides et coordonnées.</w:t>
      </w:r>
    </w:p>
    <w:p w14:paraId="2EEAF22D" w14:textId="77777777" w:rsidR="00036454" w:rsidRPr="006F1C65" w:rsidRDefault="00036454">
      <w:pPr>
        <w:pStyle w:val="Normal1"/>
        <w:jc w:val="both"/>
        <w:rPr>
          <w:rFonts w:ascii="Verdana" w:hAnsi="Verdana"/>
          <w:sz w:val="20"/>
          <w:szCs w:val="20"/>
          <w:shd w:val="clear" w:color="auto" w:fill="FFFFFF"/>
        </w:rPr>
      </w:pPr>
      <w:r w:rsidRPr="006F1C65">
        <w:rPr>
          <w:rFonts w:ascii="Verdana" w:hAnsi="Verdana"/>
          <w:b/>
          <w:bCs/>
          <w:sz w:val="20"/>
          <w:szCs w:val="20"/>
          <w:u w:val="single"/>
          <w:shd w:val="clear" w:color="auto" w:fill="FFFFFF"/>
        </w:rPr>
        <w:t>Partenariat potentiel entre la COI et l’ANSES</w:t>
      </w:r>
    </w:p>
    <w:p w14:paraId="116E7103" w14:textId="03807695" w:rsidR="006F1C65" w:rsidRPr="006F1C65" w:rsidRDefault="006F1C65" w:rsidP="006F1C65">
      <w:pPr>
        <w:pStyle w:val="Normal1"/>
        <w:jc w:val="both"/>
        <w:rPr>
          <w:rFonts w:ascii="Verdana" w:hAnsi="Verdana"/>
          <w:sz w:val="20"/>
          <w:szCs w:val="20"/>
          <w:shd w:val="clear" w:color="auto" w:fill="FFFFFF"/>
        </w:rPr>
      </w:pPr>
      <w:r w:rsidRPr="006F1C65">
        <w:rPr>
          <w:rFonts w:ascii="Verdana" w:hAnsi="Verdana"/>
          <w:sz w:val="20"/>
          <w:szCs w:val="20"/>
          <w:shd w:val="clear" w:color="auto" w:fill="FFFFFF"/>
        </w:rPr>
        <w:t>Un partenariat est en cours de montage avec l’Agence nationale de sécurité sanitaire de l’alimentation, de l’environnement et du travail (France), qui est une référence scientifique en matière de santé animale, sécurité sanitaire des aliments et risques environnementaux.</w:t>
      </w:r>
    </w:p>
    <w:p w14:paraId="54F24672" w14:textId="77777777" w:rsidR="006F1C65" w:rsidRPr="006F1C65" w:rsidRDefault="006F1C65" w:rsidP="006F1C65">
      <w:pPr>
        <w:pStyle w:val="Normal1"/>
        <w:jc w:val="both"/>
        <w:rPr>
          <w:rFonts w:ascii="Verdana" w:hAnsi="Verdana"/>
          <w:sz w:val="20"/>
          <w:szCs w:val="20"/>
          <w:shd w:val="clear" w:color="auto" w:fill="FFFFFF"/>
        </w:rPr>
      </w:pPr>
      <w:r w:rsidRPr="006F1C65">
        <w:rPr>
          <w:rFonts w:ascii="Verdana" w:hAnsi="Verdana"/>
          <w:sz w:val="20"/>
          <w:szCs w:val="20"/>
          <w:shd w:val="clear" w:color="auto" w:fill="FFFFFF"/>
        </w:rPr>
        <w:t>Les premières collaborations ont déjà montré leur utilité, notamment pour des analyses de laboratoire dans le cadre de la fièvre aphteuse, permettant de sécuriser des diagnostics critiques pour les États membres.</w:t>
      </w:r>
    </w:p>
    <w:p w14:paraId="6D8572C1" w14:textId="77777777" w:rsidR="006F1C65" w:rsidRPr="006F1C65" w:rsidRDefault="006F1C65" w:rsidP="006F1C65">
      <w:pPr>
        <w:pStyle w:val="Normal1"/>
        <w:jc w:val="both"/>
        <w:rPr>
          <w:rFonts w:ascii="Verdana" w:hAnsi="Verdana"/>
          <w:sz w:val="20"/>
          <w:szCs w:val="20"/>
          <w:shd w:val="clear" w:color="auto" w:fill="FFFFFF"/>
        </w:rPr>
      </w:pPr>
      <w:r w:rsidRPr="006F1C65">
        <w:rPr>
          <w:rFonts w:ascii="Verdana" w:hAnsi="Verdana"/>
          <w:sz w:val="20"/>
          <w:szCs w:val="20"/>
          <w:shd w:val="clear" w:color="auto" w:fill="FFFFFF"/>
        </w:rPr>
        <w:lastRenderedPageBreak/>
        <w:t>Ce partenariat vise à renforcer l’accès à des expertises de haut niveau, à améliorer la qualité des analyses et de la surveillance, et à soutenir le développement du pilier environnement de l’approche « Une seule santé » dans la région.</w:t>
      </w:r>
    </w:p>
    <w:p w14:paraId="50EC2148" w14:textId="77777777" w:rsidR="00036454" w:rsidRDefault="00036454">
      <w:pPr>
        <w:pStyle w:val="Normal1"/>
        <w:jc w:val="both"/>
        <w:rPr>
          <w:rFonts w:ascii="Verdana" w:hAnsi="Verdana" w:cs="Calibri"/>
          <w:sz w:val="20"/>
          <w:szCs w:val="20"/>
        </w:rPr>
      </w:pPr>
    </w:p>
    <w:p w14:paraId="0DC597B5" w14:textId="77777777" w:rsidR="00036454" w:rsidRDefault="00036454">
      <w:pPr>
        <w:pStyle w:val="Titrepartie"/>
      </w:pPr>
      <w:r>
        <w:t>Proposition de décision</w:t>
      </w:r>
    </w:p>
    <w:p w14:paraId="7059B858" w14:textId="777C9FB0" w:rsidR="00036454" w:rsidRPr="000531CE" w:rsidRDefault="000531CE" w:rsidP="000531CE">
      <w:pPr>
        <w:spacing w:after="120" w:line="276" w:lineRule="auto"/>
        <w:jc w:val="both"/>
        <w:rPr>
          <w:rStyle w:val="Policepardfaut1"/>
          <w:rFonts w:eastAsia="Times New Roman" w:cs="Times New Roman"/>
          <w:color w:val="000000"/>
        </w:rPr>
      </w:pPr>
      <w:r w:rsidRPr="000531CE">
        <w:rPr>
          <w:rStyle w:val="Policepardfaut1"/>
          <w:rFonts w:ascii="Verdana" w:eastAsia="Times New Roman" w:hAnsi="Verdana" w:cs="Times New Roman"/>
          <w:color w:val="000000"/>
          <w:sz w:val="20"/>
          <w:szCs w:val="20"/>
        </w:rPr>
        <w:t xml:space="preserve">Le </w:t>
      </w:r>
      <w:r w:rsidR="00751562" w:rsidRPr="000531CE">
        <w:rPr>
          <w:rStyle w:val="Policepardfaut1"/>
          <w:rFonts w:ascii="Verdana" w:eastAsia="Times New Roman" w:hAnsi="Verdana" w:cs="Times New Roman"/>
          <w:color w:val="000000"/>
          <w:sz w:val="20"/>
          <w:szCs w:val="20"/>
        </w:rPr>
        <w:t xml:space="preserve">Conseil des ministres de : </w:t>
      </w:r>
      <w:r w:rsidR="00036454">
        <w:t xml:space="preserve"> </w:t>
      </w:r>
    </w:p>
    <w:p w14:paraId="33EDE5FF" w14:textId="6E89EF6D" w:rsidR="00036454" w:rsidRPr="00E84D52" w:rsidRDefault="00036454" w:rsidP="000531CE">
      <w:pPr>
        <w:pStyle w:val="Paragraphedeliste"/>
        <w:numPr>
          <w:ilvl w:val="1"/>
          <w:numId w:val="21"/>
        </w:numPr>
        <w:spacing w:after="120" w:line="276" w:lineRule="auto"/>
        <w:ind w:left="851"/>
        <w:jc w:val="both"/>
        <w:rPr>
          <w:rStyle w:val="Policepardfaut1"/>
          <w:rFonts w:ascii="Verdana" w:eastAsia="Times New Roman" w:hAnsi="Verdana" w:cs="Times New Roman"/>
          <w:color w:val="000000"/>
          <w:sz w:val="20"/>
          <w:szCs w:val="20"/>
        </w:rPr>
      </w:pPr>
      <w:r w:rsidRPr="00E84D52">
        <w:rPr>
          <w:rStyle w:val="Policepardfaut1"/>
          <w:rFonts w:ascii="Verdana" w:eastAsia="Times New Roman" w:hAnsi="Verdana" w:cs="Times New Roman"/>
          <w:color w:val="000000"/>
          <w:sz w:val="20"/>
          <w:szCs w:val="20"/>
        </w:rPr>
        <w:t xml:space="preserve">Encourage vivement les États membres n’ayant pas encore contribué à procéder, dans les meilleurs délais, à leurs contributions volontaires au Fonds SEGA-One Health en vue de son opérationnalisation, y compris de manière séquentielle par secteur si nécessaire, et </w:t>
      </w:r>
      <w:r w:rsidR="00DA05CF">
        <w:rPr>
          <w:rStyle w:val="Policepardfaut1"/>
          <w:rFonts w:ascii="Verdana" w:eastAsia="Times New Roman" w:hAnsi="Verdana" w:cs="Times New Roman"/>
          <w:color w:val="000000"/>
          <w:sz w:val="20"/>
          <w:szCs w:val="20"/>
        </w:rPr>
        <w:t>soutient</w:t>
      </w:r>
      <w:r w:rsidRPr="00E84D52">
        <w:rPr>
          <w:rStyle w:val="Policepardfaut1"/>
          <w:rFonts w:ascii="Verdana" w:eastAsia="Times New Roman" w:hAnsi="Verdana" w:cs="Times New Roman"/>
          <w:color w:val="000000"/>
          <w:sz w:val="20"/>
          <w:szCs w:val="20"/>
        </w:rPr>
        <w:t xml:space="preserve"> les démarches de suivi et de plaidoyer du Secrétariat général</w:t>
      </w:r>
      <w:r w:rsidR="004D37F3">
        <w:rPr>
          <w:rStyle w:val="Policepardfaut1"/>
          <w:rFonts w:ascii="Verdana" w:eastAsia="Times New Roman" w:hAnsi="Verdana" w:cs="Times New Roman"/>
          <w:color w:val="000000"/>
          <w:sz w:val="20"/>
          <w:szCs w:val="20"/>
        </w:rPr>
        <w:t> ;</w:t>
      </w:r>
    </w:p>
    <w:p w14:paraId="489D4692" w14:textId="4F95C956" w:rsidR="00036454" w:rsidRPr="00E84D52" w:rsidRDefault="008266CB" w:rsidP="000531CE">
      <w:pPr>
        <w:pStyle w:val="Paragraphedeliste"/>
        <w:numPr>
          <w:ilvl w:val="1"/>
          <w:numId w:val="21"/>
        </w:numPr>
        <w:spacing w:after="120" w:line="276" w:lineRule="auto"/>
        <w:ind w:left="851"/>
        <w:jc w:val="both"/>
        <w:rPr>
          <w:rStyle w:val="Policepardfaut1"/>
          <w:rFonts w:ascii="Verdana" w:eastAsia="Times New Roman" w:hAnsi="Verdana" w:cs="Times New Roman"/>
          <w:color w:val="000000"/>
          <w:sz w:val="20"/>
          <w:szCs w:val="20"/>
        </w:rPr>
      </w:pPr>
      <w:r>
        <w:rPr>
          <w:rStyle w:val="Policepardfaut1"/>
          <w:rFonts w:ascii="Verdana" w:eastAsia="Times New Roman" w:hAnsi="Verdana" w:cs="Times New Roman"/>
          <w:color w:val="000000"/>
          <w:sz w:val="20"/>
          <w:szCs w:val="20"/>
        </w:rPr>
        <w:t>Invite le Secrétariat général à organiser</w:t>
      </w:r>
      <w:r w:rsidR="00036454" w:rsidRPr="00E84D52">
        <w:rPr>
          <w:rStyle w:val="Policepardfaut1"/>
          <w:rFonts w:ascii="Verdana" w:eastAsia="Times New Roman" w:hAnsi="Verdana" w:cs="Times New Roman"/>
          <w:color w:val="000000"/>
          <w:sz w:val="20"/>
          <w:szCs w:val="20"/>
        </w:rPr>
        <w:t xml:space="preserve"> la première réunion du Conseil d’administration du Fonds SEGA-One Health</w:t>
      </w:r>
      <w:r w:rsidR="006464BE">
        <w:rPr>
          <w:rStyle w:val="Policepardfaut1"/>
          <w:rFonts w:ascii="Verdana" w:eastAsia="Times New Roman" w:hAnsi="Verdana" w:cs="Times New Roman"/>
          <w:color w:val="000000"/>
          <w:sz w:val="20"/>
          <w:szCs w:val="20"/>
        </w:rPr>
        <w:t xml:space="preserve"> au cours de cette année</w:t>
      </w:r>
      <w:r w:rsidR="00036454" w:rsidRPr="00E84D52">
        <w:rPr>
          <w:rStyle w:val="Policepardfaut1"/>
          <w:rFonts w:ascii="Verdana" w:eastAsia="Times New Roman" w:hAnsi="Verdana" w:cs="Times New Roman"/>
          <w:color w:val="000000"/>
          <w:sz w:val="20"/>
          <w:szCs w:val="20"/>
        </w:rPr>
        <w:t xml:space="preserve"> ;</w:t>
      </w:r>
    </w:p>
    <w:p w14:paraId="54A92E32" w14:textId="61C0E771" w:rsidR="00036454" w:rsidRPr="00E84D52" w:rsidRDefault="005F672F" w:rsidP="000531CE">
      <w:pPr>
        <w:pStyle w:val="Paragraphedeliste"/>
        <w:numPr>
          <w:ilvl w:val="1"/>
          <w:numId w:val="21"/>
        </w:numPr>
        <w:spacing w:after="120" w:line="276" w:lineRule="auto"/>
        <w:ind w:left="851"/>
        <w:jc w:val="both"/>
        <w:rPr>
          <w:rStyle w:val="Policepardfaut1"/>
          <w:rFonts w:ascii="Verdana" w:eastAsia="Times New Roman" w:hAnsi="Verdana" w:cs="Times New Roman"/>
          <w:color w:val="000000"/>
          <w:sz w:val="20"/>
          <w:szCs w:val="20"/>
        </w:rPr>
      </w:pPr>
      <w:r>
        <w:rPr>
          <w:rStyle w:val="Policepardfaut1"/>
          <w:rFonts w:ascii="Verdana" w:eastAsia="Times New Roman" w:hAnsi="Verdana" w:cs="Times New Roman"/>
          <w:color w:val="000000"/>
          <w:sz w:val="20"/>
          <w:szCs w:val="20"/>
        </w:rPr>
        <w:t>S</w:t>
      </w:r>
      <w:r w:rsidR="00294DF1">
        <w:rPr>
          <w:rStyle w:val="Policepardfaut1"/>
          <w:rFonts w:ascii="Verdana" w:eastAsia="Times New Roman" w:hAnsi="Verdana" w:cs="Times New Roman"/>
          <w:color w:val="000000"/>
          <w:sz w:val="20"/>
          <w:szCs w:val="20"/>
        </w:rPr>
        <w:t>outient</w:t>
      </w:r>
      <w:r>
        <w:rPr>
          <w:rStyle w:val="Policepardfaut1"/>
          <w:rFonts w:ascii="Verdana" w:eastAsia="Times New Roman" w:hAnsi="Verdana" w:cs="Times New Roman"/>
          <w:color w:val="000000"/>
          <w:sz w:val="20"/>
          <w:szCs w:val="20"/>
        </w:rPr>
        <w:t xml:space="preserve"> l</w:t>
      </w:r>
      <w:r w:rsidR="00D64DA6">
        <w:rPr>
          <w:rStyle w:val="Policepardfaut1"/>
          <w:rFonts w:ascii="Verdana" w:eastAsia="Times New Roman" w:hAnsi="Verdana" w:cs="Times New Roman"/>
          <w:color w:val="000000"/>
          <w:sz w:val="20"/>
          <w:szCs w:val="20"/>
        </w:rPr>
        <w:t>es efforts</w:t>
      </w:r>
      <w:r>
        <w:rPr>
          <w:rStyle w:val="Policepardfaut1"/>
          <w:rFonts w:ascii="Verdana" w:eastAsia="Times New Roman" w:hAnsi="Verdana" w:cs="Times New Roman"/>
          <w:color w:val="000000"/>
          <w:sz w:val="20"/>
          <w:szCs w:val="20"/>
        </w:rPr>
        <w:t xml:space="preserve"> de mobilisation de ressources du </w:t>
      </w:r>
      <w:r w:rsidR="00036454" w:rsidRPr="00E84D52">
        <w:rPr>
          <w:rStyle w:val="Policepardfaut1"/>
          <w:rFonts w:ascii="Verdana" w:eastAsia="Times New Roman" w:hAnsi="Verdana" w:cs="Times New Roman"/>
          <w:color w:val="000000"/>
          <w:sz w:val="20"/>
          <w:szCs w:val="20"/>
        </w:rPr>
        <w:t>Secrétariat général</w:t>
      </w:r>
      <w:r w:rsidR="00AC1E98" w:rsidRPr="00AC1E98">
        <w:rPr>
          <w:rStyle w:val="Policepardfaut1"/>
          <w:rFonts w:ascii="Verdana" w:eastAsia="Times New Roman" w:hAnsi="Verdana" w:cs="Times New Roman"/>
          <w:color w:val="000000"/>
          <w:sz w:val="20"/>
          <w:szCs w:val="20"/>
        </w:rPr>
        <w:t xml:space="preserve"> </w:t>
      </w:r>
      <w:r w:rsidR="00AC1E98">
        <w:rPr>
          <w:rStyle w:val="Policepardfaut1"/>
          <w:rFonts w:ascii="Verdana" w:eastAsia="Times New Roman" w:hAnsi="Verdana" w:cs="Times New Roman"/>
          <w:color w:val="000000"/>
          <w:sz w:val="20"/>
          <w:szCs w:val="20"/>
        </w:rPr>
        <w:t>en</w:t>
      </w:r>
      <w:r w:rsidR="00AC1E98" w:rsidRPr="00E84D52">
        <w:rPr>
          <w:rStyle w:val="Policepardfaut1"/>
          <w:rFonts w:ascii="Verdana" w:eastAsia="Times New Roman" w:hAnsi="Verdana" w:cs="Times New Roman"/>
          <w:color w:val="000000"/>
          <w:sz w:val="20"/>
          <w:szCs w:val="20"/>
        </w:rPr>
        <w:t xml:space="preserve"> réponse aux appels à projets</w:t>
      </w:r>
      <w:r>
        <w:rPr>
          <w:rStyle w:val="Policepardfaut1"/>
          <w:rFonts w:ascii="Verdana" w:eastAsia="Times New Roman" w:hAnsi="Verdana" w:cs="Times New Roman"/>
          <w:color w:val="000000"/>
          <w:sz w:val="20"/>
          <w:szCs w:val="20"/>
        </w:rPr>
        <w:t xml:space="preserve">, </w:t>
      </w:r>
      <w:r w:rsidR="00AC1E98">
        <w:rPr>
          <w:rStyle w:val="Policepardfaut1"/>
          <w:rFonts w:ascii="Verdana" w:eastAsia="Times New Roman" w:hAnsi="Verdana" w:cs="Times New Roman"/>
          <w:color w:val="000000"/>
          <w:sz w:val="20"/>
          <w:szCs w:val="20"/>
        </w:rPr>
        <w:t>comme en témoigne la soumission</w:t>
      </w:r>
      <w:r w:rsidR="00036454" w:rsidRPr="00E84D52">
        <w:rPr>
          <w:rStyle w:val="Policepardfaut1"/>
          <w:rFonts w:ascii="Verdana" w:eastAsia="Times New Roman" w:hAnsi="Verdana" w:cs="Times New Roman"/>
          <w:color w:val="000000"/>
          <w:sz w:val="20"/>
          <w:szCs w:val="20"/>
        </w:rPr>
        <w:t xml:space="preserve"> du projet FRESH</w:t>
      </w:r>
      <w:r w:rsidR="00DA05CF">
        <w:rPr>
          <w:rStyle w:val="Policepardfaut1"/>
          <w:rFonts w:ascii="Verdana" w:eastAsia="Times New Roman" w:hAnsi="Verdana" w:cs="Times New Roman"/>
          <w:color w:val="000000"/>
          <w:sz w:val="20"/>
          <w:szCs w:val="20"/>
        </w:rPr>
        <w:t> ;</w:t>
      </w:r>
    </w:p>
    <w:p w14:paraId="795E283A" w14:textId="407BC14D" w:rsidR="00036454" w:rsidRPr="00E84D52" w:rsidRDefault="00036454" w:rsidP="000531CE">
      <w:pPr>
        <w:pStyle w:val="Paragraphedeliste"/>
        <w:numPr>
          <w:ilvl w:val="1"/>
          <w:numId w:val="21"/>
        </w:numPr>
        <w:spacing w:after="120" w:line="276" w:lineRule="auto"/>
        <w:ind w:left="851"/>
        <w:jc w:val="both"/>
        <w:rPr>
          <w:rStyle w:val="Policepardfaut1"/>
          <w:rFonts w:ascii="Verdana" w:eastAsia="Times New Roman" w:hAnsi="Verdana" w:cs="Times New Roman"/>
          <w:color w:val="000000"/>
          <w:sz w:val="20"/>
          <w:szCs w:val="20"/>
        </w:rPr>
      </w:pPr>
      <w:r w:rsidRPr="00E84D52">
        <w:rPr>
          <w:rStyle w:val="Policepardfaut1"/>
          <w:rFonts w:ascii="Verdana" w:eastAsia="Times New Roman" w:hAnsi="Verdana" w:cs="Times New Roman"/>
          <w:color w:val="000000"/>
          <w:sz w:val="20"/>
          <w:szCs w:val="20"/>
        </w:rPr>
        <w:t>Donne son accord pour la signature de l’avenant relatif au renouvellement de l’Accord de coopération entre la COI et l’O</w:t>
      </w:r>
      <w:r w:rsidR="00817681">
        <w:rPr>
          <w:rStyle w:val="Policepardfaut1"/>
          <w:rFonts w:ascii="Verdana" w:eastAsia="Times New Roman" w:hAnsi="Verdana" w:cs="Times New Roman"/>
          <w:color w:val="000000"/>
          <w:sz w:val="20"/>
          <w:szCs w:val="20"/>
        </w:rPr>
        <w:t>rganisation mondiale de la santé animale (O</w:t>
      </w:r>
      <w:r w:rsidRPr="00E84D52">
        <w:rPr>
          <w:rStyle w:val="Policepardfaut1"/>
          <w:rFonts w:ascii="Verdana" w:eastAsia="Times New Roman" w:hAnsi="Verdana" w:cs="Times New Roman"/>
          <w:color w:val="000000"/>
          <w:sz w:val="20"/>
          <w:szCs w:val="20"/>
        </w:rPr>
        <w:t>MSA</w:t>
      </w:r>
      <w:r w:rsidR="00817681">
        <w:rPr>
          <w:rStyle w:val="Policepardfaut1"/>
          <w:rFonts w:ascii="Verdana" w:eastAsia="Times New Roman" w:hAnsi="Verdana" w:cs="Times New Roman"/>
          <w:color w:val="000000"/>
          <w:sz w:val="20"/>
          <w:szCs w:val="20"/>
        </w:rPr>
        <w:t>)</w:t>
      </w:r>
      <w:r w:rsidR="00751562">
        <w:rPr>
          <w:rStyle w:val="Policepardfaut1"/>
          <w:rFonts w:ascii="Verdana" w:eastAsia="Times New Roman" w:hAnsi="Verdana" w:cs="Times New Roman"/>
          <w:color w:val="000000"/>
          <w:sz w:val="20"/>
          <w:szCs w:val="20"/>
        </w:rPr>
        <w:t>.</w:t>
      </w:r>
    </w:p>
    <w:p w14:paraId="4D080E64" w14:textId="77777777" w:rsidR="00036454" w:rsidRDefault="00036454">
      <w:pPr>
        <w:pStyle w:val="Normal1"/>
        <w:spacing w:after="120" w:line="100" w:lineRule="atLeast"/>
        <w:jc w:val="both"/>
        <w:rPr>
          <w:rFonts w:ascii="Verdana" w:eastAsia="Times New Roman" w:hAnsi="Verdana" w:cs="Times New Roman"/>
          <w:color w:val="000000"/>
          <w:sz w:val="20"/>
          <w:szCs w:val="20"/>
        </w:rPr>
      </w:pPr>
    </w:p>
    <w:bookmarkEnd w:id="0"/>
    <w:p w14:paraId="0BD447BD" w14:textId="77777777" w:rsidR="00036454" w:rsidRDefault="00036454">
      <w:pPr>
        <w:pStyle w:val="Normal1"/>
        <w:rPr>
          <w:rFonts w:ascii="Verdana" w:hAnsi="Verdana"/>
          <w:b/>
          <w:bCs/>
          <w:i/>
          <w:iCs/>
          <w:sz w:val="20"/>
          <w:szCs w:val="20"/>
        </w:rPr>
      </w:pPr>
    </w:p>
    <w:p w14:paraId="69D0DD92" w14:textId="1A271F54" w:rsidR="00036454" w:rsidRDefault="00036454">
      <w:pPr>
        <w:pStyle w:val="Titrepartie"/>
      </w:pPr>
      <w:r>
        <w:t>Annexe </w:t>
      </w:r>
    </w:p>
    <w:p w14:paraId="0CD127EC" w14:textId="77777777" w:rsidR="007869CA" w:rsidRDefault="00D87C43">
      <w:pPr>
        <w:pStyle w:val="Paragraphe"/>
        <w:ind w:left="720"/>
      </w:pPr>
      <w:r>
        <w:t>Annexe 1 : Projet de convention COI -OMSA</w:t>
      </w:r>
    </w:p>
    <w:sectPr w:rsidR="007869CA" w:rsidSect="008F7A31">
      <w:headerReference w:type="default" r:id="rId7"/>
      <w:footerReference w:type="default" r:id="rId8"/>
      <w:pgSz w:w="11906" w:h="16838"/>
      <w:pgMar w:top="818" w:right="1417" w:bottom="1135" w:left="1417" w:header="426" w:footer="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D41C" w14:textId="77777777" w:rsidR="00877EF2" w:rsidRDefault="00877EF2">
      <w:pPr>
        <w:spacing w:after="0" w:line="240" w:lineRule="auto"/>
      </w:pPr>
      <w:r>
        <w:separator/>
      </w:r>
    </w:p>
  </w:endnote>
  <w:endnote w:type="continuationSeparator" w:id="0">
    <w:p w14:paraId="7BEEA4CB" w14:textId="77777777" w:rsidR="00877EF2" w:rsidRDefault="0087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7C18" w14:textId="77777777" w:rsidR="00036454" w:rsidRDefault="00036454" w:rsidP="00036454">
    <w:pPr>
      <w:pStyle w:val="Pieddepage"/>
      <w:pBdr>
        <w:top w:val="single" w:sz="4" w:space="1" w:color="E97132"/>
      </w:pBdr>
      <w:jc w:val="right"/>
    </w:pPr>
    <w:r>
      <w:fldChar w:fldCharType="begin"/>
    </w:r>
    <w:r>
      <w:instrText xml:space="preserve"> PAGE </w:instrText>
    </w:r>
    <w:r>
      <w:fldChar w:fldCharType="separate"/>
    </w:r>
    <w:r>
      <w:t>8</w:t>
    </w:r>
    <w:r>
      <w:fldChar w:fldCharType="end"/>
    </w:r>
  </w:p>
  <w:p w14:paraId="439974E4" w14:textId="77777777" w:rsidR="00036454" w:rsidRDefault="000364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8907" w14:textId="77777777" w:rsidR="00877EF2" w:rsidRDefault="00877EF2">
      <w:pPr>
        <w:spacing w:after="0" w:line="240" w:lineRule="auto"/>
      </w:pPr>
      <w:r>
        <w:separator/>
      </w:r>
    </w:p>
  </w:footnote>
  <w:footnote w:type="continuationSeparator" w:id="0">
    <w:p w14:paraId="287A01C1" w14:textId="77777777" w:rsidR="00877EF2" w:rsidRDefault="0087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F7A" w14:textId="7F7D6F73" w:rsidR="00036454" w:rsidRPr="006D584A" w:rsidRDefault="009D4930" w:rsidP="006D584A">
    <w:pPr>
      <w:pStyle w:val="En-tte"/>
      <w:pBdr>
        <w:bottom w:val="single" w:sz="4" w:space="1" w:color="0070C0"/>
      </w:pBdr>
      <w:tabs>
        <w:tab w:val="clear" w:pos="4536"/>
        <w:tab w:val="clear" w:pos="9072"/>
        <w:tab w:val="center" w:pos="0"/>
      </w:tabs>
      <w:rPr>
        <w:sz w:val="12"/>
        <w:szCs w:val="12"/>
      </w:rPr>
    </w:pPr>
    <w:r>
      <w:rPr>
        <w:rStyle w:val="Policepardfaut1"/>
        <w:i/>
        <w:iCs/>
        <w:noProof/>
      </w:rPr>
      <w:drawing>
        <wp:inline distT="0" distB="0" distL="0" distR="0" wp14:anchorId="6CBD663D" wp14:editId="1AB07B78">
          <wp:extent cx="1685925" cy="714375"/>
          <wp:effectExtent l="0" t="0" r="0" b="0"/>
          <wp:docPr id="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714375"/>
                  </a:xfrm>
                  <a:prstGeom prst="rect">
                    <a:avLst/>
                  </a:prstGeom>
                  <a:noFill/>
                  <a:ln>
                    <a:noFill/>
                  </a:ln>
                </pic:spPr>
              </pic:pic>
            </a:graphicData>
          </a:graphic>
        </wp:inline>
      </w:drawing>
    </w:r>
    <w:r w:rsidR="008F7A31">
      <w:rPr>
        <w:rStyle w:val="Policepardfaut1"/>
        <w:i/>
        <w:iCs/>
        <w:noProof/>
      </w:rPr>
      <w:tab/>
    </w:r>
    <w:r w:rsidR="008F7A31">
      <w:rPr>
        <w:rStyle w:val="Policepardfaut1"/>
        <w:i/>
        <w:iCs/>
        <w:noProof/>
      </w:rPr>
      <w:tab/>
    </w:r>
    <w:r w:rsidR="008F7A31">
      <w:rPr>
        <w:rStyle w:val="Policepardfaut1"/>
        <w:i/>
        <w:iCs/>
        <w:noProof/>
      </w:rPr>
      <w:tab/>
    </w:r>
    <w:r w:rsidR="008F7A31">
      <w:rPr>
        <w:rStyle w:val="Policepardfaut1"/>
        <w:i/>
        <w:iCs/>
        <w:noProof/>
      </w:rPr>
      <w:tab/>
    </w:r>
    <w:r w:rsidR="008F7A31">
      <w:rPr>
        <w:rStyle w:val="Policepardfaut1"/>
        <w:i/>
        <w:iCs/>
        <w:noProof/>
      </w:rPr>
      <w:tab/>
    </w:r>
    <w:r w:rsidR="008F7A31">
      <w:rPr>
        <w:rStyle w:val="Policepardfaut1"/>
        <w:i/>
        <w:iCs/>
        <w:noProof/>
      </w:rPr>
      <w:tab/>
    </w:r>
    <w:r w:rsidR="00036454">
      <w:tab/>
    </w:r>
    <w:r w:rsidR="008F7A31">
      <w:rPr>
        <w:rStyle w:val="Policepardfaut1"/>
        <w:rFonts w:ascii="Verdana" w:hAnsi="Verdana"/>
        <w:b/>
        <w:bCs/>
        <w:sz w:val="20"/>
        <w:szCs w:val="20"/>
      </w:rPr>
      <w:t xml:space="preserve">Point </w:t>
    </w:r>
    <w:r w:rsidR="006D584A">
      <w:rPr>
        <w:rStyle w:val="Policepardfaut1"/>
        <w:rFonts w:ascii="Verdana" w:hAnsi="Verdana"/>
        <w:b/>
        <w:bCs/>
        <w:sz w:val="20"/>
        <w:szCs w:val="20"/>
      </w:rPr>
      <w:t>10</w:t>
    </w:r>
    <w:r w:rsidR="000364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FA62406"/>
    <w:lvl w:ilvl="0">
      <w:start w:val="1"/>
      <w:numFmt w:val="decimal"/>
      <w:pStyle w:val="Titrepartie"/>
      <w:lvlText w:val="%1."/>
      <w:lvlJc w:val="left"/>
      <w:pPr>
        <w:tabs>
          <w:tab w:val="num" w:pos="66"/>
        </w:tabs>
        <w:ind w:left="786" w:hanging="360"/>
      </w:pPr>
    </w:lvl>
    <w:lvl w:ilvl="1">
      <w:start w:val="1"/>
      <w:numFmt w:val="decimal"/>
      <w:lvlText w:val="%1.%2."/>
      <w:lvlJc w:val="left"/>
      <w:pPr>
        <w:tabs>
          <w:tab w:val="num" w:pos="66"/>
        </w:tabs>
        <w:ind w:left="1146" w:hanging="720"/>
      </w:pPr>
      <w:rPr>
        <w:color w:val="4472C4" w:themeColor="accent1"/>
      </w:rPr>
    </w:lvl>
    <w:lvl w:ilvl="2">
      <w:start w:val="1"/>
      <w:numFmt w:val="decimal"/>
      <w:lvlText w:val="%1.%2.%3."/>
      <w:lvlJc w:val="left"/>
      <w:pPr>
        <w:tabs>
          <w:tab w:val="num" w:pos="66"/>
        </w:tabs>
        <w:ind w:left="1146" w:hanging="720"/>
      </w:pPr>
    </w:lvl>
    <w:lvl w:ilvl="3">
      <w:start w:val="1"/>
      <w:numFmt w:val="decimal"/>
      <w:lvlText w:val="%1.%2.%3.%4."/>
      <w:lvlJc w:val="left"/>
      <w:pPr>
        <w:tabs>
          <w:tab w:val="num" w:pos="66"/>
        </w:tabs>
        <w:ind w:left="1506" w:hanging="1080"/>
      </w:pPr>
    </w:lvl>
    <w:lvl w:ilvl="4">
      <w:start w:val="1"/>
      <w:numFmt w:val="decimal"/>
      <w:lvlText w:val="%1.%2.%3.%4.%5."/>
      <w:lvlJc w:val="left"/>
      <w:pPr>
        <w:tabs>
          <w:tab w:val="num" w:pos="66"/>
        </w:tabs>
        <w:ind w:left="1866" w:hanging="1440"/>
      </w:pPr>
    </w:lvl>
    <w:lvl w:ilvl="5">
      <w:start w:val="1"/>
      <w:numFmt w:val="decimal"/>
      <w:lvlText w:val="%1.%2.%3.%4.%5.%6."/>
      <w:lvlJc w:val="left"/>
      <w:pPr>
        <w:tabs>
          <w:tab w:val="num" w:pos="66"/>
        </w:tabs>
        <w:ind w:left="1866" w:hanging="1440"/>
      </w:pPr>
    </w:lvl>
    <w:lvl w:ilvl="6">
      <w:start w:val="1"/>
      <w:numFmt w:val="decimal"/>
      <w:lvlText w:val="%1.%2.%3.%4.%5.%6.%7."/>
      <w:lvlJc w:val="left"/>
      <w:pPr>
        <w:tabs>
          <w:tab w:val="num" w:pos="66"/>
        </w:tabs>
        <w:ind w:left="2226" w:hanging="1800"/>
      </w:pPr>
    </w:lvl>
    <w:lvl w:ilvl="7">
      <w:start w:val="1"/>
      <w:numFmt w:val="decimal"/>
      <w:lvlText w:val="%1.%2.%3.%4.%5.%6.%7.%8."/>
      <w:lvlJc w:val="left"/>
      <w:pPr>
        <w:tabs>
          <w:tab w:val="num" w:pos="66"/>
        </w:tabs>
        <w:ind w:left="2586" w:hanging="2160"/>
      </w:pPr>
    </w:lvl>
    <w:lvl w:ilvl="8">
      <w:start w:val="1"/>
      <w:numFmt w:val="decimal"/>
      <w:lvlText w:val="%1.%2.%3.%4.%5.%6.%7.%8.%9."/>
      <w:lvlJc w:val="left"/>
      <w:pPr>
        <w:tabs>
          <w:tab w:val="num" w:pos="66"/>
        </w:tabs>
        <w:ind w:left="2586" w:hanging="216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6"/>
    <w:multiLevelType w:val="multilevel"/>
    <w:tmpl w:val="00000006"/>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7"/>
    <w:multiLevelType w:val="multilevel"/>
    <w:tmpl w:val="00000007"/>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lvl w:ilvl="0">
      <w:start w:val="5"/>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multilevel"/>
    <w:tmpl w:val="0000000A"/>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0000000B"/>
    <w:multiLevelType w:val="multilevel"/>
    <w:tmpl w:val="0000000B"/>
    <w:lvl w:ilvl="0">
      <w:start w:val="7"/>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15:restartNumberingAfterBreak="0">
    <w:nsid w:val="0000000C"/>
    <w:multiLevelType w:val="multilevel"/>
    <w:tmpl w:val="0000000C"/>
    <w:lvl w:ilvl="0">
      <w:start w:val="8"/>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0000000D"/>
    <w:multiLevelType w:val="multilevel"/>
    <w:tmpl w:val="0000000D"/>
    <w:lvl w:ilvl="0">
      <w:start w:val="9"/>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0000000E"/>
    <w:multiLevelType w:val="multilevel"/>
    <w:tmpl w:val="0000000E"/>
    <w:lvl w:ilvl="0">
      <w:start w:val="10"/>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0000000F"/>
    <w:multiLevelType w:val="multilevel"/>
    <w:tmpl w:val="0000000F"/>
    <w:lvl w:ilvl="0">
      <w:start w:val="1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12ED3F54"/>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8D5E36"/>
    <w:multiLevelType w:val="multilevel"/>
    <w:tmpl w:val="4D66D08E"/>
    <w:lvl w:ilvl="0">
      <w:start w:val="1"/>
      <w:numFmt w:val="lowerLetter"/>
      <w:lvlText w:val="%1)"/>
      <w:lvlJc w:val="left"/>
      <w:pPr>
        <w:tabs>
          <w:tab w:val="num" w:pos="0"/>
        </w:tabs>
        <w:ind w:left="720" w:hanging="360"/>
      </w:pPr>
    </w:lvl>
    <w:lvl w:ilvl="1">
      <w:start w:val="1"/>
      <w:numFmt w:val="lowerLetter"/>
      <w:lvlText w:val="%2)"/>
      <w:lvlJc w:val="left"/>
      <w:pPr>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 w15:restartNumberingAfterBreak="0">
    <w:nsid w:val="28FD33D6"/>
    <w:multiLevelType w:val="multilevel"/>
    <w:tmpl w:val="83061B0C"/>
    <w:lvl w:ilvl="0">
      <w:start w:val="1"/>
      <w:numFmt w:val="lowerLetter"/>
      <w:lvlText w:val="%1)"/>
      <w:lvlJc w:val="left"/>
      <w:pPr>
        <w:tabs>
          <w:tab w:val="num" w:pos="0"/>
        </w:tabs>
        <w:ind w:left="720" w:hanging="360"/>
      </w:pPr>
    </w:lvl>
    <w:lvl w:ilvl="1">
      <w:start w:val="1"/>
      <w:numFmt w:val="lowerRoman"/>
      <w:lvlText w:val="%2."/>
      <w:lvlJc w:val="right"/>
      <w:pPr>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9" w15:restartNumberingAfterBreak="0">
    <w:nsid w:val="52E60927"/>
    <w:multiLevelType w:val="multilevel"/>
    <w:tmpl w:val="04D0D8F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0846959">
    <w:abstractNumId w:val="0"/>
  </w:num>
  <w:num w:numId="2" w16cid:durableId="1460340021">
    <w:abstractNumId w:val="1"/>
  </w:num>
  <w:num w:numId="3" w16cid:durableId="2144348122">
    <w:abstractNumId w:val="2"/>
  </w:num>
  <w:num w:numId="4" w16cid:durableId="312375046">
    <w:abstractNumId w:val="3"/>
  </w:num>
  <w:num w:numId="5" w16cid:durableId="14504573">
    <w:abstractNumId w:val="4"/>
  </w:num>
  <w:num w:numId="6" w16cid:durableId="1505827222">
    <w:abstractNumId w:val="5"/>
  </w:num>
  <w:num w:numId="7" w16cid:durableId="1097212922">
    <w:abstractNumId w:val="6"/>
  </w:num>
  <w:num w:numId="8" w16cid:durableId="2023967630">
    <w:abstractNumId w:val="7"/>
  </w:num>
  <w:num w:numId="9" w16cid:durableId="1172139009">
    <w:abstractNumId w:val="8"/>
  </w:num>
  <w:num w:numId="10" w16cid:durableId="1061833578">
    <w:abstractNumId w:val="9"/>
  </w:num>
  <w:num w:numId="11" w16cid:durableId="1805544464">
    <w:abstractNumId w:val="10"/>
  </w:num>
  <w:num w:numId="12" w16cid:durableId="54670894">
    <w:abstractNumId w:val="11"/>
  </w:num>
  <w:num w:numId="13" w16cid:durableId="1146044678">
    <w:abstractNumId w:val="12"/>
  </w:num>
  <w:num w:numId="14" w16cid:durableId="1458835827">
    <w:abstractNumId w:val="13"/>
  </w:num>
  <w:num w:numId="15" w16cid:durableId="480005088">
    <w:abstractNumId w:val="14"/>
  </w:num>
  <w:num w:numId="16" w16cid:durableId="312494799">
    <w:abstractNumId w:val="15"/>
  </w:num>
  <w:num w:numId="17" w16cid:durableId="544028540">
    <w:abstractNumId w:val="19"/>
  </w:num>
  <w:num w:numId="18" w16cid:durableId="1238979883">
    <w:abstractNumId w:val="20"/>
  </w:num>
  <w:num w:numId="19" w16cid:durableId="596866956">
    <w:abstractNumId w:val="16"/>
  </w:num>
  <w:num w:numId="20" w16cid:durableId="1758019669">
    <w:abstractNumId w:val="18"/>
  </w:num>
  <w:num w:numId="21" w16cid:durableId="326399334">
    <w:abstractNumId w:val="17"/>
  </w:num>
  <w:num w:numId="22" w16cid:durableId="719790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7D"/>
    <w:rsid w:val="00036454"/>
    <w:rsid w:val="000529CB"/>
    <w:rsid w:val="000531CE"/>
    <w:rsid w:val="000C107D"/>
    <w:rsid w:val="0014318C"/>
    <w:rsid w:val="00160D0B"/>
    <w:rsid w:val="001665E4"/>
    <w:rsid w:val="0017020A"/>
    <w:rsid w:val="002152D1"/>
    <w:rsid w:val="00254BD8"/>
    <w:rsid w:val="00281D15"/>
    <w:rsid w:val="00294DF1"/>
    <w:rsid w:val="002F7785"/>
    <w:rsid w:val="003B3F77"/>
    <w:rsid w:val="003F74C7"/>
    <w:rsid w:val="00413AD1"/>
    <w:rsid w:val="0042417F"/>
    <w:rsid w:val="004D37F3"/>
    <w:rsid w:val="005F672F"/>
    <w:rsid w:val="006464BE"/>
    <w:rsid w:val="0065788B"/>
    <w:rsid w:val="006B7FD6"/>
    <w:rsid w:val="006D584A"/>
    <w:rsid w:val="006F1C65"/>
    <w:rsid w:val="00751562"/>
    <w:rsid w:val="007869CA"/>
    <w:rsid w:val="007C6208"/>
    <w:rsid w:val="00802980"/>
    <w:rsid w:val="00817681"/>
    <w:rsid w:val="008266CB"/>
    <w:rsid w:val="00865AF6"/>
    <w:rsid w:val="00877EF2"/>
    <w:rsid w:val="008F17BF"/>
    <w:rsid w:val="008F7A31"/>
    <w:rsid w:val="009D4930"/>
    <w:rsid w:val="00A126E6"/>
    <w:rsid w:val="00AC1E98"/>
    <w:rsid w:val="00B520E5"/>
    <w:rsid w:val="00C269C6"/>
    <w:rsid w:val="00C82251"/>
    <w:rsid w:val="00CA692E"/>
    <w:rsid w:val="00D64DA6"/>
    <w:rsid w:val="00D87C43"/>
    <w:rsid w:val="00D9566A"/>
    <w:rsid w:val="00DA05CF"/>
    <w:rsid w:val="00DD2BEC"/>
    <w:rsid w:val="00DF41E8"/>
    <w:rsid w:val="00E84D52"/>
    <w:rsid w:val="00EC7C34"/>
    <w:rsid w:val="00ED70E2"/>
    <w:rsid w:val="00F11478"/>
    <w:rsid w:val="00F570A7"/>
    <w:rsid w:val="00F67CD1"/>
    <w:rsid w:val="00F8627F"/>
    <w:rsid w:val="00FC6F3E"/>
    <w:rsid w:val="00FF1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116C9D"/>
  <w15:chartTrackingRefBased/>
  <w15:docId w15:val="{6A49DD94-913C-4589-9546-7E75D1FD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cs="Arial"/>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Marquedecommentaire1">
    <w:name w:val="Marque de commentaire1"/>
    <w:rPr>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ParagrapheCar">
    <w:name w:val="Paragraphe Car"/>
    <w:rPr>
      <w:rFonts w:ascii="Verdana" w:hAnsi="Verdana" w:cs="Calibr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1"/>
    <w:uiPriority w:val="34"/>
    <w:qFormat/>
  </w:style>
  <w:style w:type="character" w:customStyle="1" w:styleId="TitrepartieCar">
    <w:name w:val="Titre partie Car"/>
    <w:rPr>
      <w:rFonts w:ascii="Verdana" w:hAnsi="Verdana" w:cs="Calibri"/>
      <w:b/>
      <w:bCs/>
      <w:color w:val="0070C0"/>
      <w:szCs w:val="20"/>
    </w:rPr>
  </w:style>
  <w:style w:type="character" w:customStyle="1" w:styleId="ExergueCar">
    <w:name w:val="Exergue Car"/>
    <w:rPr>
      <w:rFonts w:ascii="Verdana" w:eastAsia="Times New Roman" w:hAnsi="Verdana" w:cs="Times New Roman"/>
      <w:b/>
      <w:bCs/>
      <w:i/>
      <w:sz w:val="20"/>
      <w:szCs w:val="20"/>
    </w:rPr>
  </w:style>
  <w:style w:type="character" w:styleId="Titredulivre">
    <w:name w:val="Book Title"/>
    <w:qFormat/>
    <w:rPr>
      <w:b/>
      <w:bCs/>
      <w:i/>
      <w:iCs/>
      <w:spacing w:val="5"/>
    </w:rPr>
  </w:style>
  <w:style w:type="character" w:customStyle="1" w:styleId="Sous-partie2Car">
    <w:name w:val="Sous-partie 2 Car"/>
    <w:rPr>
      <w:rFonts w:ascii="Verdana" w:hAnsi="Verdana" w:cs="Calibri"/>
      <w:color w:val="0070C0"/>
      <w:sz w:val="20"/>
      <w:szCs w:val="20"/>
    </w:rPr>
  </w:style>
  <w:style w:type="character" w:styleId="Rfrenceintense">
    <w:name w:val="Intense Reference"/>
    <w:qFormat/>
    <w:rPr>
      <w:b/>
      <w:bCs/>
      <w:smallCaps/>
      <w:color w:val="4472C4"/>
      <w:spacing w:val="5"/>
    </w:rPr>
  </w:style>
  <w:style w:type="character" w:customStyle="1" w:styleId="SansinterligneCar">
    <w:name w:val="Sans interligne Car"/>
    <w:rPr>
      <w:rFonts w:ascii="Calibri" w:eastAsia="Calibri" w:hAnsi="Calibri" w:cs="Times New Roman"/>
    </w:rPr>
  </w:style>
  <w:style w:type="character" w:customStyle="1" w:styleId="lev1">
    <w:name w:val="Élevé1"/>
    <w:rPr>
      <w:b/>
      <w:bCs/>
    </w:rPr>
  </w:style>
  <w:style w:type="character" w:customStyle="1" w:styleId="Lienhypertexte1">
    <w:name w:val="Lien hypertexte1"/>
    <w:rPr>
      <w:color w:val="0563C1"/>
      <w:u w:val="single"/>
    </w:rPr>
  </w:style>
  <w:style w:type="character" w:styleId="Mentionnonrsolue">
    <w:name w:val="Unresolved Mention"/>
    <w:rPr>
      <w:color w:val="605E5C"/>
      <w:shd w:val="clear" w:color="auto" w:fill="E1DFDD"/>
    </w:rPr>
  </w:style>
  <w:style w:type="character" w:customStyle="1" w:styleId="WWCharLFO1LVL1">
    <w:name w:val="WW_CharLFO1LVL1"/>
    <w:rPr>
      <w:rFonts w:ascii="Calibri" w:eastAsia="Calibri" w:hAnsi="Calibri" w:cs="Arial"/>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rPr>
  </w:style>
  <w:style w:type="character" w:customStyle="1" w:styleId="WWCharLFO2LVL1">
    <w:name w:val="WW_CharLFO2LVL1"/>
    <w:rPr>
      <w:rFonts w:ascii="Calibri" w:eastAsia="Calibri" w:hAnsi="Calibri" w:cs="Calibri"/>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WWCharLFO4LVL2">
    <w:name w:val="WW_CharLFO4LVL2"/>
    <w:rPr>
      <w:rFonts w:ascii="Courier New" w:hAnsi="Courier New" w:cs="Courier New"/>
    </w:rPr>
  </w:style>
  <w:style w:type="character" w:customStyle="1" w:styleId="WWCharLFO4LVL3">
    <w:name w:val="WW_CharLFO4LVL3"/>
    <w:rPr>
      <w:rFonts w:ascii="Wingdings" w:hAnsi="Wingdings"/>
    </w:rPr>
  </w:style>
  <w:style w:type="character" w:customStyle="1" w:styleId="WWCharLFO4LVL4">
    <w:name w:val="WW_CharLFO4LVL4"/>
    <w:rPr>
      <w:rFonts w:ascii="Symbol" w:hAnsi="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rPr>
  </w:style>
  <w:style w:type="character" w:customStyle="1" w:styleId="WWCharLFO4LVL7">
    <w:name w:val="WW_CharLFO4LVL7"/>
    <w:rPr>
      <w:rFonts w:ascii="Symbol" w:hAnsi="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rPr>
  </w:style>
  <w:style w:type="character" w:customStyle="1" w:styleId="WWCharLFO5LVL2">
    <w:name w:val="WW_CharLFO5LVL2"/>
    <w:rPr>
      <w:rFonts w:ascii="Courier New" w:hAnsi="Courier New" w:cs="Courier New"/>
    </w:rPr>
  </w:style>
  <w:style w:type="character" w:customStyle="1" w:styleId="WWCharLFO5LVL3">
    <w:name w:val="WW_CharLFO5LVL3"/>
    <w:rPr>
      <w:rFonts w:ascii="Wingdings" w:hAnsi="Wingdings"/>
    </w:rPr>
  </w:style>
  <w:style w:type="character" w:customStyle="1" w:styleId="WWCharLFO5LVL4">
    <w:name w:val="WW_CharLFO5LVL4"/>
    <w:rPr>
      <w:rFonts w:ascii="Symbol" w:hAnsi="Symbol"/>
    </w:rPr>
  </w:style>
  <w:style w:type="character" w:customStyle="1" w:styleId="WWCharLFO5LVL5">
    <w:name w:val="WW_CharLFO5LVL5"/>
    <w:rPr>
      <w:rFonts w:ascii="Courier New" w:hAnsi="Courier New" w:cs="Courier New"/>
    </w:rPr>
  </w:style>
  <w:style w:type="character" w:customStyle="1" w:styleId="WWCharLFO5LVL6">
    <w:name w:val="WW_CharLFO5LVL6"/>
    <w:rPr>
      <w:rFonts w:ascii="Wingdings" w:hAnsi="Wingdings"/>
    </w:rPr>
  </w:style>
  <w:style w:type="character" w:customStyle="1" w:styleId="WWCharLFO5LVL7">
    <w:name w:val="WW_CharLFO5LVL7"/>
    <w:rPr>
      <w:rFonts w:ascii="Symbol" w:hAnsi="Symbol"/>
    </w:rPr>
  </w:style>
  <w:style w:type="character" w:customStyle="1" w:styleId="WWCharLFO5LVL8">
    <w:name w:val="WW_CharLFO5LVL8"/>
    <w:rPr>
      <w:rFonts w:ascii="Courier New" w:hAnsi="Courier New" w:cs="Courier New"/>
    </w:rPr>
  </w:style>
  <w:style w:type="character" w:customStyle="1" w:styleId="WWCharLFO5LVL9">
    <w:name w:val="WW_CharLFO5LVL9"/>
    <w:rPr>
      <w:rFonts w:ascii="Wingdings" w:hAnsi="Wingdings"/>
    </w:rPr>
  </w:style>
  <w:style w:type="character" w:customStyle="1" w:styleId="WWCharLFO7LVL1">
    <w:name w:val="WW_CharLFO7LVL1"/>
    <w:rPr>
      <w:rFonts w:ascii="Symbol" w:hAnsi="Symbol"/>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rPr>
  </w:style>
  <w:style w:type="character" w:customStyle="1" w:styleId="WWCharLFO7LVL4">
    <w:name w:val="WW_CharLFO7LVL4"/>
    <w:rPr>
      <w:rFonts w:ascii="Symbol" w:hAnsi="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rPr>
  </w:style>
  <w:style w:type="character" w:customStyle="1" w:styleId="WWCharLFO7LVL7">
    <w:name w:val="WW_CharLFO7LVL7"/>
    <w:rPr>
      <w:rFonts w:ascii="Symbol" w:hAnsi="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rPr>
  </w:style>
  <w:style w:type="character" w:customStyle="1" w:styleId="WWCharLFO9LVL1">
    <w:name w:val="WW_CharLFO9LVL1"/>
    <w:rPr>
      <w:rFonts w:ascii="Symbol" w:hAnsi="Symbol"/>
    </w:rPr>
  </w:style>
  <w:style w:type="character" w:customStyle="1" w:styleId="WWCharLFO9LVL2">
    <w:name w:val="WW_CharLFO9LVL2"/>
    <w:rPr>
      <w:rFonts w:ascii="Courier New" w:hAnsi="Courier New" w:cs="Courier New"/>
    </w:rPr>
  </w:style>
  <w:style w:type="character" w:customStyle="1" w:styleId="WWCharLFO9LVL3">
    <w:name w:val="WW_CharLFO9LVL3"/>
    <w:rPr>
      <w:rFonts w:ascii="Wingdings" w:hAnsi="Wingdings"/>
    </w:rPr>
  </w:style>
  <w:style w:type="character" w:customStyle="1" w:styleId="WWCharLFO9LVL4">
    <w:name w:val="WW_CharLFO9LVL4"/>
    <w:rPr>
      <w:rFonts w:ascii="Symbol" w:hAnsi="Symbol"/>
    </w:rPr>
  </w:style>
  <w:style w:type="character" w:customStyle="1" w:styleId="WWCharLFO9LVL5">
    <w:name w:val="WW_CharLFO9LVL5"/>
    <w:rPr>
      <w:rFonts w:ascii="Courier New" w:hAnsi="Courier New" w:cs="Courier New"/>
    </w:rPr>
  </w:style>
  <w:style w:type="character" w:customStyle="1" w:styleId="WWCharLFO9LVL6">
    <w:name w:val="WW_CharLFO9LVL6"/>
    <w:rPr>
      <w:rFonts w:ascii="Wingdings" w:hAnsi="Wingdings"/>
    </w:rPr>
  </w:style>
  <w:style w:type="character" w:customStyle="1" w:styleId="WWCharLFO9LVL7">
    <w:name w:val="WW_CharLFO9LVL7"/>
    <w:rPr>
      <w:rFonts w:ascii="Symbol" w:hAnsi="Symbol"/>
    </w:rPr>
  </w:style>
  <w:style w:type="character" w:customStyle="1" w:styleId="WWCharLFO9LVL8">
    <w:name w:val="WW_CharLFO9LVL8"/>
    <w:rPr>
      <w:rFonts w:ascii="Courier New" w:hAnsi="Courier New" w:cs="Courier New"/>
    </w:rPr>
  </w:style>
  <w:style w:type="character" w:customStyle="1" w:styleId="WWCharLFO9LVL9">
    <w:name w:val="WW_CharLFO9LVL9"/>
    <w:rPr>
      <w:rFonts w:ascii="Wingdings" w:hAnsi="Wingdings"/>
    </w:rPr>
  </w:style>
  <w:style w:type="character" w:customStyle="1" w:styleId="WWCharLFO11LVL1">
    <w:name w:val="WW_CharLFO11LVL1"/>
    <w:rPr>
      <w:rFonts w:ascii="Verdana" w:eastAsia="Calibri" w:hAnsi="Verdana" w:cs="Calibri"/>
    </w:rPr>
  </w:style>
  <w:style w:type="character" w:customStyle="1" w:styleId="WWCharLFO11LVL2">
    <w:name w:val="WW_CharLFO11LVL2"/>
    <w:rPr>
      <w:rFonts w:ascii="Courier New" w:hAnsi="Courier New"/>
    </w:rPr>
  </w:style>
  <w:style w:type="character" w:customStyle="1" w:styleId="WWCharLFO11LVL3">
    <w:name w:val="WW_CharLFO11LVL3"/>
    <w:rPr>
      <w:rFonts w:ascii="Wingdings" w:hAnsi="Wingdings"/>
    </w:rPr>
  </w:style>
  <w:style w:type="character" w:customStyle="1" w:styleId="WWCharLFO11LVL4">
    <w:name w:val="WW_CharLFO11LVL4"/>
    <w:rPr>
      <w:rFonts w:ascii="Symbol" w:hAnsi="Symbol"/>
    </w:rPr>
  </w:style>
  <w:style w:type="character" w:customStyle="1" w:styleId="WWCharLFO11LVL5">
    <w:name w:val="WW_CharLFO11LVL5"/>
    <w:rPr>
      <w:rFonts w:ascii="Courier New" w:hAnsi="Courier New"/>
    </w:rPr>
  </w:style>
  <w:style w:type="character" w:customStyle="1" w:styleId="WWCharLFO11LVL6">
    <w:name w:val="WW_CharLFO11LVL6"/>
    <w:rPr>
      <w:rFonts w:ascii="Wingdings" w:hAnsi="Wingdings"/>
    </w:rPr>
  </w:style>
  <w:style w:type="character" w:customStyle="1" w:styleId="WWCharLFO11LVL7">
    <w:name w:val="WW_CharLFO11LVL7"/>
    <w:rPr>
      <w:rFonts w:ascii="Symbol" w:hAnsi="Symbol"/>
    </w:rPr>
  </w:style>
  <w:style w:type="character" w:customStyle="1" w:styleId="WWCharLFO11LVL8">
    <w:name w:val="WW_CharLFO11LVL8"/>
    <w:rPr>
      <w:rFonts w:ascii="Courier New" w:hAnsi="Courier New"/>
    </w:rPr>
  </w:style>
  <w:style w:type="character" w:customStyle="1" w:styleId="WWCharLFO11LVL9">
    <w:name w:val="WW_CharLFO11LVL9"/>
    <w:rPr>
      <w:rFonts w:ascii="Wingdings" w:hAnsi="Wingdings"/>
    </w:rPr>
  </w:style>
  <w:style w:type="character" w:customStyle="1" w:styleId="WWCharLFO12LVL1">
    <w:name w:val="WW_CharLFO12LVL1"/>
    <w:rPr>
      <w:rFonts w:ascii="Verdana" w:eastAsia="Calibri" w:hAnsi="Verdana" w:cs="Calibri"/>
    </w:rPr>
  </w:style>
  <w:style w:type="character" w:customStyle="1" w:styleId="WWCharLFO12LVL2">
    <w:name w:val="WW_CharLFO12LVL2"/>
    <w:rPr>
      <w:rFonts w:ascii="Courier New" w:hAnsi="Courier New"/>
    </w:rPr>
  </w:style>
  <w:style w:type="character" w:customStyle="1" w:styleId="WWCharLFO12LVL3">
    <w:name w:val="WW_CharLFO12LVL3"/>
    <w:rPr>
      <w:rFonts w:ascii="Wingdings" w:hAnsi="Wingdings"/>
    </w:rPr>
  </w:style>
  <w:style w:type="character" w:customStyle="1" w:styleId="WWCharLFO12LVL4">
    <w:name w:val="WW_CharLFO12LVL4"/>
    <w:rPr>
      <w:rFonts w:ascii="Symbol" w:hAnsi="Symbol"/>
    </w:rPr>
  </w:style>
  <w:style w:type="character" w:customStyle="1" w:styleId="WWCharLFO12LVL5">
    <w:name w:val="WW_CharLFO12LVL5"/>
    <w:rPr>
      <w:rFonts w:ascii="Courier New" w:hAnsi="Courier New"/>
    </w:rPr>
  </w:style>
  <w:style w:type="character" w:customStyle="1" w:styleId="WWCharLFO12LVL6">
    <w:name w:val="WW_CharLFO12LVL6"/>
    <w:rPr>
      <w:rFonts w:ascii="Wingdings" w:hAnsi="Wingdings"/>
    </w:rPr>
  </w:style>
  <w:style w:type="character" w:customStyle="1" w:styleId="WWCharLFO12LVL7">
    <w:name w:val="WW_CharLFO12LVL7"/>
    <w:rPr>
      <w:rFonts w:ascii="Symbol" w:hAnsi="Symbol"/>
    </w:rPr>
  </w:style>
  <w:style w:type="character" w:customStyle="1" w:styleId="WWCharLFO12LVL8">
    <w:name w:val="WW_CharLFO12LVL8"/>
    <w:rPr>
      <w:rFonts w:ascii="Courier New" w:hAnsi="Courier New"/>
    </w:rPr>
  </w:style>
  <w:style w:type="character" w:customStyle="1" w:styleId="WWCharLFO12LVL9">
    <w:name w:val="WW_CharLFO12LVL9"/>
    <w:rPr>
      <w:rFonts w:ascii="Wingdings" w:hAnsi="Wingdings"/>
    </w:rPr>
  </w:style>
  <w:style w:type="character" w:customStyle="1" w:styleId="WWCharLFO15LVL1">
    <w:name w:val="WW_CharLFO15LVL1"/>
    <w:rPr>
      <w:rFonts w:ascii="Verdana" w:eastAsia="Calibri" w:hAnsi="Verdana" w:cs="Times New Roman"/>
    </w:rPr>
  </w:style>
  <w:style w:type="character" w:customStyle="1" w:styleId="WWCharLFO15LVL2">
    <w:name w:val="WW_CharLFO15LVL2"/>
    <w:rPr>
      <w:rFonts w:ascii="Verdana" w:eastAsia="Calibri" w:hAnsi="Verdana" w:cs="Times New Roman"/>
    </w:rPr>
  </w:style>
  <w:style w:type="character" w:customStyle="1" w:styleId="WWCharLFO15LVL3">
    <w:name w:val="WW_CharLFO15LVL3"/>
    <w:rPr>
      <w:rFonts w:ascii="Wingdings" w:hAnsi="Wingdings"/>
    </w:rPr>
  </w:style>
  <w:style w:type="character" w:customStyle="1" w:styleId="WWCharLFO15LVL4">
    <w:name w:val="WW_CharLFO15LVL4"/>
    <w:rPr>
      <w:rFonts w:ascii="Symbol" w:hAnsi="Symbol"/>
    </w:rPr>
  </w:style>
  <w:style w:type="character" w:customStyle="1" w:styleId="WWCharLFO15LVL5">
    <w:name w:val="WW_CharLFO15LVL5"/>
    <w:rPr>
      <w:rFonts w:ascii="Courier New" w:hAnsi="Courier New"/>
    </w:rPr>
  </w:style>
  <w:style w:type="character" w:customStyle="1" w:styleId="WWCharLFO15LVL6">
    <w:name w:val="WW_CharLFO15LVL6"/>
    <w:rPr>
      <w:rFonts w:ascii="Wingdings" w:hAnsi="Wingdings"/>
    </w:rPr>
  </w:style>
  <w:style w:type="character" w:customStyle="1" w:styleId="WWCharLFO15LVL7">
    <w:name w:val="WW_CharLFO15LVL7"/>
    <w:rPr>
      <w:rFonts w:ascii="Symbol" w:hAnsi="Symbol"/>
    </w:rPr>
  </w:style>
  <w:style w:type="character" w:customStyle="1" w:styleId="WWCharLFO15LVL8">
    <w:name w:val="WW_CharLFO15LVL8"/>
    <w:rPr>
      <w:rFonts w:ascii="Courier New" w:hAnsi="Courier New"/>
    </w:rPr>
  </w:style>
  <w:style w:type="character" w:customStyle="1" w:styleId="WWCharLFO15LVL9">
    <w:name w:val="WW_CharLFO15LVL9"/>
    <w:rPr>
      <w:rFonts w:ascii="Wingdings" w:hAnsi="Wingdings"/>
    </w:rPr>
  </w:style>
  <w:style w:type="character" w:customStyle="1" w:styleId="WWCharLFO17LVL1">
    <w:name w:val="WW_CharLFO17LVL1"/>
    <w:rPr>
      <w:rFonts w:ascii="Verdana" w:eastAsia="Calibri" w:hAnsi="Verdana" w:cs="Calibri"/>
      <w:color w:val="auto"/>
    </w:rPr>
  </w:style>
  <w:style w:type="character" w:customStyle="1" w:styleId="WWCharLFO17LVL2">
    <w:name w:val="WW_CharLFO17LVL2"/>
    <w:rPr>
      <w:rFonts w:ascii="Courier New" w:hAnsi="Courier New"/>
    </w:rPr>
  </w:style>
  <w:style w:type="character" w:customStyle="1" w:styleId="WWCharLFO17LVL3">
    <w:name w:val="WW_CharLFO17LVL3"/>
    <w:rPr>
      <w:rFonts w:ascii="Wingdings" w:hAnsi="Wingdings"/>
    </w:rPr>
  </w:style>
  <w:style w:type="character" w:customStyle="1" w:styleId="WWCharLFO17LVL4">
    <w:name w:val="WW_CharLFO17LVL4"/>
    <w:rPr>
      <w:rFonts w:ascii="Symbol" w:hAnsi="Symbol"/>
    </w:rPr>
  </w:style>
  <w:style w:type="character" w:customStyle="1" w:styleId="WWCharLFO17LVL5">
    <w:name w:val="WW_CharLFO17LVL5"/>
    <w:rPr>
      <w:rFonts w:ascii="Courier New" w:hAnsi="Courier New"/>
    </w:rPr>
  </w:style>
  <w:style w:type="character" w:customStyle="1" w:styleId="WWCharLFO17LVL6">
    <w:name w:val="WW_CharLFO17LVL6"/>
    <w:rPr>
      <w:rFonts w:ascii="Wingdings" w:hAnsi="Wingdings"/>
    </w:rPr>
  </w:style>
  <w:style w:type="character" w:customStyle="1" w:styleId="WWCharLFO17LVL7">
    <w:name w:val="WW_CharLFO17LVL7"/>
    <w:rPr>
      <w:rFonts w:ascii="Symbol" w:hAnsi="Symbol"/>
    </w:rPr>
  </w:style>
  <w:style w:type="character" w:customStyle="1" w:styleId="WWCharLFO17LVL8">
    <w:name w:val="WW_CharLFO17LVL8"/>
    <w:rPr>
      <w:rFonts w:ascii="Courier New" w:hAnsi="Courier New"/>
    </w:rPr>
  </w:style>
  <w:style w:type="character" w:customStyle="1" w:styleId="WWCharLFO17LVL9">
    <w:name w:val="WW_CharLFO17LVL9"/>
    <w:rPr>
      <w:rFonts w:ascii="Wingdings" w:hAnsi="Wingdings"/>
    </w:rPr>
  </w:style>
  <w:style w:type="character" w:customStyle="1" w:styleId="WWCharLFO25LVL1">
    <w:name w:val="WW_CharLFO25LVL1"/>
    <w:rPr>
      <w:rFonts w:ascii="Symbol" w:hAnsi="Symbol"/>
    </w:rPr>
  </w:style>
  <w:style w:type="character" w:customStyle="1" w:styleId="WWCharLFO25LVL2">
    <w:name w:val="WW_CharLFO25LVL2"/>
    <w:rPr>
      <w:rFonts w:ascii="Courier New" w:hAnsi="Courier New" w:cs="Courier New"/>
    </w:rPr>
  </w:style>
  <w:style w:type="character" w:customStyle="1" w:styleId="WWCharLFO25LVL3">
    <w:name w:val="WW_CharLFO25LVL3"/>
    <w:rPr>
      <w:rFonts w:ascii="Wingdings" w:hAnsi="Wingdings"/>
    </w:rPr>
  </w:style>
  <w:style w:type="character" w:customStyle="1" w:styleId="WWCharLFO25LVL4">
    <w:name w:val="WW_CharLFO25LVL4"/>
    <w:rPr>
      <w:rFonts w:ascii="Symbol" w:hAnsi="Symbol"/>
    </w:rPr>
  </w:style>
  <w:style w:type="character" w:customStyle="1" w:styleId="WWCharLFO25LVL5">
    <w:name w:val="WW_CharLFO25LVL5"/>
    <w:rPr>
      <w:rFonts w:ascii="Courier New" w:hAnsi="Courier New" w:cs="Courier New"/>
    </w:rPr>
  </w:style>
  <w:style w:type="character" w:customStyle="1" w:styleId="WWCharLFO25LVL6">
    <w:name w:val="WW_CharLFO25LVL6"/>
    <w:rPr>
      <w:rFonts w:ascii="Wingdings" w:hAnsi="Wingdings"/>
    </w:rPr>
  </w:style>
  <w:style w:type="character" w:customStyle="1" w:styleId="WWCharLFO25LVL7">
    <w:name w:val="WW_CharLFO25LVL7"/>
    <w:rPr>
      <w:rFonts w:ascii="Symbol" w:hAnsi="Symbol"/>
    </w:rPr>
  </w:style>
  <w:style w:type="character" w:customStyle="1" w:styleId="WWCharLFO25LVL8">
    <w:name w:val="WW_CharLFO25LVL8"/>
    <w:rPr>
      <w:rFonts w:ascii="Courier New" w:hAnsi="Courier New" w:cs="Courier New"/>
    </w:rPr>
  </w:style>
  <w:style w:type="character" w:customStyle="1" w:styleId="WWCharLFO25LVL9">
    <w:name w:val="WW_CharLFO25LVL9"/>
    <w:rPr>
      <w:rFonts w:ascii="Wingdings" w:hAnsi="Wingdings"/>
    </w:rPr>
  </w:style>
  <w:style w:type="character" w:customStyle="1" w:styleId="WWCharLFO28LVL1">
    <w:name w:val="WW_CharLFO28LVL1"/>
    <w:rPr>
      <w:rFonts w:ascii="Symbol" w:hAnsi="Symbol"/>
      <w:sz w:val="20"/>
    </w:rPr>
  </w:style>
  <w:style w:type="character" w:customStyle="1" w:styleId="WWCharLFO28LVL2">
    <w:name w:val="WW_CharLFO28LVL2"/>
    <w:rPr>
      <w:rFonts w:ascii="Courier New" w:hAnsi="Courier New"/>
      <w:sz w:val="20"/>
    </w:rPr>
  </w:style>
  <w:style w:type="character" w:customStyle="1" w:styleId="WWCharLFO28LVL3">
    <w:name w:val="WW_CharLFO28LVL3"/>
    <w:rPr>
      <w:rFonts w:ascii="Wingdings" w:hAnsi="Wingdings"/>
      <w:sz w:val="20"/>
    </w:rPr>
  </w:style>
  <w:style w:type="character" w:customStyle="1" w:styleId="WWCharLFO28LVL4">
    <w:name w:val="WW_CharLFO28LVL4"/>
    <w:rPr>
      <w:rFonts w:ascii="Wingdings" w:hAnsi="Wingdings"/>
      <w:sz w:val="20"/>
    </w:rPr>
  </w:style>
  <w:style w:type="character" w:customStyle="1" w:styleId="WWCharLFO28LVL5">
    <w:name w:val="WW_CharLFO28LVL5"/>
    <w:rPr>
      <w:rFonts w:ascii="Wingdings" w:hAnsi="Wingdings"/>
      <w:sz w:val="20"/>
    </w:rPr>
  </w:style>
  <w:style w:type="character" w:customStyle="1" w:styleId="WWCharLFO28LVL6">
    <w:name w:val="WW_CharLFO28LVL6"/>
    <w:rPr>
      <w:rFonts w:ascii="Wingdings" w:hAnsi="Wingdings"/>
      <w:sz w:val="20"/>
    </w:rPr>
  </w:style>
  <w:style w:type="character" w:customStyle="1" w:styleId="WWCharLFO28LVL7">
    <w:name w:val="WW_CharLFO28LVL7"/>
    <w:rPr>
      <w:rFonts w:ascii="Wingdings" w:hAnsi="Wingdings"/>
      <w:sz w:val="20"/>
    </w:rPr>
  </w:style>
  <w:style w:type="character" w:customStyle="1" w:styleId="WWCharLFO28LVL8">
    <w:name w:val="WW_CharLFO28LVL8"/>
    <w:rPr>
      <w:rFonts w:ascii="Wingdings" w:hAnsi="Wingdings"/>
      <w:sz w:val="20"/>
    </w:rPr>
  </w:style>
  <w:style w:type="character" w:customStyle="1" w:styleId="WWCharLFO28LVL9">
    <w:name w:val="WW_CharLFO28LVL9"/>
    <w:rPr>
      <w:rFonts w:ascii="Wingdings" w:hAnsi="Wingdings"/>
      <w:sz w:val="20"/>
    </w:rPr>
  </w:style>
  <w:style w:type="character" w:customStyle="1" w:styleId="WWCharLFO29LVL1">
    <w:name w:val="WW_CharLFO29LVL1"/>
    <w:rPr>
      <w:rFonts w:ascii="Symbol" w:hAnsi="Symbol"/>
    </w:rPr>
  </w:style>
  <w:style w:type="character" w:customStyle="1" w:styleId="WWCharLFO29LVL2">
    <w:name w:val="WW_CharLFO29LVL2"/>
    <w:rPr>
      <w:rFonts w:ascii="Courier New" w:hAnsi="Courier New" w:cs="Courier New"/>
    </w:rPr>
  </w:style>
  <w:style w:type="character" w:customStyle="1" w:styleId="WWCharLFO29LVL3">
    <w:name w:val="WW_CharLFO29LVL3"/>
    <w:rPr>
      <w:rFonts w:ascii="Wingdings" w:hAnsi="Wingdings"/>
    </w:rPr>
  </w:style>
  <w:style w:type="character" w:customStyle="1" w:styleId="WWCharLFO29LVL4">
    <w:name w:val="WW_CharLFO29LVL4"/>
    <w:rPr>
      <w:rFonts w:ascii="Symbol" w:hAnsi="Symbol"/>
    </w:rPr>
  </w:style>
  <w:style w:type="character" w:customStyle="1" w:styleId="WWCharLFO29LVL5">
    <w:name w:val="WW_CharLFO29LVL5"/>
    <w:rPr>
      <w:rFonts w:ascii="Courier New" w:hAnsi="Courier New" w:cs="Courier New"/>
    </w:rPr>
  </w:style>
  <w:style w:type="character" w:customStyle="1" w:styleId="WWCharLFO29LVL6">
    <w:name w:val="WW_CharLFO29LVL6"/>
    <w:rPr>
      <w:rFonts w:ascii="Wingdings" w:hAnsi="Wingdings"/>
    </w:rPr>
  </w:style>
  <w:style w:type="character" w:customStyle="1" w:styleId="WWCharLFO29LVL7">
    <w:name w:val="WW_CharLFO29LVL7"/>
    <w:rPr>
      <w:rFonts w:ascii="Symbol" w:hAnsi="Symbol"/>
    </w:rPr>
  </w:style>
  <w:style w:type="character" w:customStyle="1" w:styleId="WWCharLFO29LVL8">
    <w:name w:val="WW_CharLFO29LVL8"/>
    <w:rPr>
      <w:rFonts w:ascii="Courier New" w:hAnsi="Courier New" w:cs="Courier New"/>
    </w:rPr>
  </w:style>
  <w:style w:type="character" w:customStyle="1" w:styleId="WWCharLFO29LVL9">
    <w:name w:val="WW_CharLFO29LVL9"/>
    <w:rPr>
      <w:rFonts w:ascii="Wingdings" w:hAnsi="Wingdings"/>
    </w:rPr>
  </w:style>
  <w:style w:type="character" w:customStyle="1" w:styleId="WWCharLFO30LVL1">
    <w:name w:val="WW_CharLFO30LVL1"/>
    <w:rPr>
      <w:rFonts w:ascii="Symbol" w:hAnsi="Symbol"/>
    </w:rPr>
  </w:style>
  <w:style w:type="character" w:customStyle="1" w:styleId="WWCharLFO30LVL2">
    <w:name w:val="WW_CharLFO30LVL2"/>
    <w:rPr>
      <w:rFonts w:ascii="Courier New" w:hAnsi="Courier New" w:cs="Courier New"/>
    </w:rPr>
  </w:style>
  <w:style w:type="character" w:customStyle="1" w:styleId="WWCharLFO30LVL3">
    <w:name w:val="WW_CharLFO30LVL3"/>
    <w:rPr>
      <w:rFonts w:ascii="Wingdings" w:hAnsi="Wingdings"/>
    </w:rPr>
  </w:style>
  <w:style w:type="character" w:customStyle="1" w:styleId="WWCharLFO30LVL4">
    <w:name w:val="WW_CharLFO30LVL4"/>
    <w:rPr>
      <w:rFonts w:ascii="Symbol" w:hAnsi="Symbol"/>
    </w:rPr>
  </w:style>
  <w:style w:type="character" w:customStyle="1" w:styleId="WWCharLFO30LVL5">
    <w:name w:val="WW_CharLFO30LVL5"/>
    <w:rPr>
      <w:rFonts w:ascii="Courier New" w:hAnsi="Courier New" w:cs="Courier New"/>
    </w:rPr>
  </w:style>
  <w:style w:type="character" w:customStyle="1" w:styleId="WWCharLFO30LVL6">
    <w:name w:val="WW_CharLFO30LVL6"/>
    <w:rPr>
      <w:rFonts w:ascii="Wingdings" w:hAnsi="Wingdings"/>
    </w:rPr>
  </w:style>
  <w:style w:type="character" w:customStyle="1" w:styleId="WWCharLFO30LVL7">
    <w:name w:val="WW_CharLFO30LVL7"/>
    <w:rPr>
      <w:rFonts w:ascii="Symbol" w:hAnsi="Symbol"/>
    </w:rPr>
  </w:style>
  <w:style w:type="character" w:customStyle="1" w:styleId="WWCharLFO30LVL8">
    <w:name w:val="WW_CharLFO30LVL8"/>
    <w:rPr>
      <w:rFonts w:ascii="Courier New" w:hAnsi="Courier New" w:cs="Courier New"/>
    </w:rPr>
  </w:style>
  <w:style w:type="character" w:customStyle="1" w:styleId="WWCharLFO30LVL9">
    <w:name w:val="WW_CharLFO30LVL9"/>
    <w:rPr>
      <w:rFonts w:ascii="Wingdings" w:hAnsi="Wingdings"/>
    </w:rPr>
  </w:style>
  <w:style w:type="character" w:customStyle="1" w:styleId="WWCharLFO31LVL1">
    <w:name w:val="WW_CharLFO31LVL1"/>
    <w:rPr>
      <w:rFonts w:ascii="Aptos" w:eastAsia="Calibri" w:hAnsi="Aptos" w:cs="Arial"/>
    </w:rPr>
  </w:style>
  <w:style w:type="character" w:customStyle="1" w:styleId="WWCharLFO31LVL2">
    <w:name w:val="WW_CharLFO31LVL2"/>
    <w:rPr>
      <w:rFonts w:ascii="Courier New" w:hAnsi="Courier New" w:cs="Courier New"/>
    </w:rPr>
  </w:style>
  <w:style w:type="character" w:customStyle="1" w:styleId="WWCharLFO31LVL3">
    <w:name w:val="WW_CharLFO31LVL3"/>
    <w:rPr>
      <w:rFonts w:ascii="Wingdings" w:hAnsi="Wingdings"/>
    </w:rPr>
  </w:style>
  <w:style w:type="character" w:customStyle="1" w:styleId="WWCharLFO31LVL4">
    <w:name w:val="WW_CharLFO31LVL4"/>
    <w:rPr>
      <w:rFonts w:ascii="Symbol" w:hAnsi="Symbol"/>
    </w:rPr>
  </w:style>
  <w:style w:type="character" w:customStyle="1" w:styleId="WWCharLFO31LVL5">
    <w:name w:val="WW_CharLFO31LVL5"/>
    <w:rPr>
      <w:rFonts w:ascii="Courier New" w:hAnsi="Courier New" w:cs="Courier New"/>
    </w:rPr>
  </w:style>
  <w:style w:type="character" w:customStyle="1" w:styleId="WWCharLFO31LVL6">
    <w:name w:val="WW_CharLFO31LVL6"/>
    <w:rPr>
      <w:rFonts w:ascii="Wingdings" w:hAnsi="Wingdings"/>
    </w:rPr>
  </w:style>
  <w:style w:type="character" w:customStyle="1" w:styleId="WWCharLFO31LVL7">
    <w:name w:val="WW_CharLFO31LVL7"/>
    <w:rPr>
      <w:rFonts w:ascii="Symbol" w:hAnsi="Symbol"/>
    </w:rPr>
  </w:style>
  <w:style w:type="character" w:customStyle="1" w:styleId="WWCharLFO31LVL8">
    <w:name w:val="WW_CharLFO31LVL8"/>
    <w:rPr>
      <w:rFonts w:ascii="Courier New" w:hAnsi="Courier New" w:cs="Courier New"/>
    </w:rPr>
  </w:style>
  <w:style w:type="character" w:customStyle="1" w:styleId="WWCharLFO31LVL9">
    <w:name w:val="WW_CharLFO31LVL9"/>
    <w:rPr>
      <w:rFonts w:ascii="Wingdings" w:hAnsi="Wingdings"/>
    </w:rPr>
  </w:style>
  <w:style w:type="character" w:customStyle="1" w:styleId="WWCharLFO32LVL1">
    <w:name w:val="WW_CharLFO32LVL1"/>
    <w:rPr>
      <w:rFonts w:ascii="Aptos" w:eastAsia="Calibri" w:hAnsi="Aptos" w:cs="Arial"/>
    </w:rPr>
  </w:style>
  <w:style w:type="character" w:customStyle="1" w:styleId="WWCharLFO32LVL2">
    <w:name w:val="WW_CharLFO32LVL2"/>
    <w:rPr>
      <w:rFonts w:ascii="Courier New" w:hAnsi="Courier New" w:cs="Courier New"/>
    </w:rPr>
  </w:style>
  <w:style w:type="character" w:customStyle="1" w:styleId="WWCharLFO32LVL3">
    <w:name w:val="WW_CharLFO32LVL3"/>
    <w:rPr>
      <w:rFonts w:ascii="Wingdings" w:hAnsi="Wingdings"/>
    </w:rPr>
  </w:style>
  <w:style w:type="character" w:customStyle="1" w:styleId="WWCharLFO32LVL4">
    <w:name w:val="WW_CharLFO32LVL4"/>
    <w:rPr>
      <w:rFonts w:ascii="Symbol" w:hAnsi="Symbol"/>
    </w:rPr>
  </w:style>
  <w:style w:type="character" w:customStyle="1" w:styleId="WWCharLFO32LVL5">
    <w:name w:val="WW_CharLFO32LVL5"/>
    <w:rPr>
      <w:rFonts w:ascii="Courier New" w:hAnsi="Courier New" w:cs="Courier New"/>
    </w:rPr>
  </w:style>
  <w:style w:type="character" w:customStyle="1" w:styleId="WWCharLFO32LVL6">
    <w:name w:val="WW_CharLFO32LVL6"/>
    <w:rPr>
      <w:rFonts w:ascii="Wingdings" w:hAnsi="Wingdings"/>
    </w:rPr>
  </w:style>
  <w:style w:type="character" w:customStyle="1" w:styleId="WWCharLFO32LVL7">
    <w:name w:val="WW_CharLFO32LVL7"/>
    <w:rPr>
      <w:rFonts w:ascii="Symbol" w:hAnsi="Symbol"/>
    </w:rPr>
  </w:style>
  <w:style w:type="character" w:customStyle="1" w:styleId="WWCharLFO32LVL8">
    <w:name w:val="WW_CharLFO32LVL8"/>
    <w:rPr>
      <w:rFonts w:ascii="Courier New" w:hAnsi="Courier New" w:cs="Courier New"/>
    </w:rPr>
  </w:style>
  <w:style w:type="character" w:customStyle="1" w:styleId="WWCharLFO32LVL9">
    <w:name w:val="WW_CharLFO32LVL9"/>
    <w:rPr>
      <w:rFonts w:ascii="Wingdings" w:hAnsi="Wingdings"/>
    </w:rPr>
  </w:style>
  <w:style w:type="character" w:customStyle="1" w:styleId="WWCharLFO33LVL1">
    <w:name w:val="WW_CharLFO33LVL1"/>
    <w:rPr>
      <w:rFonts w:ascii="Symbol" w:hAnsi="Symbol"/>
    </w:rPr>
  </w:style>
  <w:style w:type="character" w:customStyle="1" w:styleId="WWCharLFO33LVL2">
    <w:name w:val="WW_CharLFO33LVL2"/>
    <w:rPr>
      <w:rFonts w:ascii="Courier New" w:hAnsi="Courier New"/>
    </w:rPr>
  </w:style>
  <w:style w:type="character" w:customStyle="1" w:styleId="WWCharLFO33LVL3">
    <w:name w:val="WW_CharLFO33LVL3"/>
    <w:rPr>
      <w:rFonts w:ascii="Wingdings" w:hAnsi="Wingdings"/>
    </w:rPr>
  </w:style>
  <w:style w:type="character" w:customStyle="1" w:styleId="WWCharLFO33LVL4">
    <w:name w:val="WW_CharLFO33LVL4"/>
    <w:rPr>
      <w:rFonts w:ascii="Symbol" w:hAnsi="Symbol"/>
    </w:rPr>
  </w:style>
  <w:style w:type="character" w:customStyle="1" w:styleId="WWCharLFO33LVL5">
    <w:name w:val="WW_CharLFO33LVL5"/>
    <w:rPr>
      <w:rFonts w:ascii="Courier New" w:hAnsi="Courier New"/>
    </w:rPr>
  </w:style>
  <w:style w:type="character" w:customStyle="1" w:styleId="WWCharLFO33LVL6">
    <w:name w:val="WW_CharLFO33LVL6"/>
    <w:rPr>
      <w:rFonts w:ascii="Wingdings" w:hAnsi="Wingdings"/>
    </w:rPr>
  </w:style>
  <w:style w:type="character" w:customStyle="1" w:styleId="WWCharLFO33LVL7">
    <w:name w:val="WW_CharLFO33LVL7"/>
    <w:rPr>
      <w:rFonts w:ascii="Symbol" w:hAnsi="Symbol"/>
    </w:rPr>
  </w:style>
  <w:style w:type="character" w:customStyle="1" w:styleId="WWCharLFO33LVL8">
    <w:name w:val="WW_CharLFO33LVL8"/>
    <w:rPr>
      <w:rFonts w:ascii="Courier New" w:hAnsi="Courier New"/>
    </w:rPr>
  </w:style>
  <w:style w:type="character" w:customStyle="1" w:styleId="WWCharLFO33LVL9">
    <w:name w:val="WW_CharLFO33LVL9"/>
    <w:rPr>
      <w:rFonts w:ascii="Wingdings" w:hAnsi="Wingdings"/>
    </w:rPr>
  </w:style>
  <w:style w:type="character" w:customStyle="1" w:styleId="WWCharLFO35LVL1">
    <w:name w:val="WW_CharLFO35LVL1"/>
    <w:rPr>
      <w:rFonts w:ascii="Symbol" w:hAnsi="Symbol"/>
    </w:rPr>
  </w:style>
  <w:style w:type="character" w:customStyle="1" w:styleId="WWCharLFO35LVL2">
    <w:name w:val="WW_CharLFO35LVL2"/>
    <w:rPr>
      <w:rFonts w:ascii="Courier New" w:hAnsi="Courier New"/>
    </w:rPr>
  </w:style>
  <w:style w:type="character" w:customStyle="1" w:styleId="WWCharLFO35LVL3">
    <w:name w:val="WW_CharLFO35LVL3"/>
    <w:rPr>
      <w:rFonts w:ascii="Wingdings" w:hAnsi="Wingdings"/>
    </w:rPr>
  </w:style>
  <w:style w:type="character" w:customStyle="1" w:styleId="WWCharLFO35LVL4">
    <w:name w:val="WW_CharLFO35LVL4"/>
    <w:rPr>
      <w:rFonts w:ascii="Symbol" w:hAnsi="Symbol"/>
    </w:rPr>
  </w:style>
  <w:style w:type="character" w:customStyle="1" w:styleId="WWCharLFO35LVL5">
    <w:name w:val="WW_CharLFO35LVL5"/>
    <w:rPr>
      <w:rFonts w:ascii="Courier New" w:hAnsi="Courier New"/>
    </w:rPr>
  </w:style>
  <w:style w:type="character" w:customStyle="1" w:styleId="WWCharLFO35LVL6">
    <w:name w:val="WW_CharLFO35LVL6"/>
    <w:rPr>
      <w:rFonts w:ascii="Wingdings" w:hAnsi="Wingdings"/>
    </w:rPr>
  </w:style>
  <w:style w:type="character" w:customStyle="1" w:styleId="WWCharLFO35LVL7">
    <w:name w:val="WW_CharLFO35LVL7"/>
    <w:rPr>
      <w:rFonts w:ascii="Symbol" w:hAnsi="Symbol"/>
    </w:rPr>
  </w:style>
  <w:style w:type="character" w:customStyle="1" w:styleId="WWCharLFO35LVL8">
    <w:name w:val="WW_CharLFO35LVL8"/>
    <w:rPr>
      <w:rFonts w:ascii="Courier New" w:hAnsi="Courier New"/>
    </w:rPr>
  </w:style>
  <w:style w:type="character" w:customStyle="1" w:styleId="WWCharLFO35LVL9">
    <w:name w:val="WW_CharLFO35LVL9"/>
    <w:rPr>
      <w:rFonts w:ascii="Wingdings" w:hAnsi="Wingdings"/>
    </w:rPr>
  </w:style>
  <w:style w:type="character" w:customStyle="1" w:styleId="WWCharLFO36LVL1">
    <w:name w:val="WW_CharLFO36LVL1"/>
    <w:rPr>
      <w:rFonts w:ascii="Symbol" w:hAnsi="Symbol"/>
    </w:rPr>
  </w:style>
  <w:style w:type="character" w:customStyle="1" w:styleId="WWCharLFO36LVL2">
    <w:name w:val="WW_CharLFO36LVL2"/>
    <w:rPr>
      <w:rFonts w:ascii="Courier New" w:hAnsi="Courier New"/>
    </w:rPr>
  </w:style>
  <w:style w:type="character" w:customStyle="1" w:styleId="WWCharLFO36LVL3">
    <w:name w:val="WW_CharLFO36LVL3"/>
    <w:rPr>
      <w:rFonts w:ascii="Wingdings" w:hAnsi="Wingdings"/>
    </w:rPr>
  </w:style>
  <w:style w:type="character" w:customStyle="1" w:styleId="WWCharLFO36LVL4">
    <w:name w:val="WW_CharLFO36LVL4"/>
    <w:rPr>
      <w:rFonts w:ascii="Symbol" w:hAnsi="Symbol"/>
    </w:rPr>
  </w:style>
  <w:style w:type="character" w:customStyle="1" w:styleId="WWCharLFO36LVL5">
    <w:name w:val="WW_CharLFO36LVL5"/>
    <w:rPr>
      <w:rFonts w:ascii="Courier New" w:hAnsi="Courier New"/>
    </w:rPr>
  </w:style>
  <w:style w:type="character" w:customStyle="1" w:styleId="WWCharLFO36LVL6">
    <w:name w:val="WW_CharLFO36LVL6"/>
    <w:rPr>
      <w:rFonts w:ascii="Wingdings" w:hAnsi="Wingdings"/>
    </w:rPr>
  </w:style>
  <w:style w:type="character" w:customStyle="1" w:styleId="WWCharLFO36LVL7">
    <w:name w:val="WW_CharLFO36LVL7"/>
    <w:rPr>
      <w:rFonts w:ascii="Symbol" w:hAnsi="Symbol"/>
    </w:rPr>
  </w:style>
  <w:style w:type="character" w:customStyle="1" w:styleId="WWCharLFO36LVL8">
    <w:name w:val="WW_CharLFO36LVL8"/>
    <w:rPr>
      <w:rFonts w:ascii="Courier New" w:hAnsi="Courier New"/>
    </w:rPr>
  </w:style>
  <w:style w:type="character" w:customStyle="1" w:styleId="WWCharLFO36LVL9">
    <w:name w:val="WW_CharLFO36LVL9"/>
    <w:rPr>
      <w:rFonts w:ascii="Wingdings" w:hAnsi="Wingdings"/>
    </w:rPr>
  </w:style>
  <w:style w:type="character" w:customStyle="1" w:styleId="Caractresdenumrotation">
    <w:name w:val="Caractères de numérotation"/>
  </w:style>
  <w:style w:type="paragraph" w:customStyle="1" w:styleId="Normal1">
    <w:name w:val="Normal1"/>
    <w:pPr>
      <w:suppressAutoHyphens/>
      <w:spacing w:after="160" w:line="256" w:lineRule="auto"/>
    </w:pPr>
    <w:rPr>
      <w:rFonts w:ascii="Calibri" w:eastAsia="Calibri" w:hAnsi="Calibri" w:cs="Arial"/>
      <w:sz w:val="22"/>
      <w:szCs w:val="22"/>
      <w:lang w:eastAsia="ar-SA"/>
    </w:rPr>
  </w:style>
  <w:style w:type="paragraph" w:styleId="En-tte">
    <w:name w:val="header"/>
    <w:basedOn w:val="Normal1"/>
    <w:pPr>
      <w:tabs>
        <w:tab w:val="center" w:pos="4536"/>
        <w:tab w:val="right" w:pos="9072"/>
      </w:tabs>
      <w:spacing w:after="0" w:line="100" w:lineRule="atLeast"/>
    </w:pPr>
  </w:style>
  <w:style w:type="paragraph" w:styleId="Pieddepage">
    <w:name w:val="footer"/>
    <w:basedOn w:val="Normal1"/>
    <w:pPr>
      <w:tabs>
        <w:tab w:val="center" w:pos="4536"/>
        <w:tab w:val="right" w:pos="9072"/>
      </w:tabs>
      <w:spacing w:after="0" w:line="100" w:lineRule="atLeast"/>
    </w:pPr>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1"/>
    <w:uiPriority w:val="34"/>
    <w:qFormat/>
    <w:pPr>
      <w:ind w:left="720"/>
    </w:pPr>
  </w:style>
  <w:style w:type="paragraph" w:customStyle="1" w:styleId="Commentaire1">
    <w:name w:val="Commentaire1"/>
    <w:basedOn w:val="Normal1"/>
    <w:pPr>
      <w:spacing w:line="100" w:lineRule="atLeast"/>
    </w:pPr>
    <w:rPr>
      <w:sz w:val="20"/>
      <w:szCs w:val="20"/>
    </w:rPr>
  </w:style>
  <w:style w:type="paragraph" w:styleId="Objetducommentaire">
    <w:name w:val="annotation subject"/>
    <w:basedOn w:val="Commentaire1"/>
    <w:next w:val="Commentaire1"/>
    <w:rPr>
      <w:b/>
      <w:bCs/>
    </w:rPr>
  </w:style>
  <w:style w:type="paragraph" w:customStyle="1" w:styleId="Paragraphe">
    <w:name w:val="Paragraphe"/>
    <w:basedOn w:val="Normal1"/>
    <w:qFormat/>
    <w:pPr>
      <w:jc w:val="both"/>
    </w:pPr>
    <w:rPr>
      <w:rFonts w:ascii="Verdana" w:hAnsi="Verdana" w:cs="Calibri"/>
      <w:sz w:val="20"/>
      <w:szCs w:val="20"/>
    </w:rPr>
  </w:style>
  <w:style w:type="paragraph" w:customStyle="1" w:styleId="Titrepartie">
    <w:name w:val="Titre partie"/>
    <w:basedOn w:val="Paragraphedeliste"/>
    <w:pPr>
      <w:numPr>
        <w:numId w:val="1"/>
      </w:numPr>
      <w:jc w:val="both"/>
    </w:pPr>
    <w:rPr>
      <w:rFonts w:ascii="Verdana" w:hAnsi="Verdana" w:cs="Calibri"/>
      <w:b/>
      <w:bCs/>
      <w:color w:val="0070C0"/>
      <w:szCs w:val="20"/>
    </w:rPr>
  </w:style>
  <w:style w:type="paragraph" w:customStyle="1" w:styleId="Exergue">
    <w:name w:val="Exergue"/>
    <w:basedOn w:val="Normal1"/>
    <w:pPr>
      <w:spacing w:after="0" w:line="100" w:lineRule="atLeast"/>
      <w:jc w:val="both"/>
    </w:pPr>
    <w:rPr>
      <w:rFonts w:ascii="Verdana" w:eastAsia="Times New Roman" w:hAnsi="Verdana" w:cs="Times New Roman"/>
      <w:b/>
      <w:bCs/>
      <w:i/>
      <w:sz w:val="20"/>
      <w:szCs w:val="20"/>
    </w:rPr>
  </w:style>
  <w:style w:type="paragraph" w:customStyle="1" w:styleId="Sous-partie2">
    <w:name w:val="Sous-partie 2"/>
    <w:basedOn w:val="Paragraphedeliste"/>
    <w:pPr>
      <w:tabs>
        <w:tab w:val="num" w:pos="66"/>
      </w:tabs>
      <w:ind w:left="786" w:hanging="360"/>
      <w:jc w:val="both"/>
    </w:pPr>
    <w:rPr>
      <w:rFonts w:ascii="Verdana" w:hAnsi="Verdana" w:cs="Calibri"/>
      <w:color w:val="0070C0"/>
      <w:sz w:val="20"/>
      <w:szCs w:val="20"/>
    </w:rPr>
  </w:style>
  <w:style w:type="paragraph" w:styleId="Sansinterligne">
    <w:name w:val="No Spacing"/>
    <w:qFormat/>
    <w:pPr>
      <w:suppressAutoHyphens/>
      <w:spacing w:after="80" w:line="100" w:lineRule="atLeast"/>
    </w:pPr>
    <w:rPr>
      <w:rFonts w:ascii="Calibri" w:eastAsia="Calibri" w:hAnsi="Calibri"/>
      <w:sz w:val="22"/>
      <w:szCs w:val="22"/>
      <w:lang w:eastAsia="ar-SA"/>
    </w:rPr>
  </w:style>
  <w:style w:type="paragraph" w:styleId="NormalWeb">
    <w:name w:val="Normal (Web)"/>
    <w:basedOn w:val="Normal1"/>
    <w:uiPriority w:val="99"/>
    <w:rPr>
      <w:rFonts w:ascii="Times New Roman" w:hAnsi="Times New Roman" w:cs="Times New Roman"/>
      <w:sz w:val="24"/>
      <w:szCs w:val="24"/>
    </w:rPr>
  </w:style>
  <w:style w:type="paragraph" w:styleId="Rvision">
    <w:name w:val="Revision"/>
    <w:pPr>
      <w:suppressAutoHyphens/>
      <w:spacing w:line="100" w:lineRule="atLeast"/>
    </w:pPr>
    <w:rPr>
      <w:rFonts w:ascii="Calibri" w:eastAsia="Calibri" w:hAnsi="Calibri" w:cs="Arial"/>
      <w:sz w:val="22"/>
      <w:szCs w:val="22"/>
      <w:lang w:eastAsia="ar-SA"/>
    </w:rPr>
  </w:style>
  <w:style w:type="paragraph" w:customStyle="1" w:styleId="Contenudetableau">
    <w:name w:val="Contenu de tableau"/>
    <w:basedOn w:val="Normal"/>
    <w:pPr>
      <w:suppressLineNumbers/>
    </w:pPr>
  </w:style>
  <w:style w:type="paragraph" w:styleId="Corpsdetexte">
    <w:name w:val="Body Text"/>
    <w:basedOn w:val="Normal"/>
    <w:pPr>
      <w:spacing w:after="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1610</Words>
  <Characters>9292</Characters>
  <Application>Microsoft Office Word</Application>
  <DocSecurity>0</DocSecurity>
  <Lines>160</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cp:lastModifiedBy>Gilles RIBOUET</cp:lastModifiedBy>
  <cp:revision>2</cp:revision>
  <cp:lastPrinted>1899-12-31T20:00:00Z</cp:lastPrinted>
  <dcterms:created xsi:type="dcterms:W3CDTF">2026-05-12T07:16:00Z</dcterms:created>
  <dcterms:modified xsi:type="dcterms:W3CDTF">2026-05-12T07:16:00Z</dcterms:modified>
</cp:coreProperties>
</file>