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2A502D52">
        <w:tc>
          <w:tcPr>
            <w:tcW w:w="9062" w:type="dxa"/>
            <w:gridSpan w:val="2"/>
          </w:tcPr>
          <w:p w14:paraId="6FC76F95" w14:textId="0EB2EA81" w:rsidR="00EC22CC" w:rsidRPr="00705325" w:rsidRDefault="002D1EB5" w:rsidP="00705325">
            <w:pPr>
              <w:ind w:left="720"/>
              <w:jc w:val="center"/>
              <w:rPr>
                <w:rFonts w:ascii="Verdana" w:hAnsi="Verdana"/>
                <w:b/>
                <w:bCs/>
              </w:rPr>
            </w:pPr>
            <w:r>
              <w:rPr>
                <w:rFonts w:ascii="Verdana" w:hAnsi="Verdana"/>
                <w:b/>
                <w:bCs/>
              </w:rPr>
              <w:t>Poste de Directeur/</w:t>
            </w:r>
            <w:proofErr w:type="spellStart"/>
            <w:r>
              <w:rPr>
                <w:rFonts w:ascii="Verdana" w:hAnsi="Verdana"/>
                <w:b/>
                <w:bCs/>
              </w:rPr>
              <w:t>trice</w:t>
            </w:r>
            <w:proofErr w:type="spellEnd"/>
            <w:r w:rsidR="00E2774E" w:rsidRPr="00E2774E">
              <w:rPr>
                <w:rFonts w:ascii="Verdana" w:hAnsi="Verdana"/>
                <w:b/>
                <w:bCs/>
              </w:rPr>
              <w:t xml:space="preserve"> auprès du </w:t>
            </w:r>
            <w:r w:rsidR="00FA0C43">
              <w:rPr>
                <w:rFonts w:ascii="Verdana" w:hAnsi="Verdana"/>
                <w:b/>
                <w:bCs/>
              </w:rPr>
              <w:t>S</w:t>
            </w:r>
            <w:r w:rsidR="00E2774E" w:rsidRPr="00E2774E">
              <w:rPr>
                <w:rFonts w:ascii="Verdana" w:hAnsi="Verdana"/>
                <w:b/>
                <w:bCs/>
              </w:rPr>
              <w:t>ecrétariat général de la COI</w:t>
            </w:r>
          </w:p>
        </w:tc>
      </w:tr>
      <w:tr w:rsidR="00EC22CC" w14:paraId="7F1B63D2" w14:textId="77777777" w:rsidTr="2A502D52">
        <w:tc>
          <w:tcPr>
            <w:tcW w:w="7225" w:type="dxa"/>
          </w:tcPr>
          <w:p w14:paraId="056D9B10" w14:textId="01F44339" w:rsidR="00EC22CC" w:rsidRPr="002A096E" w:rsidRDefault="009B06FC" w:rsidP="002A096E">
            <w:pPr>
              <w:rPr>
                <w:rFonts w:ascii="Verdana" w:hAnsi="Verdana"/>
                <w:sz w:val="20"/>
                <w:szCs w:val="20"/>
              </w:rPr>
            </w:pPr>
            <w:r w:rsidRPr="2A502D52">
              <w:rPr>
                <w:rFonts w:ascii="Verdana" w:hAnsi="Verdana"/>
                <w:sz w:val="20"/>
                <w:szCs w:val="20"/>
              </w:rPr>
              <w:t>Comité des OPL 0</w:t>
            </w:r>
            <w:r w:rsidR="0072142E">
              <w:rPr>
                <w:rFonts w:ascii="Verdana" w:hAnsi="Verdana"/>
                <w:sz w:val="20"/>
                <w:szCs w:val="20"/>
              </w:rPr>
              <w:t>2</w:t>
            </w:r>
            <w:r w:rsidRPr="2A502D52">
              <w:rPr>
                <w:rFonts w:ascii="Verdana" w:hAnsi="Verdana"/>
                <w:sz w:val="20"/>
                <w:szCs w:val="20"/>
              </w:rPr>
              <w:t>/202</w:t>
            </w:r>
            <w:r w:rsidR="4B0A59A4" w:rsidRPr="2A502D52">
              <w:rPr>
                <w:rFonts w:ascii="Verdana" w:hAnsi="Verdana"/>
                <w:sz w:val="20"/>
                <w:szCs w:val="20"/>
              </w:rPr>
              <w:t>6</w:t>
            </w:r>
            <w:r w:rsidRPr="2A502D52">
              <w:rPr>
                <w:rFonts w:ascii="Verdana" w:hAnsi="Verdana"/>
                <w:sz w:val="20"/>
                <w:szCs w:val="20"/>
              </w:rPr>
              <w:t xml:space="preserve"> </w:t>
            </w:r>
            <w:r w:rsidR="00FA0C43" w:rsidRPr="2A502D52">
              <w:rPr>
                <w:rFonts w:ascii="Verdana" w:hAnsi="Verdana"/>
                <w:sz w:val="20"/>
                <w:szCs w:val="20"/>
              </w:rPr>
              <w:t xml:space="preserve">| </w:t>
            </w:r>
            <w:proofErr w:type="gramStart"/>
            <w:r w:rsidR="084711BD" w:rsidRPr="2A502D52">
              <w:rPr>
                <w:rFonts w:ascii="Verdana" w:hAnsi="Verdana"/>
                <w:sz w:val="20"/>
                <w:szCs w:val="20"/>
              </w:rPr>
              <w:t>Mai</w:t>
            </w:r>
            <w:proofErr w:type="gramEnd"/>
            <w:r w:rsidR="084711BD" w:rsidRPr="2A502D52">
              <w:rPr>
                <w:rFonts w:ascii="Verdana" w:hAnsi="Verdana"/>
                <w:sz w:val="20"/>
                <w:szCs w:val="20"/>
              </w:rPr>
              <w:t xml:space="preserve"> 2026</w:t>
            </w:r>
          </w:p>
        </w:tc>
        <w:tc>
          <w:tcPr>
            <w:tcW w:w="1837" w:type="dxa"/>
          </w:tcPr>
          <w:p w14:paraId="58E25D1F" w14:textId="12C38E5E"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585186">
              <w:rPr>
                <w:rFonts w:ascii="Verdana" w:hAnsi="Verdana"/>
                <w:sz w:val="20"/>
                <w:szCs w:val="20"/>
              </w:rPr>
              <w:t>3.</w:t>
            </w:r>
            <w:r w:rsidR="00054479">
              <w:rPr>
                <w:rFonts w:ascii="Verdana" w:hAnsi="Verdana"/>
                <w:sz w:val="20"/>
                <w:szCs w:val="20"/>
              </w:rPr>
              <w:t>3</w:t>
            </w:r>
            <w:r w:rsidR="0072142E">
              <w:rPr>
                <w:rFonts w:ascii="Verdana" w:hAnsi="Verdana"/>
                <w:sz w:val="20"/>
                <w:szCs w:val="20"/>
              </w:rPr>
              <w:t>.</w:t>
            </w:r>
          </w:p>
        </w:tc>
      </w:tr>
      <w:tr w:rsidR="00EC22CC" w14:paraId="537D1DE5" w14:textId="77777777" w:rsidTr="2A502D52">
        <w:tc>
          <w:tcPr>
            <w:tcW w:w="7225" w:type="dxa"/>
          </w:tcPr>
          <w:p w14:paraId="43DEF09E" w14:textId="2283884A"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977A3E">
              <w:rPr>
                <w:rFonts w:ascii="Verdana" w:hAnsi="Verdana"/>
                <w:i/>
                <w:iCs/>
                <w:sz w:val="20"/>
                <w:szCs w:val="20"/>
              </w:rPr>
              <w:t>Klervi Congard, GRH</w:t>
            </w:r>
          </w:p>
        </w:tc>
        <w:tc>
          <w:tcPr>
            <w:tcW w:w="1837" w:type="dxa"/>
          </w:tcPr>
          <w:p w14:paraId="5AC1AFAB" w14:textId="6F6A0DFC" w:rsidR="00EC22CC" w:rsidRPr="002A0933" w:rsidRDefault="00833A35" w:rsidP="00854EEA">
            <w:pPr>
              <w:jc w:val="center"/>
              <w:rPr>
                <w:rFonts w:ascii="Verdana" w:hAnsi="Verdana"/>
                <w:sz w:val="20"/>
                <w:szCs w:val="20"/>
              </w:rPr>
            </w:pPr>
            <w:r>
              <w:rPr>
                <w:rFonts w:ascii="Verdana" w:hAnsi="Verdana"/>
                <w:sz w:val="20"/>
                <w:szCs w:val="20"/>
              </w:rPr>
              <w:t>Décision</w:t>
            </w:r>
          </w:p>
        </w:tc>
      </w:tr>
      <w:tr w:rsidR="00A90305" w14:paraId="6896DB30" w14:textId="77777777" w:rsidTr="2A502D52">
        <w:tc>
          <w:tcPr>
            <w:tcW w:w="9062" w:type="dxa"/>
            <w:gridSpan w:val="2"/>
          </w:tcPr>
          <w:p w14:paraId="0495241B" w14:textId="38EDC0AE" w:rsidR="00A90305" w:rsidRDefault="005E4952" w:rsidP="2A502D52">
            <w:r w:rsidRPr="2A502D52">
              <w:rPr>
                <w:rFonts w:ascii="Verdana" w:hAnsi="Verdana"/>
                <w:i/>
                <w:iCs/>
                <w:sz w:val="20"/>
                <w:szCs w:val="20"/>
              </w:rPr>
              <w:t xml:space="preserve">Version du </w:t>
            </w:r>
            <w:r w:rsidR="29505BF4" w:rsidRPr="2A502D52">
              <w:rPr>
                <w:rFonts w:ascii="Verdana" w:hAnsi="Verdana"/>
                <w:i/>
                <w:iCs/>
                <w:sz w:val="20"/>
                <w:szCs w:val="20"/>
              </w:rPr>
              <w:t>2</w:t>
            </w:r>
            <w:r w:rsidR="00A25177">
              <w:rPr>
                <w:rFonts w:ascii="Verdana" w:hAnsi="Verdana"/>
                <w:i/>
                <w:iCs/>
                <w:sz w:val="20"/>
                <w:szCs w:val="20"/>
              </w:rPr>
              <w:t>7</w:t>
            </w:r>
            <w:r w:rsidR="29505BF4" w:rsidRPr="2A502D52">
              <w:rPr>
                <w:rFonts w:ascii="Verdana" w:hAnsi="Verdana"/>
                <w:i/>
                <w:iCs/>
                <w:sz w:val="20"/>
                <w:szCs w:val="20"/>
              </w:rPr>
              <w:t xml:space="preserve"> avril 2026</w:t>
            </w:r>
          </w:p>
        </w:tc>
      </w:tr>
    </w:tbl>
    <w:p w14:paraId="65A9676B" w14:textId="77777777" w:rsidR="00C45BFC" w:rsidRDefault="00C45BFC" w:rsidP="002116ED">
      <w:pPr>
        <w:spacing w:after="120" w:line="240" w:lineRule="auto"/>
        <w:contextualSpacing/>
        <w:jc w:val="both"/>
        <w:rPr>
          <w:rFonts w:ascii="Verdana" w:hAnsi="Verdana"/>
          <w:sz w:val="20"/>
          <w:szCs w:val="20"/>
        </w:rPr>
      </w:pPr>
      <w:bookmarkStart w:id="0" w:name="_Hlk24535240"/>
    </w:p>
    <w:p w14:paraId="3D27EBCA" w14:textId="00F05E5C" w:rsidR="00CE415D" w:rsidRDefault="00CE415D" w:rsidP="002116ED">
      <w:pPr>
        <w:pStyle w:val="Titrepartie"/>
        <w:spacing w:after="120"/>
      </w:pPr>
      <w:r w:rsidRPr="00363ED0">
        <w:t>Directeur auprès du Secrétariat général de la COI</w:t>
      </w:r>
      <w:r>
        <w:t xml:space="preserve"> – proposition de décision (c)</w:t>
      </w:r>
    </w:p>
    <w:p w14:paraId="3041B8A0" w14:textId="35522BE6" w:rsidR="00CE415D" w:rsidRPr="00126D1D" w:rsidRDefault="00CE415D" w:rsidP="002116ED">
      <w:pPr>
        <w:pStyle w:val="Sous-partie2"/>
        <w:spacing w:after="120"/>
      </w:pPr>
      <w:r w:rsidRPr="00126D1D">
        <w:t>Historique</w:t>
      </w:r>
    </w:p>
    <w:p w14:paraId="6454976F" w14:textId="77777777" w:rsidR="00CE415D" w:rsidRPr="00670951" w:rsidRDefault="00CE415D" w:rsidP="002116ED">
      <w:pPr>
        <w:pStyle w:val="Paragraphe"/>
        <w:spacing w:after="120"/>
      </w:pPr>
      <w:r w:rsidRPr="00670951">
        <w:t>En 2012, dans un contexte marqué par une augmentation significative du volume d’activités du Secrétariat général de la Commission de l’océan Indien (SG-COI), plusieurs études (notamment Ernst &amp; Young en 2007 et STRADEVCO en 2012) ont mis en évidence le décalage entre l’ampleur de l’agenda thématique de la COI et les moyens humains et financiers disponibles pour y répondre efficacement.</w:t>
      </w:r>
    </w:p>
    <w:p w14:paraId="1C4257D7" w14:textId="75A44F65" w:rsidR="00CE415D" w:rsidRPr="00670951" w:rsidRDefault="00CE415D" w:rsidP="002116ED">
      <w:pPr>
        <w:pStyle w:val="Paragraphe"/>
        <w:spacing w:after="120"/>
      </w:pPr>
      <w:r w:rsidRPr="00670951">
        <w:t>Prenant acte de ces constats, le 2</w:t>
      </w:r>
      <w:r w:rsidR="00A53E0F">
        <w:t>8</w:t>
      </w:r>
      <w:r w:rsidRPr="00224C99">
        <w:rPr>
          <w:rFonts w:ascii="Arial" w:hAnsi="Arial" w:cs="Arial"/>
        </w:rPr>
        <w:t>ᵉ</w:t>
      </w:r>
      <w:r w:rsidRPr="00670951">
        <w:t xml:space="preserve"> Conseil des ministres de la COI, tenu en 2013, a décidé d’engager un processus de renforcement du SG-COI. À cette occasion, les États membres </w:t>
      </w:r>
      <w:r>
        <w:t>ont invité le</w:t>
      </w:r>
      <w:r w:rsidRPr="00670951">
        <w:t xml:space="preserve"> Secréta</w:t>
      </w:r>
      <w:r>
        <w:t>riat</w:t>
      </w:r>
      <w:r w:rsidRPr="00670951">
        <w:t xml:space="preserve"> général à poursuivre une réflexion globale sur la restructuration et le renforcement durable du Secrétariat général. Dans ce cadre, le SG-COI a exploré différentes options visant à améliorer sa capacité opérationnelle et managériale.</w:t>
      </w:r>
    </w:p>
    <w:p w14:paraId="383096C4" w14:textId="77777777" w:rsidR="00CE415D" w:rsidRPr="00224C99" w:rsidRDefault="00CE415D" w:rsidP="002116ED">
      <w:pPr>
        <w:pStyle w:val="Paragraphe"/>
        <w:spacing w:after="120"/>
        <w:contextualSpacing/>
      </w:pPr>
      <w:r w:rsidRPr="002B6A79">
        <w:t>Cette démarche a conduit</w:t>
      </w:r>
      <w:r>
        <w:t xml:space="preserve">, </w:t>
      </w:r>
      <w:r w:rsidRPr="00224C99">
        <w:t>lors du 28</w:t>
      </w:r>
      <w:r w:rsidRPr="00224C99">
        <w:rPr>
          <w:rFonts w:ascii="Arial" w:hAnsi="Arial" w:cs="Arial"/>
        </w:rPr>
        <w:t>ᵉ</w:t>
      </w:r>
      <w:r w:rsidRPr="00224C99">
        <w:t xml:space="preserve"> Conseil des ministres</w:t>
      </w:r>
      <w:r>
        <w:t>, à</w:t>
      </w:r>
      <w:r w:rsidRPr="00224C99">
        <w:t xml:space="preserve"> la création </w:t>
      </w:r>
      <w:r>
        <w:t>de</w:t>
      </w:r>
      <w:r w:rsidRPr="00224C99">
        <w:t xml:space="preserve"> postes essentiels </w:t>
      </w:r>
      <w:r>
        <w:t>pour assurer pleinement les fonctions du</w:t>
      </w:r>
      <w:r w:rsidRPr="00224C99">
        <w:t xml:space="preserve"> Secrétariat général (SG-COI)</w:t>
      </w:r>
      <w:r>
        <w:t xml:space="preserve">, </w:t>
      </w:r>
      <w:r w:rsidRPr="00224C99">
        <w:t>notamment</w:t>
      </w:r>
      <w:r>
        <w:t xml:space="preserve"> celui</w:t>
      </w:r>
      <w:r w:rsidRPr="00224C99">
        <w:t xml:space="preserve"> d’administrateur auprès du secrétariat général.</w:t>
      </w:r>
      <w:r>
        <w:t xml:space="preserve"> </w:t>
      </w:r>
    </w:p>
    <w:p w14:paraId="3B14B7DE" w14:textId="77777777" w:rsidR="00CE415D" w:rsidRDefault="00CE415D" w:rsidP="002116ED">
      <w:pPr>
        <w:spacing w:after="120" w:line="240" w:lineRule="auto"/>
        <w:jc w:val="both"/>
        <w:rPr>
          <w:rFonts w:ascii="Verdana" w:hAnsi="Verdana" w:cs="Calibri"/>
          <w:sz w:val="20"/>
          <w:szCs w:val="20"/>
        </w:rPr>
      </w:pPr>
      <w:r w:rsidRPr="00D87479">
        <w:rPr>
          <w:rFonts w:ascii="Verdana" w:hAnsi="Verdana" w:cs="Calibri"/>
          <w:sz w:val="20"/>
          <w:szCs w:val="20"/>
        </w:rPr>
        <w:t>L’idée de doter le Secrétaire général d’un appui à la gestion n’était pas nouvelle</w:t>
      </w:r>
      <w:r>
        <w:rPr>
          <w:rFonts w:ascii="Verdana" w:hAnsi="Verdana" w:cs="Calibri"/>
          <w:sz w:val="20"/>
          <w:szCs w:val="20"/>
        </w:rPr>
        <w:t>. A</w:t>
      </w:r>
      <w:r w:rsidRPr="00D87479">
        <w:rPr>
          <w:rFonts w:ascii="Verdana" w:hAnsi="Verdana" w:cs="Calibri"/>
          <w:sz w:val="20"/>
          <w:szCs w:val="20"/>
        </w:rPr>
        <w:t xml:space="preserve">u fil des années, plusieurs propositions avaient été formulées, notamment </w:t>
      </w:r>
      <w:r w:rsidRPr="005B319D">
        <w:rPr>
          <w:rFonts w:ascii="Verdana" w:hAnsi="Verdana" w:cs="Calibri"/>
          <w:sz w:val="20"/>
          <w:szCs w:val="20"/>
        </w:rPr>
        <w:t>la création d’un poste de Secrétaire général adjoint, puis de Directeur des opérations. Toutefois</w:t>
      </w:r>
      <w:r w:rsidRPr="00D87479">
        <w:rPr>
          <w:rFonts w:ascii="Verdana" w:hAnsi="Verdana" w:cs="Calibri"/>
          <w:sz w:val="20"/>
          <w:szCs w:val="20"/>
        </w:rPr>
        <w:t>, ces propositions ont été confrontées à divers obstacles internes et externes, qui ont freiné leur mise en œuvre.</w:t>
      </w:r>
    </w:p>
    <w:p w14:paraId="0976F050" w14:textId="77777777" w:rsidR="00CE415D" w:rsidRPr="00720F88" w:rsidRDefault="00CE415D" w:rsidP="002116ED">
      <w:pPr>
        <w:spacing w:after="120" w:line="240" w:lineRule="auto"/>
        <w:jc w:val="both"/>
        <w:rPr>
          <w:rFonts w:ascii="Verdana" w:eastAsia="SimSun" w:hAnsi="Verdana" w:cs="Calibri"/>
          <w:color w:val="000000"/>
          <w:sz w:val="20"/>
          <w:szCs w:val="20"/>
          <w:lang w:eastAsia="zh-CN"/>
        </w:rPr>
      </w:pPr>
      <w:r w:rsidRPr="00EB35A8">
        <w:rPr>
          <w:rFonts w:ascii="Verdana" w:eastAsia="SimSun" w:hAnsi="Verdana" w:cs="Calibri"/>
          <w:color w:val="000000"/>
          <w:sz w:val="20"/>
          <w:szCs w:val="20"/>
          <w:lang w:eastAsia="zh-CN"/>
        </w:rPr>
        <w:t xml:space="preserve">Néanmoins, le principe de créer un poste de cadre supérieur chargé de seconder le Secrétaire général dans ses fonctions managériales a toujours fait consensus. Ce poste visait à apporter un appui stratégique à la prise de décision (notamment en matière de planification du futur plan de développement stratégique de la COI et de suivi de son exécution), tout en veillant à la bonne gestion administrative du SG-COI. </w:t>
      </w:r>
      <w:r w:rsidRPr="00730153">
        <w:rPr>
          <w:rFonts w:ascii="Verdana" w:eastAsia="SimSun" w:hAnsi="Verdana" w:cs="Calibri"/>
          <w:color w:val="000000"/>
          <w:sz w:val="20"/>
          <w:szCs w:val="20"/>
          <w:lang w:eastAsia="zh-CN"/>
        </w:rPr>
        <w:t>Il a été proposé de créer un poste initialement intitulé Administrateur, puis renommé Directeur, de niveau équivalent à celui de Chargé de mission</w:t>
      </w:r>
      <w:r>
        <w:rPr>
          <w:rFonts w:ascii="Verdana" w:eastAsia="SimSun" w:hAnsi="Verdana" w:cs="Calibri"/>
          <w:color w:val="000000"/>
          <w:sz w:val="20"/>
          <w:szCs w:val="20"/>
          <w:lang w:eastAsia="zh-CN"/>
        </w:rPr>
        <w:t xml:space="preserve"> </w:t>
      </w:r>
      <w:r w:rsidRPr="00CB2DEC">
        <w:rPr>
          <w:rFonts w:ascii="Verdana" w:eastAsia="SimSun" w:hAnsi="Verdana" w:cs="Calibri"/>
          <w:color w:val="000000"/>
          <w:sz w:val="20"/>
          <w:szCs w:val="20"/>
          <w:lang w:eastAsia="zh-CN"/>
        </w:rPr>
        <w:t xml:space="preserve">lors </w:t>
      </w:r>
      <w:r w:rsidRPr="00720F88">
        <w:rPr>
          <w:rFonts w:ascii="Verdana" w:eastAsia="SimSun" w:hAnsi="Verdana" w:cs="Calibri"/>
          <w:color w:val="000000"/>
          <w:sz w:val="20"/>
          <w:szCs w:val="20"/>
          <w:lang w:eastAsia="zh-CN"/>
        </w:rPr>
        <w:t>du 28</w:t>
      </w:r>
      <w:r w:rsidRPr="00720F88">
        <w:rPr>
          <w:rFonts w:ascii="Arial" w:eastAsia="SimSun" w:hAnsi="Arial" w:cs="Arial"/>
          <w:color w:val="000000"/>
          <w:sz w:val="20"/>
          <w:szCs w:val="20"/>
          <w:lang w:eastAsia="zh-CN"/>
        </w:rPr>
        <w:t>ᵉ</w:t>
      </w:r>
      <w:r w:rsidRPr="00720F88">
        <w:rPr>
          <w:rFonts w:ascii="Verdana" w:eastAsia="SimSun" w:hAnsi="Verdana" w:cs="Calibri"/>
          <w:color w:val="000000"/>
          <w:sz w:val="20"/>
          <w:szCs w:val="20"/>
          <w:lang w:eastAsia="zh-CN"/>
        </w:rPr>
        <w:t xml:space="preserve"> Conseil des ministres de 2013.</w:t>
      </w:r>
    </w:p>
    <w:p w14:paraId="69AC6CBC" w14:textId="287265EA" w:rsidR="00CE415D" w:rsidRPr="00CB2DEC" w:rsidRDefault="00CE415D" w:rsidP="002116ED">
      <w:pPr>
        <w:spacing w:after="120" w:line="240" w:lineRule="auto"/>
        <w:jc w:val="both"/>
        <w:rPr>
          <w:rFonts w:ascii="Verdana" w:eastAsia="SimSun" w:hAnsi="Verdana" w:cs="Calibri"/>
          <w:color w:val="000000"/>
          <w:sz w:val="20"/>
          <w:szCs w:val="20"/>
          <w:lang w:eastAsia="zh-CN"/>
        </w:rPr>
      </w:pPr>
      <w:r w:rsidRPr="00CB2DEC">
        <w:rPr>
          <w:rFonts w:ascii="Verdana" w:eastAsia="SimSun" w:hAnsi="Verdana" w:cs="Calibri"/>
          <w:color w:val="000000"/>
          <w:sz w:val="20"/>
          <w:szCs w:val="20"/>
          <w:lang w:eastAsia="zh-CN"/>
        </w:rPr>
        <w:t>S’ag</w:t>
      </w:r>
      <w:r w:rsidR="002116ED">
        <w:rPr>
          <w:rFonts w:ascii="Verdana" w:eastAsia="SimSun" w:hAnsi="Verdana" w:cs="Calibri"/>
          <w:color w:val="000000"/>
          <w:sz w:val="20"/>
          <w:szCs w:val="20"/>
          <w:lang w:eastAsia="zh-CN"/>
        </w:rPr>
        <w:t>i</w:t>
      </w:r>
      <w:r w:rsidRPr="00CB2DEC">
        <w:rPr>
          <w:rFonts w:ascii="Verdana" w:eastAsia="SimSun" w:hAnsi="Verdana" w:cs="Calibri"/>
          <w:color w:val="000000"/>
          <w:sz w:val="20"/>
          <w:szCs w:val="20"/>
          <w:lang w:eastAsia="zh-CN"/>
        </w:rPr>
        <w:t>ssant des termes de référence initiaux, le Secrétariat général avait proposé d’engager les discussions à partir de ceux élaborés pour le poste de Secrétaire général adjoint, présentés au Comité des OPL en mars 2012.</w:t>
      </w:r>
    </w:p>
    <w:p w14:paraId="16D45E29" w14:textId="29D075E9" w:rsidR="00CE415D" w:rsidRPr="00BA573B" w:rsidRDefault="00CE415D" w:rsidP="002116ED">
      <w:pPr>
        <w:spacing w:after="120" w:line="240" w:lineRule="auto"/>
        <w:jc w:val="both"/>
        <w:rPr>
          <w:rFonts w:ascii="Verdana" w:eastAsia="SimSun" w:hAnsi="Verdana" w:cs="Calibri"/>
          <w:color w:val="000000"/>
          <w:sz w:val="20"/>
          <w:szCs w:val="20"/>
          <w:lang w:eastAsia="zh-CN"/>
        </w:rPr>
      </w:pPr>
      <w:r>
        <w:rPr>
          <w:rFonts w:ascii="Verdana" w:eastAsia="SimSun" w:hAnsi="Verdana" w:cs="Calibri"/>
          <w:color w:val="000000"/>
          <w:sz w:val="20"/>
          <w:szCs w:val="20"/>
          <w:lang w:eastAsia="zh-CN"/>
        </w:rPr>
        <w:t>Les</w:t>
      </w:r>
      <w:r w:rsidRPr="00CE286D">
        <w:rPr>
          <w:rFonts w:ascii="Verdana" w:eastAsia="SimSun" w:hAnsi="Verdana" w:cs="Calibri"/>
          <w:color w:val="000000"/>
          <w:sz w:val="20"/>
          <w:szCs w:val="20"/>
          <w:lang w:eastAsia="zh-CN"/>
        </w:rPr>
        <w:t xml:space="preserve"> termes de référence du poste de Directeur auprès du SG-COI</w:t>
      </w:r>
      <w:r w:rsidRPr="00844AD3">
        <w:rPr>
          <w:rFonts w:ascii="Verdana" w:eastAsia="SimSun" w:hAnsi="Verdana" w:cs="Calibri"/>
          <w:color w:val="000000"/>
          <w:sz w:val="20"/>
          <w:szCs w:val="20"/>
          <w:lang w:eastAsia="zh-CN"/>
        </w:rPr>
        <w:t xml:space="preserve"> </w:t>
      </w:r>
      <w:r>
        <w:rPr>
          <w:rFonts w:ascii="Verdana" w:eastAsia="SimSun" w:hAnsi="Verdana" w:cs="Calibri"/>
          <w:color w:val="000000"/>
          <w:sz w:val="20"/>
          <w:szCs w:val="20"/>
          <w:lang w:eastAsia="zh-CN"/>
        </w:rPr>
        <w:t xml:space="preserve">ont été </w:t>
      </w:r>
      <w:r w:rsidRPr="00CE286D">
        <w:rPr>
          <w:rFonts w:ascii="Verdana" w:eastAsia="SimSun" w:hAnsi="Verdana" w:cs="Calibri"/>
          <w:color w:val="000000"/>
          <w:sz w:val="20"/>
          <w:szCs w:val="20"/>
          <w:lang w:eastAsia="zh-CN"/>
        </w:rPr>
        <w:t>révisés</w:t>
      </w:r>
      <w:r>
        <w:rPr>
          <w:rFonts w:ascii="Verdana" w:eastAsia="SimSun" w:hAnsi="Verdana" w:cs="Calibri"/>
          <w:color w:val="000000"/>
          <w:sz w:val="20"/>
          <w:szCs w:val="20"/>
          <w:lang w:eastAsia="zh-CN"/>
        </w:rPr>
        <w:t xml:space="preserve"> à chaque nouveau processus de sélection. La durée du poste a également été revu </w:t>
      </w:r>
      <w:r w:rsidRPr="00CE286D">
        <w:rPr>
          <w:rFonts w:ascii="Verdana" w:eastAsia="SimSun" w:hAnsi="Verdana" w:cs="Calibri"/>
          <w:color w:val="000000"/>
          <w:sz w:val="20"/>
          <w:szCs w:val="20"/>
          <w:lang w:eastAsia="zh-CN"/>
        </w:rPr>
        <w:t xml:space="preserve">en </w:t>
      </w:r>
      <w:r w:rsidRPr="00CE286D">
        <w:rPr>
          <w:rFonts w:ascii="Verdana" w:hAnsi="Verdana"/>
          <w:sz w:val="20"/>
          <w:szCs w:val="20"/>
        </w:rPr>
        <w:t xml:space="preserve">tenant compte des délais dans la ratification de l’accord de </w:t>
      </w:r>
      <w:r w:rsidR="00EE085E">
        <w:rPr>
          <w:rFonts w:ascii="Verdana" w:hAnsi="Verdana"/>
          <w:sz w:val="20"/>
          <w:szCs w:val="20"/>
        </w:rPr>
        <w:t>V</w:t>
      </w:r>
      <w:r w:rsidRPr="00CE286D">
        <w:rPr>
          <w:rFonts w:ascii="Verdana" w:hAnsi="Verdana"/>
          <w:sz w:val="20"/>
          <w:szCs w:val="20"/>
        </w:rPr>
        <w:t>ictoria et les recommandations de la déclaration de Moroni – Article 16 - endossé aux Seychelles par le 34</w:t>
      </w:r>
      <w:r w:rsidRPr="00CE286D">
        <w:rPr>
          <w:rFonts w:ascii="Verdana" w:hAnsi="Verdana"/>
          <w:sz w:val="20"/>
          <w:szCs w:val="20"/>
          <w:vertAlign w:val="superscript"/>
        </w:rPr>
        <w:t>eme</w:t>
      </w:r>
      <w:r w:rsidRPr="00CE286D">
        <w:rPr>
          <w:rFonts w:ascii="Verdana" w:hAnsi="Verdana"/>
          <w:sz w:val="20"/>
          <w:szCs w:val="20"/>
        </w:rPr>
        <w:t xml:space="preserve"> Conseil des ministres le 06 mars 2020 stipulant que « </w:t>
      </w:r>
      <w:r w:rsidRPr="00CE286D">
        <w:rPr>
          <w:rFonts w:ascii="Verdana" w:hAnsi="Verdana" w:cstheme="minorHAnsi"/>
          <w:i/>
          <w:iCs/>
          <w:sz w:val="20"/>
          <w:szCs w:val="20"/>
        </w:rPr>
        <w:t>Les décisions antérieures relatives à la structure actuelle de l’organisation demeurent en vigueur jusqu’à la mise en place de la nouvelle structure ».</w:t>
      </w:r>
    </w:p>
    <w:p w14:paraId="194C0477" w14:textId="77777777" w:rsidR="00CE415D" w:rsidRPr="00CE286D" w:rsidRDefault="00CE415D" w:rsidP="002116ED">
      <w:pPr>
        <w:spacing w:after="120" w:line="240" w:lineRule="auto"/>
        <w:contextualSpacing/>
        <w:jc w:val="both"/>
        <w:rPr>
          <w:rFonts w:ascii="Verdana" w:hAnsi="Verdana"/>
          <w:sz w:val="20"/>
          <w:szCs w:val="20"/>
        </w:rPr>
      </w:pPr>
      <w:r w:rsidRPr="00CE286D">
        <w:rPr>
          <w:rFonts w:ascii="Verdana" w:hAnsi="Verdana"/>
          <w:sz w:val="20"/>
          <w:szCs w:val="20"/>
        </w:rPr>
        <w:t xml:space="preserve">Depuis sa création, </w:t>
      </w:r>
      <w:r w:rsidRPr="00EF39E7">
        <w:rPr>
          <w:rFonts w:ascii="Verdana" w:hAnsi="Verdana"/>
          <w:sz w:val="20"/>
          <w:szCs w:val="20"/>
        </w:rPr>
        <w:t>trois Directeurs ont</w:t>
      </w:r>
      <w:r w:rsidRPr="00CE286D">
        <w:rPr>
          <w:rFonts w:ascii="Verdana" w:hAnsi="Verdana"/>
          <w:sz w:val="20"/>
          <w:szCs w:val="20"/>
        </w:rPr>
        <w:t xml:space="preserve"> successivement été mis à disposition :</w:t>
      </w:r>
    </w:p>
    <w:p w14:paraId="14540A32" w14:textId="77777777" w:rsidR="00CE415D" w:rsidRPr="00CE286D" w:rsidRDefault="00CE415D" w:rsidP="002116ED">
      <w:pPr>
        <w:pStyle w:val="Paragraphedeliste"/>
        <w:numPr>
          <w:ilvl w:val="0"/>
          <w:numId w:val="21"/>
        </w:numPr>
        <w:spacing w:after="120" w:line="240" w:lineRule="auto"/>
        <w:jc w:val="both"/>
        <w:rPr>
          <w:rFonts w:ascii="Verdana" w:hAnsi="Verdana"/>
          <w:sz w:val="20"/>
          <w:szCs w:val="20"/>
        </w:rPr>
      </w:pPr>
      <w:r w:rsidRPr="00CE286D">
        <w:rPr>
          <w:rFonts w:ascii="Verdana" w:hAnsi="Verdana"/>
          <w:sz w:val="20"/>
          <w:szCs w:val="20"/>
        </w:rPr>
        <w:t xml:space="preserve">François VUILLEMIN, Réunion / France, juillet 2013 à août 2019 </w:t>
      </w:r>
    </w:p>
    <w:p w14:paraId="7717E625" w14:textId="77777777" w:rsidR="00CE415D" w:rsidRPr="00CE286D" w:rsidRDefault="00CE415D" w:rsidP="002116ED">
      <w:pPr>
        <w:pStyle w:val="Paragraphedeliste"/>
        <w:numPr>
          <w:ilvl w:val="0"/>
          <w:numId w:val="21"/>
        </w:numPr>
        <w:spacing w:after="120" w:line="240" w:lineRule="auto"/>
        <w:jc w:val="both"/>
        <w:rPr>
          <w:rFonts w:ascii="Verdana" w:hAnsi="Verdana"/>
          <w:sz w:val="20"/>
          <w:szCs w:val="20"/>
        </w:rPr>
      </w:pPr>
      <w:r w:rsidRPr="00CE286D">
        <w:rPr>
          <w:rFonts w:ascii="Verdana" w:hAnsi="Verdana"/>
          <w:sz w:val="20"/>
          <w:szCs w:val="20"/>
        </w:rPr>
        <w:t>Mooniswar Dev PHOKEER, Maurice, Juillet 2020 à juillet 2023</w:t>
      </w:r>
    </w:p>
    <w:p w14:paraId="6AE50C4E" w14:textId="77777777" w:rsidR="00CE415D" w:rsidRDefault="00CE415D" w:rsidP="002116ED">
      <w:pPr>
        <w:pStyle w:val="Paragraphedeliste"/>
        <w:numPr>
          <w:ilvl w:val="0"/>
          <w:numId w:val="21"/>
        </w:numPr>
        <w:spacing w:after="120" w:line="240" w:lineRule="auto"/>
        <w:jc w:val="both"/>
        <w:rPr>
          <w:rFonts w:ascii="Verdana" w:hAnsi="Verdana"/>
          <w:sz w:val="20"/>
          <w:szCs w:val="20"/>
        </w:rPr>
      </w:pPr>
      <w:r w:rsidRPr="00CE286D">
        <w:rPr>
          <w:rFonts w:ascii="Verdana" w:hAnsi="Verdana"/>
          <w:sz w:val="20"/>
          <w:szCs w:val="20"/>
        </w:rPr>
        <w:t>Alice N’DIAYE, Madagascar, aout 2023 à aout 2025.</w:t>
      </w:r>
    </w:p>
    <w:p w14:paraId="7015F7B5" w14:textId="77777777" w:rsidR="00CE415D" w:rsidRDefault="00CE415D" w:rsidP="002116ED">
      <w:pPr>
        <w:pStyle w:val="Paragraphedeliste"/>
        <w:spacing w:after="120" w:line="240" w:lineRule="auto"/>
        <w:jc w:val="both"/>
        <w:rPr>
          <w:rFonts w:ascii="Verdana" w:hAnsi="Verdana"/>
          <w:sz w:val="20"/>
          <w:szCs w:val="20"/>
        </w:rPr>
      </w:pPr>
    </w:p>
    <w:p w14:paraId="7C91D4BA" w14:textId="77777777" w:rsidR="0072142E" w:rsidRDefault="0072142E" w:rsidP="002116ED">
      <w:pPr>
        <w:pStyle w:val="Paragraphedeliste"/>
        <w:spacing w:after="120" w:line="240" w:lineRule="auto"/>
        <w:jc w:val="both"/>
        <w:rPr>
          <w:rFonts w:ascii="Verdana" w:hAnsi="Verdana"/>
          <w:sz w:val="20"/>
          <w:szCs w:val="20"/>
        </w:rPr>
      </w:pPr>
    </w:p>
    <w:p w14:paraId="2BAE50DF" w14:textId="77777777" w:rsidR="0072142E" w:rsidRPr="00A62338" w:rsidRDefault="0072142E" w:rsidP="002116ED">
      <w:pPr>
        <w:pStyle w:val="Paragraphedeliste"/>
        <w:spacing w:after="120" w:line="240" w:lineRule="auto"/>
        <w:jc w:val="both"/>
        <w:rPr>
          <w:rFonts w:ascii="Verdana" w:hAnsi="Verdana"/>
          <w:sz w:val="20"/>
          <w:szCs w:val="20"/>
        </w:rPr>
      </w:pPr>
    </w:p>
    <w:p w14:paraId="0688EAE1" w14:textId="4867F220" w:rsidR="00CE415D" w:rsidRPr="00676356" w:rsidRDefault="00CE415D" w:rsidP="002116ED">
      <w:pPr>
        <w:pStyle w:val="Sous-partie2"/>
        <w:spacing w:after="120"/>
      </w:pPr>
      <w:r w:rsidRPr="00126D1D">
        <w:lastRenderedPageBreak/>
        <w:t xml:space="preserve"> </w:t>
      </w:r>
      <w:r w:rsidRPr="0036668E">
        <w:t>Etat d’avancement</w:t>
      </w:r>
    </w:p>
    <w:p w14:paraId="4DA76858" w14:textId="04C31810" w:rsidR="00CE415D" w:rsidRDefault="00A31764" w:rsidP="002116ED">
      <w:pPr>
        <w:spacing w:after="120" w:line="240" w:lineRule="auto"/>
        <w:jc w:val="both"/>
        <w:rPr>
          <w:rFonts w:ascii="Verdana" w:eastAsia="SimSun" w:hAnsi="Verdana" w:cs="Calibri"/>
          <w:color w:val="000000"/>
          <w:sz w:val="20"/>
          <w:szCs w:val="20"/>
          <w:lang w:eastAsia="zh-CN"/>
        </w:rPr>
      </w:pPr>
      <w:r>
        <w:rPr>
          <w:rFonts w:ascii="Verdana" w:eastAsia="SimSun" w:hAnsi="Verdana" w:cs="Calibri"/>
          <w:color w:val="000000"/>
          <w:sz w:val="20"/>
          <w:szCs w:val="20"/>
          <w:lang w:eastAsia="zh-CN"/>
        </w:rPr>
        <w:t xml:space="preserve">En vue du recrutement prochain </w:t>
      </w:r>
      <w:r w:rsidR="001B4CCC">
        <w:rPr>
          <w:rFonts w:ascii="Verdana" w:eastAsia="SimSun" w:hAnsi="Verdana" w:cs="Calibri"/>
          <w:color w:val="000000"/>
          <w:sz w:val="20"/>
          <w:szCs w:val="20"/>
          <w:lang w:eastAsia="zh-CN"/>
        </w:rPr>
        <w:t xml:space="preserve">d’un </w:t>
      </w:r>
      <w:r w:rsidR="00834B94">
        <w:rPr>
          <w:rFonts w:ascii="Verdana" w:eastAsia="SimSun" w:hAnsi="Verdana" w:cs="Calibri"/>
          <w:color w:val="000000"/>
          <w:sz w:val="20"/>
          <w:szCs w:val="20"/>
          <w:lang w:eastAsia="zh-CN"/>
        </w:rPr>
        <w:t>D</w:t>
      </w:r>
      <w:r>
        <w:rPr>
          <w:rFonts w:ascii="Verdana" w:eastAsia="SimSun" w:hAnsi="Verdana" w:cs="Calibri"/>
          <w:color w:val="000000"/>
          <w:sz w:val="20"/>
          <w:szCs w:val="20"/>
          <w:lang w:eastAsia="zh-CN"/>
        </w:rPr>
        <w:t xml:space="preserve">irecteur auprès du </w:t>
      </w:r>
      <w:r w:rsidR="001B4CCC">
        <w:rPr>
          <w:rFonts w:ascii="Verdana" w:eastAsia="SimSun" w:hAnsi="Verdana" w:cs="Calibri"/>
          <w:color w:val="000000"/>
          <w:sz w:val="20"/>
          <w:szCs w:val="20"/>
          <w:lang w:eastAsia="zh-CN"/>
        </w:rPr>
        <w:t>S</w:t>
      </w:r>
      <w:r>
        <w:rPr>
          <w:rFonts w:ascii="Verdana" w:eastAsia="SimSun" w:hAnsi="Verdana" w:cs="Calibri"/>
          <w:color w:val="000000"/>
          <w:sz w:val="20"/>
          <w:szCs w:val="20"/>
          <w:lang w:eastAsia="zh-CN"/>
        </w:rPr>
        <w:t>ecrétariat général, l</w:t>
      </w:r>
      <w:r w:rsidR="00CE415D" w:rsidRPr="00652699">
        <w:rPr>
          <w:rFonts w:ascii="Verdana" w:eastAsia="SimSun" w:hAnsi="Verdana" w:cs="Calibri"/>
          <w:color w:val="000000"/>
          <w:sz w:val="20"/>
          <w:szCs w:val="20"/>
          <w:lang w:eastAsia="zh-CN"/>
        </w:rPr>
        <w:t xml:space="preserve">e </w:t>
      </w:r>
      <w:r w:rsidR="00CE415D" w:rsidRPr="00F060FC">
        <w:rPr>
          <w:rFonts w:ascii="Verdana" w:eastAsia="SimSun" w:hAnsi="Verdana" w:cs="Calibri"/>
          <w:color w:val="000000"/>
          <w:sz w:val="20"/>
          <w:szCs w:val="20"/>
          <w:lang w:eastAsia="zh-CN"/>
        </w:rPr>
        <w:t>COPL 02/20</w:t>
      </w:r>
      <w:r w:rsidR="00E429A6" w:rsidRPr="00F060FC">
        <w:rPr>
          <w:rFonts w:ascii="Verdana" w:eastAsia="SimSun" w:hAnsi="Verdana" w:cs="Calibri"/>
          <w:color w:val="000000"/>
          <w:sz w:val="20"/>
          <w:szCs w:val="20"/>
          <w:lang w:eastAsia="zh-CN"/>
        </w:rPr>
        <w:t>24</w:t>
      </w:r>
      <w:r w:rsidR="00CE415D" w:rsidRPr="00F060FC">
        <w:rPr>
          <w:rFonts w:ascii="Verdana" w:eastAsia="SimSun" w:hAnsi="Verdana" w:cs="Calibri"/>
          <w:color w:val="000000"/>
          <w:sz w:val="20"/>
          <w:szCs w:val="20"/>
          <w:lang w:eastAsia="zh-CN"/>
        </w:rPr>
        <w:t>,</w:t>
      </w:r>
      <w:r w:rsidR="00CE415D" w:rsidRPr="00652699">
        <w:rPr>
          <w:rFonts w:ascii="Verdana" w:eastAsia="SimSun" w:hAnsi="Verdana" w:cs="Calibri"/>
          <w:color w:val="000000"/>
          <w:sz w:val="20"/>
          <w:szCs w:val="20"/>
          <w:lang w:eastAsia="zh-CN"/>
        </w:rPr>
        <w:t xml:space="preserve"> </w:t>
      </w:r>
      <w:r w:rsidR="00974808">
        <w:rPr>
          <w:rFonts w:ascii="Verdana" w:eastAsia="SimSun" w:hAnsi="Verdana" w:cs="Calibri"/>
          <w:color w:val="000000"/>
          <w:sz w:val="20"/>
          <w:szCs w:val="20"/>
          <w:lang w:eastAsia="zh-CN"/>
        </w:rPr>
        <w:t xml:space="preserve">du </w:t>
      </w:r>
      <w:r w:rsidR="00A73750">
        <w:rPr>
          <w:rFonts w:ascii="Verdana" w:eastAsia="SimSun" w:hAnsi="Verdana" w:cs="Calibri"/>
          <w:color w:val="000000"/>
          <w:sz w:val="20"/>
          <w:szCs w:val="20"/>
          <w:lang w:eastAsia="zh-CN"/>
        </w:rPr>
        <w:t xml:space="preserve">02-03 </w:t>
      </w:r>
      <w:r w:rsidR="00A73750" w:rsidRPr="00974808">
        <w:rPr>
          <w:rFonts w:ascii="Verdana" w:eastAsia="SimSun" w:hAnsi="Verdana" w:cs="Calibri"/>
          <w:color w:val="000000"/>
          <w:sz w:val="20"/>
          <w:szCs w:val="20"/>
          <w:lang w:eastAsia="zh-CN"/>
        </w:rPr>
        <w:t>décembre</w:t>
      </w:r>
      <w:r w:rsidRPr="00974808">
        <w:rPr>
          <w:rFonts w:ascii="Verdana" w:eastAsia="SimSun" w:hAnsi="Verdana" w:cs="Calibri"/>
          <w:color w:val="000000"/>
          <w:sz w:val="20"/>
          <w:szCs w:val="20"/>
          <w:lang w:eastAsia="zh-CN"/>
        </w:rPr>
        <w:t xml:space="preserve"> </w:t>
      </w:r>
      <w:r w:rsidR="00974808" w:rsidRPr="00974808">
        <w:rPr>
          <w:rFonts w:ascii="Verdana" w:eastAsia="SimSun" w:hAnsi="Verdana" w:cs="Calibri"/>
          <w:color w:val="000000"/>
          <w:sz w:val="20"/>
          <w:szCs w:val="20"/>
          <w:lang w:eastAsia="zh-CN"/>
        </w:rPr>
        <w:t>2024</w:t>
      </w:r>
      <w:r w:rsidR="00974808">
        <w:rPr>
          <w:rFonts w:ascii="Verdana" w:eastAsia="SimSun" w:hAnsi="Verdana" w:cs="Calibri"/>
          <w:color w:val="000000"/>
          <w:sz w:val="20"/>
          <w:szCs w:val="20"/>
          <w:lang w:eastAsia="zh-CN"/>
        </w:rPr>
        <w:t>, par</w:t>
      </w:r>
      <w:r w:rsidR="00CE415D" w:rsidRPr="00652699">
        <w:rPr>
          <w:rFonts w:ascii="Verdana" w:eastAsia="SimSun" w:hAnsi="Verdana" w:cs="Calibri"/>
          <w:color w:val="000000"/>
          <w:sz w:val="20"/>
          <w:szCs w:val="20"/>
          <w:lang w:eastAsia="zh-CN"/>
        </w:rPr>
        <w:t xml:space="preserve"> sa décision 18</w:t>
      </w:r>
      <w:r w:rsidR="006E469A">
        <w:rPr>
          <w:rFonts w:ascii="Verdana" w:eastAsia="SimSun" w:hAnsi="Verdana" w:cs="Calibri"/>
          <w:color w:val="000000"/>
          <w:sz w:val="20"/>
          <w:szCs w:val="20"/>
          <w:lang w:eastAsia="zh-CN"/>
        </w:rPr>
        <w:t xml:space="preserve"> (g)</w:t>
      </w:r>
      <w:r w:rsidR="00CE415D" w:rsidRPr="00652699">
        <w:rPr>
          <w:rFonts w:ascii="Verdana" w:eastAsia="SimSun" w:hAnsi="Verdana" w:cs="Calibri"/>
          <w:color w:val="000000"/>
          <w:sz w:val="20"/>
          <w:szCs w:val="20"/>
          <w:lang w:eastAsia="zh-CN"/>
        </w:rPr>
        <w:t xml:space="preserve">, a convenu de réviser les termes de références du poste de directeur auprès du </w:t>
      </w:r>
      <w:r w:rsidR="001B4CCC">
        <w:rPr>
          <w:rFonts w:ascii="Verdana" w:eastAsia="SimSun" w:hAnsi="Verdana" w:cs="Calibri"/>
          <w:color w:val="000000"/>
          <w:sz w:val="20"/>
          <w:szCs w:val="20"/>
          <w:lang w:eastAsia="zh-CN"/>
        </w:rPr>
        <w:t>S</w:t>
      </w:r>
      <w:r w:rsidR="00CE415D" w:rsidRPr="00652699">
        <w:rPr>
          <w:rFonts w:ascii="Verdana" w:eastAsia="SimSun" w:hAnsi="Verdana" w:cs="Calibri"/>
          <w:color w:val="000000"/>
          <w:sz w:val="20"/>
          <w:szCs w:val="20"/>
          <w:lang w:eastAsia="zh-CN"/>
        </w:rPr>
        <w:t xml:space="preserve">ecrétariat général </w:t>
      </w:r>
      <w:r w:rsidR="00CE415D" w:rsidRPr="00B13907">
        <w:rPr>
          <w:rFonts w:ascii="Verdana" w:eastAsia="SimSun" w:hAnsi="Verdana" w:cs="Calibri"/>
          <w:b/>
          <w:bCs/>
          <w:color w:val="000000"/>
          <w:sz w:val="20"/>
          <w:szCs w:val="20"/>
          <w:lang w:eastAsia="zh-CN"/>
        </w:rPr>
        <w:t xml:space="preserve">(Annexe </w:t>
      </w:r>
      <w:r w:rsidR="00A25177">
        <w:rPr>
          <w:rFonts w:ascii="Verdana" w:eastAsia="SimSun" w:hAnsi="Verdana" w:cs="Calibri"/>
          <w:b/>
          <w:bCs/>
          <w:color w:val="000000"/>
          <w:sz w:val="20"/>
          <w:szCs w:val="20"/>
          <w:lang w:eastAsia="zh-CN"/>
        </w:rPr>
        <w:t>1</w:t>
      </w:r>
      <w:r w:rsidR="00CE415D" w:rsidRPr="00B13907">
        <w:rPr>
          <w:rFonts w:ascii="Verdana" w:eastAsia="SimSun" w:hAnsi="Verdana" w:cs="Calibri"/>
          <w:b/>
          <w:bCs/>
          <w:color w:val="000000"/>
          <w:sz w:val="20"/>
          <w:szCs w:val="20"/>
          <w:lang w:eastAsia="zh-CN"/>
        </w:rPr>
        <w:t>)</w:t>
      </w:r>
      <w:r w:rsidR="00CE415D" w:rsidRPr="00652699">
        <w:rPr>
          <w:rFonts w:ascii="Verdana" w:eastAsia="SimSun" w:hAnsi="Verdana" w:cs="Calibri"/>
          <w:color w:val="000000"/>
          <w:sz w:val="20"/>
          <w:szCs w:val="20"/>
          <w:lang w:eastAsia="zh-CN"/>
        </w:rPr>
        <w:t xml:space="preserve"> d’ici le 15 janvier 2025</w:t>
      </w:r>
      <w:r w:rsidR="00974808">
        <w:rPr>
          <w:rFonts w:ascii="Verdana" w:eastAsia="SimSun" w:hAnsi="Verdana" w:cs="Calibri"/>
          <w:color w:val="000000"/>
          <w:sz w:val="20"/>
          <w:szCs w:val="20"/>
          <w:lang w:eastAsia="zh-CN"/>
        </w:rPr>
        <w:t>,</w:t>
      </w:r>
      <w:r w:rsidR="00CE415D" w:rsidRPr="00652699">
        <w:rPr>
          <w:rFonts w:ascii="Verdana" w:eastAsia="SimSun" w:hAnsi="Verdana" w:cs="Calibri"/>
          <w:color w:val="000000"/>
          <w:sz w:val="20"/>
          <w:szCs w:val="20"/>
          <w:lang w:eastAsia="zh-CN"/>
        </w:rPr>
        <w:t xml:space="preserve"> afin de permettre le lancement du recrutement le 1er février et une prise de poste début ao</w:t>
      </w:r>
      <w:r w:rsidR="00AF2FDE">
        <w:rPr>
          <w:rFonts w:ascii="Verdana" w:eastAsia="SimSun" w:hAnsi="Verdana" w:cs="Calibri"/>
          <w:color w:val="000000"/>
          <w:sz w:val="20"/>
          <w:szCs w:val="20"/>
          <w:lang w:eastAsia="zh-CN"/>
        </w:rPr>
        <w:t>û</w:t>
      </w:r>
      <w:r w:rsidR="00CE415D" w:rsidRPr="00652699">
        <w:rPr>
          <w:rFonts w:ascii="Verdana" w:eastAsia="SimSun" w:hAnsi="Verdana" w:cs="Calibri"/>
          <w:color w:val="000000"/>
          <w:sz w:val="20"/>
          <w:szCs w:val="20"/>
          <w:lang w:eastAsia="zh-CN"/>
        </w:rPr>
        <w:t>t 2025.</w:t>
      </w:r>
    </w:p>
    <w:p w14:paraId="2A5AD10F" w14:textId="77777777" w:rsidR="00CE415D" w:rsidRPr="00CC516E" w:rsidRDefault="00CE415D" w:rsidP="002116ED">
      <w:pPr>
        <w:spacing w:after="120" w:line="240" w:lineRule="auto"/>
        <w:jc w:val="both"/>
        <w:rPr>
          <w:rFonts w:ascii="Verdana" w:hAnsi="Verdana"/>
          <w:sz w:val="20"/>
          <w:szCs w:val="20"/>
        </w:rPr>
      </w:pPr>
      <w:r w:rsidRPr="00CC516E">
        <w:rPr>
          <w:rFonts w:ascii="Verdana" w:hAnsi="Verdana"/>
          <w:sz w:val="20"/>
          <w:szCs w:val="20"/>
        </w:rPr>
        <w:t>Les termes de référence du poste de directeur auprès du Secrétariat général ont été communiqués aux États membres en vue de recueillir leurs commentaires.</w:t>
      </w:r>
      <w:r w:rsidRPr="005E7D0E">
        <w:t xml:space="preserve"> </w:t>
      </w:r>
      <w:r w:rsidRPr="00CC516E">
        <w:rPr>
          <w:rFonts w:ascii="Verdana" w:hAnsi="Verdana"/>
          <w:sz w:val="20"/>
          <w:szCs w:val="20"/>
        </w:rPr>
        <w:t>Des observations écrites ont été reçues de la part de la partie mauricienne et la partie française.</w:t>
      </w:r>
    </w:p>
    <w:p w14:paraId="1E7EEAB1" w14:textId="63B99BB1" w:rsidR="00CE415D" w:rsidRDefault="00CE415D" w:rsidP="002116ED">
      <w:pPr>
        <w:spacing w:after="120" w:line="240" w:lineRule="auto"/>
        <w:contextualSpacing/>
        <w:jc w:val="both"/>
        <w:rPr>
          <w:rFonts w:ascii="Verdana" w:hAnsi="Verdana"/>
          <w:sz w:val="20"/>
          <w:szCs w:val="20"/>
        </w:rPr>
      </w:pPr>
      <w:r w:rsidRPr="005E7D0E">
        <w:rPr>
          <w:rFonts w:ascii="Verdana" w:hAnsi="Verdana"/>
          <w:sz w:val="20"/>
          <w:szCs w:val="20"/>
        </w:rPr>
        <w:t xml:space="preserve">Afin de faire progresser le dossier, une réunion virtuelle </w:t>
      </w:r>
      <w:r>
        <w:rPr>
          <w:rFonts w:ascii="Verdana" w:hAnsi="Verdana"/>
          <w:sz w:val="20"/>
          <w:szCs w:val="20"/>
        </w:rPr>
        <w:t>s’est tenue</w:t>
      </w:r>
      <w:r w:rsidRPr="005E7D0E">
        <w:rPr>
          <w:rFonts w:ascii="Verdana" w:hAnsi="Verdana"/>
          <w:sz w:val="20"/>
          <w:szCs w:val="20"/>
        </w:rPr>
        <w:t xml:space="preserve"> le 24 mars 2025, au cours de laquelle </w:t>
      </w:r>
      <w:r>
        <w:rPr>
          <w:rFonts w:ascii="Verdana" w:hAnsi="Verdana"/>
          <w:sz w:val="20"/>
          <w:szCs w:val="20"/>
        </w:rPr>
        <w:t>ont</w:t>
      </w:r>
      <w:r w:rsidRPr="005E7D0E">
        <w:rPr>
          <w:rFonts w:ascii="Verdana" w:hAnsi="Verdana"/>
          <w:sz w:val="20"/>
          <w:szCs w:val="20"/>
        </w:rPr>
        <w:t xml:space="preserve"> </w:t>
      </w:r>
      <w:r>
        <w:rPr>
          <w:rFonts w:ascii="Verdana" w:hAnsi="Verdana"/>
          <w:sz w:val="20"/>
          <w:szCs w:val="20"/>
        </w:rPr>
        <w:t xml:space="preserve">été </w:t>
      </w:r>
      <w:r w:rsidRPr="005E7D0E">
        <w:rPr>
          <w:rFonts w:ascii="Verdana" w:hAnsi="Verdana"/>
          <w:sz w:val="20"/>
          <w:szCs w:val="20"/>
        </w:rPr>
        <w:t xml:space="preserve">abordés </w:t>
      </w:r>
      <w:r w:rsidR="00D42E6D">
        <w:rPr>
          <w:rFonts w:ascii="Verdana" w:hAnsi="Verdana"/>
          <w:sz w:val="20"/>
          <w:szCs w:val="20"/>
        </w:rPr>
        <w:t xml:space="preserve">à la fois </w:t>
      </w:r>
      <w:r w:rsidRPr="005E7D0E">
        <w:rPr>
          <w:rFonts w:ascii="Verdana" w:hAnsi="Verdana"/>
          <w:sz w:val="20"/>
          <w:szCs w:val="20"/>
        </w:rPr>
        <w:t xml:space="preserve">les termes de référence </w:t>
      </w:r>
      <w:r w:rsidR="00D42E6D">
        <w:rPr>
          <w:rFonts w:ascii="Verdana" w:hAnsi="Verdana"/>
          <w:sz w:val="20"/>
          <w:szCs w:val="20"/>
        </w:rPr>
        <w:t>et</w:t>
      </w:r>
      <w:r w:rsidRPr="005E7D0E">
        <w:rPr>
          <w:rFonts w:ascii="Verdana" w:hAnsi="Verdana"/>
          <w:sz w:val="20"/>
          <w:szCs w:val="20"/>
        </w:rPr>
        <w:t xml:space="preserve"> les modalités de recrutement.</w:t>
      </w:r>
      <w:r w:rsidR="00931BC8">
        <w:rPr>
          <w:rFonts w:ascii="Verdana" w:hAnsi="Verdana"/>
          <w:sz w:val="20"/>
          <w:szCs w:val="20"/>
        </w:rPr>
        <w:t xml:space="preserve"> </w:t>
      </w:r>
      <w:r w:rsidRPr="00743516">
        <w:rPr>
          <w:rFonts w:ascii="Verdana" w:hAnsi="Verdana"/>
          <w:sz w:val="20"/>
          <w:szCs w:val="20"/>
        </w:rPr>
        <w:t xml:space="preserve">Lors </w:t>
      </w:r>
      <w:r w:rsidR="00D42E6D">
        <w:rPr>
          <w:rFonts w:ascii="Verdana" w:hAnsi="Verdana"/>
          <w:sz w:val="20"/>
          <w:szCs w:val="20"/>
        </w:rPr>
        <w:t>cette réu</w:t>
      </w:r>
      <w:r w:rsidR="00931BC8">
        <w:rPr>
          <w:rFonts w:ascii="Verdana" w:hAnsi="Verdana"/>
          <w:sz w:val="20"/>
          <w:szCs w:val="20"/>
        </w:rPr>
        <w:t>nion</w:t>
      </w:r>
      <w:r w:rsidRPr="00743516">
        <w:rPr>
          <w:rFonts w:ascii="Verdana" w:hAnsi="Verdana"/>
          <w:sz w:val="20"/>
          <w:szCs w:val="20"/>
        </w:rPr>
        <w:t xml:space="preserve">, la possibilité de créer </w:t>
      </w:r>
      <w:r w:rsidR="00931BC8">
        <w:rPr>
          <w:rFonts w:ascii="Verdana" w:hAnsi="Verdana"/>
          <w:sz w:val="20"/>
          <w:szCs w:val="20"/>
        </w:rPr>
        <w:t>un</w:t>
      </w:r>
      <w:r w:rsidRPr="00743516">
        <w:rPr>
          <w:rFonts w:ascii="Verdana" w:hAnsi="Verdana"/>
          <w:sz w:val="20"/>
          <w:szCs w:val="20"/>
        </w:rPr>
        <w:t xml:space="preserve"> poste de Secrétaire </w:t>
      </w:r>
      <w:r>
        <w:rPr>
          <w:rFonts w:ascii="Verdana" w:hAnsi="Verdana"/>
          <w:sz w:val="20"/>
          <w:szCs w:val="20"/>
        </w:rPr>
        <w:t>g</w:t>
      </w:r>
      <w:r w:rsidRPr="00743516">
        <w:rPr>
          <w:rFonts w:ascii="Verdana" w:hAnsi="Verdana"/>
          <w:sz w:val="20"/>
          <w:szCs w:val="20"/>
        </w:rPr>
        <w:t xml:space="preserve">énéral adjoint, en amont de la ratification de l’Accord de Victoria révisé, a été </w:t>
      </w:r>
      <w:r>
        <w:rPr>
          <w:rFonts w:ascii="Verdana" w:hAnsi="Verdana"/>
          <w:sz w:val="20"/>
          <w:szCs w:val="20"/>
        </w:rPr>
        <w:t>émise</w:t>
      </w:r>
      <w:r w:rsidRPr="00743516">
        <w:rPr>
          <w:rFonts w:ascii="Verdana" w:hAnsi="Verdana"/>
          <w:sz w:val="20"/>
          <w:szCs w:val="20"/>
        </w:rPr>
        <w:t xml:space="preserve">. </w:t>
      </w:r>
    </w:p>
    <w:p w14:paraId="5D074BF6" w14:textId="04C6C837" w:rsidR="00124804" w:rsidRDefault="00F87CC7" w:rsidP="002116ED">
      <w:pPr>
        <w:spacing w:after="120" w:line="240" w:lineRule="auto"/>
        <w:contextualSpacing/>
        <w:jc w:val="both"/>
        <w:rPr>
          <w:rFonts w:ascii="Verdana" w:hAnsi="Verdana"/>
          <w:sz w:val="20"/>
          <w:szCs w:val="20"/>
        </w:rPr>
      </w:pPr>
      <w:r>
        <w:rPr>
          <w:rFonts w:ascii="Verdana" w:hAnsi="Verdana"/>
          <w:sz w:val="20"/>
          <w:szCs w:val="20"/>
        </w:rPr>
        <w:t>Cette proposition a donc été soumise au COPL 1/2025</w:t>
      </w:r>
      <w:r w:rsidR="002F5914">
        <w:rPr>
          <w:rFonts w:ascii="Verdana" w:hAnsi="Verdana"/>
          <w:sz w:val="20"/>
          <w:szCs w:val="20"/>
        </w:rPr>
        <w:t xml:space="preserve">, </w:t>
      </w:r>
      <w:r w:rsidR="009E5A84">
        <w:rPr>
          <w:rFonts w:ascii="Verdana" w:hAnsi="Verdana"/>
          <w:sz w:val="20"/>
          <w:szCs w:val="20"/>
        </w:rPr>
        <w:t xml:space="preserve">tenu le </w:t>
      </w:r>
      <w:r w:rsidR="002F5914">
        <w:rPr>
          <w:rFonts w:ascii="Verdana" w:hAnsi="Verdana"/>
          <w:sz w:val="20"/>
          <w:szCs w:val="20"/>
        </w:rPr>
        <w:t xml:space="preserve">04-06 avril 2025, </w:t>
      </w:r>
      <w:r w:rsidR="009E5A84">
        <w:rPr>
          <w:rFonts w:ascii="Verdana" w:hAnsi="Verdana"/>
          <w:sz w:val="20"/>
          <w:szCs w:val="20"/>
        </w:rPr>
        <w:t xml:space="preserve">à Ebène, </w:t>
      </w:r>
      <w:r w:rsidR="002F5914">
        <w:rPr>
          <w:rFonts w:ascii="Verdana" w:hAnsi="Verdana"/>
          <w:sz w:val="20"/>
          <w:szCs w:val="20"/>
        </w:rPr>
        <w:t>Maurice</w:t>
      </w:r>
      <w:r w:rsidR="00F1472B">
        <w:rPr>
          <w:rFonts w:ascii="Verdana" w:hAnsi="Verdana"/>
          <w:sz w:val="20"/>
          <w:szCs w:val="20"/>
        </w:rPr>
        <w:t xml:space="preserve">. </w:t>
      </w:r>
      <w:r w:rsidR="009E5A84">
        <w:rPr>
          <w:rFonts w:ascii="Verdana" w:hAnsi="Verdana"/>
          <w:sz w:val="20"/>
          <w:szCs w:val="20"/>
        </w:rPr>
        <w:t>A cette occasion, l</w:t>
      </w:r>
      <w:r w:rsidR="00F1472B">
        <w:rPr>
          <w:rFonts w:ascii="Verdana" w:hAnsi="Verdana"/>
          <w:sz w:val="20"/>
          <w:szCs w:val="20"/>
        </w:rPr>
        <w:t>e COPL</w:t>
      </w:r>
      <w:r w:rsidR="00124804">
        <w:rPr>
          <w:rFonts w:ascii="Verdana" w:hAnsi="Verdana"/>
          <w:sz w:val="20"/>
          <w:szCs w:val="20"/>
        </w:rPr>
        <w:t>,</w:t>
      </w:r>
      <w:r w:rsidR="00F1472B">
        <w:rPr>
          <w:rFonts w:ascii="Verdana" w:hAnsi="Verdana"/>
          <w:sz w:val="20"/>
          <w:szCs w:val="20"/>
        </w:rPr>
        <w:t xml:space="preserve"> </w:t>
      </w:r>
      <w:r w:rsidR="002F6004">
        <w:rPr>
          <w:rFonts w:ascii="Verdana" w:hAnsi="Verdana"/>
          <w:sz w:val="20"/>
          <w:szCs w:val="20"/>
        </w:rPr>
        <w:t>par sa</w:t>
      </w:r>
      <w:r w:rsidR="00F1472B">
        <w:rPr>
          <w:rFonts w:ascii="Verdana" w:hAnsi="Verdana"/>
          <w:sz w:val="20"/>
          <w:szCs w:val="20"/>
        </w:rPr>
        <w:t xml:space="preserve"> </w:t>
      </w:r>
      <w:r w:rsidR="0086101E">
        <w:rPr>
          <w:rFonts w:ascii="Verdana" w:hAnsi="Verdana"/>
          <w:sz w:val="20"/>
          <w:szCs w:val="20"/>
        </w:rPr>
        <w:t>décision</w:t>
      </w:r>
      <w:r w:rsidR="00F1472B">
        <w:rPr>
          <w:rFonts w:ascii="Verdana" w:hAnsi="Verdana"/>
          <w:sz w:val="20"/>
          <w:szCs w:val="20"/>
        </w:rPr>
        <w:t xml:space="preserve"> 18 </w:t>
      </w:r>
      <w:r w:rsidR="00B11D7A">
        <w:rPr>
          <w:rFonts w:ascii="Verdana" w:hAnsi="Verdana"/>
          <w:sz w:val="20"/>
          <w:szCs w:val="20"/>
        </w:rPr>
        <w:t>(a ii) a invit</w:t>
      </w:r>
      <w:r w:rsidR="00124804">
        <w:rPr>
          <w:rFonts w:ascii="Verdana" w:hAnsi="Verdana"/>
          <w:sz w:val="20"/>
          <w:szCs w:val="20"/>
        </w:rPr>
        <w:t>é</w:t>
      </w:r>
      <w:r w:rsidR="00B11D7A">
        <w:rPr>
          <w:rFonts w:ascii="Verdana" w:hAnsi="Verdana"/>
          <w:sz w:val="20"/>
          <w:szCs w:val="20"/>
        </w:rPr>
        <w:t xml:space="preserve"> le </w:t>
      </w:r>
      <w:r w:rsidR="0086101E">
        <w:rPr>
          <w:rFonts w:ascii="Verdana" w:hAnsi="Verdana"/>
          <w:sz w:val="20"/>
          <w:szCs w:val="20"/>
        </w:rPr>
        <w:t>C</w:t>
      </w:r>
      <w:r w:rsidR="00B11D7A">
        <w:rPr>
          <w:rFonts w:ascii="Verdana" w:hAnsi="Verdana"/>
          <w:sz w:val="20"/>
          <w:szCs w:val="20"/>
        </w:rPr>
        <w:t xml:space="preserve">onseil des ministres </w:t>
      </w:r>
      <w:r w:rsidR="00124804">
        <w:rPr>
          <w:rFonts w:ascii="Verdana" w:hAnsi="Verdana"/>
          <w:sz w:val="20"/>
          <w:szCs w:val="20"/>
        </w:rPr>
        <w:t xml:space="preserve">à : </w:t>
      </w:r>
    </w:p>
    <w:p w14:paraId="67AAB06B" w14:textId="2E0CB772" w:rsidR="00124804" w:rsidRDefault="00C44506" w:rsidP="002116ED">
      <w:pPr>
        <w:pStyle w:val="Paragraphedeliste"/>
        <w:numPr>
          <w:ilvl w:val="0"/>
          <w:numId w:val="28"/>
        </w:numPr>
        <w:spacing w:after="120" w:line="240" w:lineRule="auto"/>
        <w:jc w:val="both"/>
        <w:rPr>
          <w:rFonts w:ascii="Verdana" w:hAnsi="Verdana"/>
          <w:i/>
          <w:iCs/>
          <w:sz w:val="20"/>
          <w:szCs w:val="20"/>
        </w:rPr>
      </w:pPr>
      <w:r>
        <w:rPr>
          <w:rFonts w:ascii="Verdana" w:hAnsi="Verdana"/>
          <w:i/>
          <w:iCs/>
          <w:sz w:val="20"/>
          <w:szCs w:val="20"/>
        </w:rPr>
        <w:t>« S</w:t>
      </w:r>
      <w:r w:rsidR="00B11D7A" w:rsidRPr="00124804">
        <w:rPr>
          <w:rFonts w:ascii="Verdana" w:hAnsi="Verdana"/>
          <w:i/>
          <w:iCs/>
          <w:sz w:val="20"/>
          <w:szCs w:val="20"/>
        </w:rPr>
        <w:t xml:space="preserve">e prononcer sur la possibilité </w:t>
      </w:r>
      <w:r w:rsidR="00ED77E4" w:rsidRPr="00124804">
        <w:rPr>
          <w:rFonts w:ascii="Verdana" w:hAnsi="Verdana"/>
          <w:i/>
          <w:iCs/>
          <w:sz w:val="20"/>
          <w:szCs w:val="20"/>
        </w:rPr>
        <w:t xml:space="preserve">de créer la fonction de </w:t>
      </w:r>
      <w:r>
        <w:rPr>
          <w:rFonts w:ascii="Verdana" w:hAnsi="Verdana"/>
          <w:i/>
          <w:iCs/>
          <w:sz w:val="20"/>
          <w:szCs w:val="20"/>
        </w:rPr>
        <w:t>S</w:t>
      </w:r>
      <w:r w:rsidR="00ED77E4" w:rsidRPr="00124804">
        <w:rPr>
          <w:rFonts w:ascii="Verdana" w:hAnsi="Verdana"/>
          <w:i/>
          <w:iCs/>
          <w:sz w:val="20"/>
          <w:szCs w:val="20"/>
        </w:rPr>
        <w:t xml:space="preserve">ecrétaire général adjoint </w:t>
      </w:r>
      <w:r w:rsidR="000D13EE" w:rsidRPr="00124804">
        <w:rPr>
          <w:rFonts w:ascii="Verdana" w:hAnsi="Verdana"/>
          <w:i/>
          <w:iCs/>
          <w:sz w:val="20"/>
          <w:szCs w:val="20"/>
        </w:rPr>
        <w:t xml:space="preserve">conformément à la </w:t>
      </w:r>
      <w:r w:rsidR="0086101E" w:rsidRPr="00124804">
        <w:rPr>
          <w:rFonts w:ascii="Verdana" w:hAnsi="Verdana"/>
          <w:i/>
          <w:iCs/>
          <w:sz w:val="20"/>
          <w:szCs w:val="20"/>
        </w:rPr>
        <w:t>D</w:t>
      </w:r>
      <w:r w:rsidR="000D13EE" w:rsidRPr="00124804">
        <w:rPr>
          <w:rFonts w:ascii="Verdana" w:hAnsi="Verdana"/>
          <w:i/>
          <w:iCs/>
          <w:sz w:val="20"/>
          <w:szCs w:val="20"/>
        </w:rPr>
        <w:t xml:space="preserve">éclaration de Moroni de 2019 </w:t>
      </w:r>
    </w:p>
    <w:p w14:paraId="69E656B4" w14:textId="66D72B72" w:rsidR="00124804" w:rsidRDefault="000D13EE" w:rsidP="002116ED">
      <w:pPr>
        <w:pStyle w:val="Paragraphedeliste"/>
        <w:spacing w:after="120" w:line="240" w:lineRule="auto"/>
        <w:jc w:val="both"/>
        <w:rPr>
          <w:rFonts w:ascii="Verdana" w:hAnsi="Verdana"/>
          <w:i/>
          <w:iCs/>
          <w:sz w:val="20"/>
          <w:szCs w:val="20"/>
        </w:rPr>
      </w:pPr>
      <w:proofErr w:type="gramStart"/>
      <w:r w:rsidRPr="00124804">
        <w:rPr>
          <w:rFonts w:ascii="Verdana" w:hAnsi="Verdana"/>
          <w:i/>
          <w:iCs/>
          <w:sz w:val="20"/>
          <w:szCs w:val="20"/>
        </w:rPr>
        <w:t>ou</w:t>
      </w:r>
      <w:proofErr w:type="gramEnd"/>
      <w:r w:rsidRPr="00124804">
        <w:rPr>
          <w:rFonts w:ascii="Verdana" w:hAnsi="Verdana"/>
          <w:i/>
          <w:iCs/>
          <w:sz w:val="20"/>
          <w:szCs w:val="20"/>
        </w:rPr>
        <w:t xml:space="preserve"> </w:t>
      </w:r>
    </w:p>
    <w:p w14:paraId="37363D84" w14:textId="26143DE3" w:rsidR="00F87CC7" w:rsidRPr="00124804" w:rsidRDefault="00C44506" w:rsidP="002116ED">
      <w:pPr>
        <w:pStyle w:val="Paragraphedeliste"/>
        <w:numPr>
          <w:ilvl w:val="0"/>
          <w:numId w:val="28"/>
        </w:numPr>
        <w:spacing w:after="120" w:line="240" w:lineRule="auto"/>
        <w:jc w:val="both"/>
        <w:rPr>
          <w:rFonts w:ascii="Verdana" w:hAnsi="Verdana"/>
          <w:i/>
          <w:iCs/>
          <w:sz w:val="20"/>
          <w:szCs w:val="20"/>
        </w:rPr>
      </w:pPr>
      <w:r>
        <w:rPr>
          <w:rFonts w:ascii="Verdana" w:hAnsi="Verdana"/>
          <w:i/>
          <w:iCs/>
          <w:sz w:val="20"/>
          <w:szCs w:val="20"/>
        </w:rPr>
        <w:t>D</w:t>
      </w:r>
      <w:r w:rsidR="000D13EE" w:rsidRPr="00124804">
        <w:rPr>
          <w:rFonts w:ascii="Verdana" w:hAnsi="Verdana"/>
          <w:i/>
          <w:iCs/>
          <w:sz w:val="20"/>
          <w:szCs w:val="20"/>
        </w:rPr>
        <w:t xml:space="preserve">onner mandat au </w:t>
      </w:r>
      <w:r>
        <w:rPr>
          <w:rFonts w:ascii="Verdana" w:hAnsi="Verdana"/>
          <w:i/>
          <w:iCs/>
          <w:sz w:val="20"/>
          <w:szCs w:val="20"/>
        </w:rPr>
        <w:t>C</w:t>
      </w:r>
      <w:r w:rsidR="000D13EE" w:rsidRPr="00124804">
        <w:rPr>
          <w:rFonts w:ascii="Verdana" w:hAnsi="Verdana"/>
          <w:i/>
          <w:iCs/>
          <w:sz w:val="20"/>
          <w:szCs w:val="20"/>
        </w:rPr>
        <w:t xml:space="preserve">omité des OPL </w:t>
      </w:r>
      <w:r w:rsidR="0086101E" w:rsidRPr="00124804">
        <w:rPr>
          <w:rFonts w:ascii="Verdana" w:hAnsi="Verdana"/>
          <w:i/>
          <w:iCs/>
          <w:sz w:val="20"/>
          <w:szCs w:val="20"/>
        </w:rPr>
        <w:t>de réviser les termes de références du poste de directeur dans le cadre de l’Accord de Victoria</w:t>
      </w:r>
      <w:r>
        <w:rPr>
          <w:rFonts w:ascii="Verdana" w:hAnsi="Verdana"/>
          <w:i/>
          <w:iCs/>
          <w:sz w:val="20"/>
          <w:szCs w:val="20"/>
        </w:rPr>
        <w:t> »</w:t>
      </w:r>
      <w:r w:rsidR="0086101E" w:rsidRPr="00124804">
        <w:rPr>
          <w:rFonts w:ascii="Verdana" w:hAnsi="Verdana"/>
          <w:i/>
          <w:iCs/>
          <w:sz w:val="20"/>
          <w:szCs w:val="20"/>
        </w:rPr>
        <w:t>.</w:t>
      </w:r>
    </w:p>
    <w:p w14:paraId="2AC017B9" w14:textId="4FB38A1C" w:rsidR="00881D25" w:rsidRDefault="00881D25" w:rsidP="002116ED">
      <w:pPr>
        <w:spacing w:after="120" w:line="240" w:lineRule="auto"/>
        <w:contextualSpacing/>
        <w:jc w:val="both"/>
        <w:rPr>
          <w:rFonts w:ascii="Verdana" w:hAnsi="Verdana"/>
          <w:sz w:val="20"/>
          <w:szCs w:val="20"/>
        </w:rPr>
      </w:pPr>
      <w:r>
        <w:rPr>
          <w:rFonts w:ascii="Verdana" w:hAnsi="Verdana"/>
          <w:sz w:val="20"/>
          <w:szCs w:val="20"/>
        </w:rPr>
        <w:t xml:space="preserve">Le </w:t>
      </w:r>
      <w:r w:rsidR="009C4A8E">
        <w:rPr>
          <w:rFonts w:ascii="Verdana" w:hAnsi="Verdana"/>
          <w:sz w:val="20"/>
          <w:szCs w:val="20"/>
        </w:rPr>
        <w:t>39</w:t>
      </w:r>
      <w:r w:rsidR="009C4A8E" w:rsidRPr="009C4A8E">
        <w:rPr>
          <w:rFonts w:ascii="Verdana" w:hAnsi="Verdana"/>
          <w:sz w:val="20"/>
          <w:szCs w:val="20"/>
          <w:vertAlign w:val="superscript"/>
        </w:rPr>
        <w:t>e</w:t>
      </w:r>
      <w:r w:rsidR="009C4A8E">
        <w:rPr>
          <w:rFonts w:ascii="Verdana" w:hAnsi="Verdana"/>
          <w:sz w:val="20"/>
          <w:szCs w:val="20"/>
        </w:rPr>
        <w:t xml:space="preserve"> </w:t>
      </w:r>
      <w:r>
        <w:rPr>
          <w:rFonts w:ascii="Verdana" w:hAnsi="Verdana"/>
          <w:sz w:val="20"/>
          <w:szCs w:val="20"/>
        </w:rPr>
        <w:t>Conseil</w:t>
      </w:r>
      <w:r w:rsidR="0080777F">
        <w:rPr>
          <w:rFonts w:ascii="Verdana" w:hAnsi="Verdana"/>
          <w:sz w:val="20"/>
          <w:szCs w:val="20"/>
        </w:rPr>
        <w:t xml:space="preserve"> du </w:t>
      </w:r>
      <w:r w:rsidR="00AD7403">
        <w:rPr>
          <w:rFonts w:ascii="Verdana" w:hAnsi="Verdana"/>
          <w:sz w:val="20"/>
          <w:szCs w:val="20"/>
        </w:rPr>
        <w:t>16 avril 2025</w:t>
      </w:r>
      <w:r w:rsidR="0080777F">
        <w:rPr>
          <w:rFonts w:ascii="Verdana" w:hAnsi="Verdana"/>
          <w:sz w:val="20"/>
          <w:szCs w:val="20"/>
        </w:rPr>
        <w:t xml:space="preserve"> aux</w:t>
      </w:r>
      <w:r w:rsidR="00AD7403">
        <w:rPr>
          <w:rFonts w:ascii="Verdana" w:hAnsi="Verdana"/>
          <w:sz w:val="20"/>
          <w:szCs w:val="20"/>
        </w:rPr>
        <w:t xml:space="preserve"> </w:t>
      </w:r>
      <w:r w:rsidR="00124804">
        <w:rPr>
          <w:rFonts w:ascii="Verdana" w:hAnsi="Verdana"/>
          <w:sz w:val="20"/>
          <w:szCs w:val="20"/>
        </w:rPr>
        <w:t>Seychelles, par</w:t>
      </w:r>
      <w:r w:rsidR="00D216A1">
        <w:rPr>
          <w:rFonts w:ascii="Verdana" w:hAnsi="Verdana"/>
          <w:sz w:val="20"/>
          <w:szCs w:val="20"/>
        </w:rPr>
        <w:t xml:space="preserve"> sa décision 10 (c)</w:t>
      </w:r>
      <w:r w:rsidR="00D92FB5">
        <w:rPr>
          <w:rFonts w:ascii="Verdana" w:hAnsi="Verdana"/>
          <w:sz w:val="20"/>
          <w:szCs w:val="20"/>
        </w:rPr>
        <w:t xml:space="preserve"> </w:t>
      </w:r>
      <w:r w:rsidR="00124804">
        <w:rPr>
          <w:rFonts w:ascii="Verdana" w:hAnsi="Verdana"/>
          <w:sz w:val="20"/>
          <w:szCs w:val="20"/>
        </w:rPr>
        <w:t xml:space="preserve">a </w:t>
      </w:r>
      <w:r w:rsidR="00D92FB5">
        <w:rPr>
          <w:rFonts w:ascii="Verdana" w:hAnsi="Verdana"/>
          <w:sz w:val="20"/>
          <w:szCs w:val="20"/>
        </w:rPr>
        <w:t>mandat</w:t>
      </w:r>
      <w:r w:rsidR="00124804">
        <w:rPr>
          <w:rFonts w:ascii="Verdana" w:hAnsi="Verdana"/>
          <w:sz w:val="20"/>
          <w:szCs w:val="20"/>
        </w:rPr>
        <w:t>é</w:t>
      </w:r>
      <w:r w:rsidR="00D92FB5">
        <w:rPr>
          <w:rFonts w:ascii="Verdana" w:hAnsi="Verdana"/>
          <w:sz w:val="20"/>
          <w:szCs w:val="20"/>
        </w:rPr>
        <w:t xml:space="preserve"> le Comité des </w:t>
      </w:r>
      <w:r w:rsidR="00124804">
        <w:rPr>
          <w:rFonts w:ascii="Verdana" w:hAnsi="Verdana"/>
          <w:sz w:val="20"/>
          <w:szCs w:val="20"/>
        </w:rPr>
        <w:t xml:space="preserve">OPL </w:t>
      </w:r>
      <w:r w:rsidR="00D92FB5">
        <w:rPr>
          <w:rFonts w:ascii="Verdana" w:hAnsi="Verdana"/>
          <w:sz w:val="20"/>
          <w:szCs w:val="20"/>
        </w:rPr>
        <w:t xml:space="preserve">pour </w:t>
      </w:r>
      <w:r w:rsidR="00C44506">
        <w:rPr>
          <w:rFonts w:ascii="Verdana" w:hAnsi="Verdana"/>
          <w:sz w:val="20"/>
          <w:szCs w:val="20"/>
        </w:rPr>
        <w:t>« </w:t>
      </w:r>
      <w:r w:rsidR="00D92FB5" w:rsidRPr="00654CFE">
        <w:rPr>
          <w:rFonts w:ascii="Verdana" w:hAnsi="Verdana"/>
          <w:i/>
          <w:iCs/>
          <w:sz w:val="20"/>
          <w:szCs w:val="20"/>
        </w:rPr>
        <w:t>réviser</w:t>
      </w:r>
      <w:r w:rsidR="002C6707" w:rsidRPr="00654CFE">
        <w:rPr>
          <w:rFonts w:ascii="Verdana" w:hAnsi="Verdana"/>
          <w:i/>
          <w:iCs/>
          <w:sz w:val="20"/>
          <w:szCs w:val="20"/>
        </w:rPr>
        <w:t xml:space="preserve">, </w:t>
      </w:r>
      <w:r w:rsidR="00124804" w:rsidRPr="00654CFE">
        <w:rPr>
          <w:rFonts w:ascii="Verdana" w:hAnsi="Verdana"/>
          <w:i/>
          <w:iCs/>
          <w:sz w:val="20"/>
          <w:szCs w:val="20"/>
        </w:rPr>
        <w:t>conformément</w:t>
      </w:r>
      <w:r w:rsidR="002C6707" w:rsidRPr="00654CFE">
        <w:rPr>
          <w:rFonts w:ascii="Verdana" w:hAnsi="Verdana"/>
          <w:i/>
          <w:iCs/>
          <w:sz w:val="20"/>
          <w:szCs w:val="20"/>
        </w:rPr>
        <w:t xml:space="preserve"> aux orientations données par le Conseil des ministres, les termes du poste de directeur en vue de </w:t>
      </w:r>
      <w:r w:rsidR="00D216A1" w:rsidRPr="00654CFE">
        <w:rPr>
          <w:rFonts w:ascii="Verdana" w:hAnsi="Verdana"/>
          <w:i/>
          <w:iCs/>
          <w:sz w:val="20"/>
          <w:szCs w:val="20"/>
        </w:rPr>
        <w:t xml:space="preserve">sa validation dans les plus brefs délais et afin de procéder </w:t>
      </w:r>
      <w:r w:rsidR="00365703" w:rsidRPr="00654CFE">
        <w:rPr>
          <w:rFonts w:ascii="Verdana" w:hAnsi="Verdana"/>
          <w:i/>
          <w:iCs/>
          <w:sz w:val="20"/>
          <w:szCs w:val="20"/>
        </w:rPr>
        <w:t>au recrutement</w:t>
      </w:r>
      <w:r w:rsidR="00C44506">
        <w:rPr>
          <w:rFonts w:ascii="Verdana" w:hAnsi="Verdana"/>
          <w:i/>
          <w:iCs/>
          <w:sz w:val="20"/>
          <w:szCs w:val="20"/>
        </w:rPr>
        <w:t> »</w:t>
      </w:r>
      <w:r w:rsidR="00365703" w:rsidRPr="00654CFE">
        <w:rPr>
          <w:rFonts w:ascii="Verdana" w:hAnsi="Verdana"/>
          <w:i/>
          <w:iCs/>
          <w:sz w:val="20"/>
          <w:szCs w:val="20"/>
        </w:rPr>
        <w:t>.</w:t>
      </w:r>
    </w:p>
    <w:p w14:paraId="7F851D55" w14:textId="264FA1FD" w:rsidR="0002498D" w:rsidRPr="001B21B2" w:rsidRDefault="00365703" w:rsidP="002116ED">
      <w:pPr>
        <w:pStyle w:val="Paragraphe"/>
        <w:spacing w:after="120"/>
      </w:pPr>
      <w:r w:rsidRPr="00EC6E21">
        <w:t xml:space="preserve">Après plusieurs tentatives de réunion virtuelle, une réunion </w:t>
      </w:r>
      <w:r w:rsidR="008A65AB" w:rsidRPr="00EC6E21">
        <w:t xml:space="preserve">de travail en </w:t>
      </w:r>
      <w:r w:rsidR="00E43101" w:rsidRPr="00EC6E21">
        <w:t>présentiel</w:t>
      </w:r>
      <w:r w:rsidRPr="00EC6E21">
        <w:t xml:space="preserve"> a pu être organisé </w:t>
      </w:r>
      <w:r w:rsidR="00E43101" w:rsidRPr="00EC6E21">
        <w:t>le 11 septembre 2025</w:t>
      </w:r>
      <w:r w:rsidR="00DD723A" w:rsidRPr="00DD723A">
        <w:t xml:space="preserve"> </w:t>
      </w:r>
      <w:r w:rsidR="00C44506">
        <w:t>au S</w:t>
      </w:r>
      <w:r w:rsidR="00DD723A" w:rsidRPr="00EC6E21">
        <w:t>ecrétariat général</w:t>
      </w:r>
      <w:r w:rsidR="00E43101" w:rsidRPr="00EC6E21">
        <w:t>.</w:t>
      </w:r>
      <w:r w:rsidR="001B21B2">
        <w:t xml:space="preserve"> </w:t>
      </w:r>
      <w:r w:rsidR="00755DE5" w:rsidRPr="00755DE5">
        <w:t>Il convient de noter</w:t>
      </w:r>
      <w:r w:rsidR="00755DE5">
        <w:t xml:space="preserve"> que l</w:t>
      </w:r>
      <w:r w:rsidR="0002498D" w:rsidRPr="0002498D">
        <w:t>a partie mauricienne n’a pas pu prendre part à cette réunion, qui s’est néanmoins tenue en présence des autres OPL.</w:t>
      </w:r>
    </w:p>
    <w:p w14:paraId="5072218C" w14:textId="3FA73B3C" w:rsidR="00CF7687" w:rsidRDefault="00E43101" w:rsidP="002116ED">
      <w:pPr>
        <w:pStyle w:val="Paragraphe"/>
        <w:spacing w:after="120"/>
      </w:pPr>
      <w:r w:rsidRPr="00EC6E21">
        <w:t xml:space="preserve">Les dernières versions de </w:t>
      </w:r>
      <w:r w:rsidR="008A65AB" w:rsidRPr="00EC6E21">
        <w:t xml:space="preserve">termes de références ont </w:t>
      </w:r>
      <w:r w:rsidR="0006001B">
        <w:t>ensuite</w:t>
      </w:r>
      <w:r w:rsidR="008A65AB" w:rsidRPr="00EC6E21">
        <w:t xml:space="preserve"> été partagé</w:t>
      </w:r>
      <w:r w:rsidR="00F827C5">
        <w:t>e</w:t>
      </w:r>
      <w:r w:rsidR="008A65AB" w:rsidRPr="00EC6E21">
        <w:t xml:space="preserve">s pour les </w:t>
      </w:r>
      <w:r w:rsidR="00F827C5">
        <w:t>ult</w:t>
      </w:r>
      <w:r w:rsidR="00195524">
        <w:t>imes</w:t>
      </w:r>
      <w:r w:rsidR="008A65AB" w:rsidRPr="00EC6E21">
        <w:t xml:space="preserve"> consultations nationales en vue de la présentation </w:t>
      </w:r>
      <w:r w:rsidR="00EC6E21" w:rsidRPr="00EC6E21">
        <w:t xml:space="preserve">du texte pour validation au COPL </w:t>
      </w:r>
      <w:r w:rsidR="00EB20C7">
        <w:t>0</w:t>
      </w:r>
      <w:r w:rsidR="00EC6E21" w:rsidRPr="00EC6E21">
        <w:t>2/2025.</w:t>
      </w:r>
      <w:r w:rsidR="002F6004">
        <w:t xml:space="preserve"> </w:t>
      </w:r>
    </w:p>
    <w:p w14:paraId="72BDC853" w14:textId="5FE708C9" w:rsidR="005D26FC" w:rsidRPr="00F46FE5" w:rsidRDefault="00EF025E" w:rsidP="005D26FC">
      <w:pPr>
        <w:spacing w:after="120" w:line="240" w:lineRule="auto"/>
        <w:contextualSpacing/>
        <w:jc w:val="both"/>
        <w:rPr>
          <w:rFonts w:ascii="Verdana" w:hAnsi="Verdana"/>
          <w:sz w:val="20"/>
          <w:szCs w:val="20"/>
        </w:rPr>
      </w:pPr>
      <w:r>
        <w:rPr>
          <w:rFonts w:ascii="Verdana" w:hAnsi="Verdana"/>
          <w:sz w:val="20"/>
          <w:szCs w:val="20"/>
        </w:rPr>
        <w:t>Les termes de référence</w:t>
      </w:r>
      <w:r w:rsidR="00541016">
        <w:rPr>
          <w:rFonts w:ascii="Verdana" w:hAnsi="Verdana"/>
          <w:sz w:val="20"/>
          <w:szCs w:val="20"/>
        </w:rPr>
        <w:t>s</w:t>
      </w:r>
      <w:r w:rsidR="005D26FC" w:rsidRPr="00F46FE5">
        <w:rPr>
          <w:rFonts w:ascii="Verdana" w:hAnsi="Verdana"/>
          <w:sz w:val="20"/>
          <w:szCs w:val="20"/>
        </w:rPr>
        <w:t xml:space="preserve"> </w:t>
      </w:r>
      <w:r w:rsidR="00541016">
        <w:rPr>
          <w:rFonts w:ascii="Verdana" w:hAnsi="Verdana"/>
          <w:sz w:val="20"/>
          <w:szCs w:val="20"/>
        </w:rPr>
        <w:t xml:space="preserve">ont </w:t>
      </w:r>
      <w:r w:rsidR="00C328DF">
        <w:rPr>
          <w:rFonts w:ascii="Verdana" w:hAnsi="Verdana"/>
          <w:sz w:val="20"/>
          <w:szCs w:val="20"/>
        </w:rPr>
        <w:t xml:space="preserve">ensuite </w:t>
      </w:r>
      <w:r w:rsidR="005D26FC" w:rsidRPr="00F46FE5">
        <w:rPr>
          <w:rFonts w:ascii="Verdana" w:hAnsi="Verdana"/>
          <w:sz w:val="20"/>
          <w:szCs w:val="20"/>
        </w:rPr>
        <w:t>été présenté lors du COPL 02/2025 ; toutefois, il n’a pas obtenu l’approbation requise lors du dernier C</w:t>
      </w:r>
      <w:r w:rsidR="005D26FC">
        <w:rPr>
          <w:rFonts w:ascii="Verdana" w:hAnsi="Verdana"/>
          <w:sz w:val="20"/>
          <w:szCs w:val="20"/>
        </w:rPr>
        <w:t>omité</w:t>
      </w:r>
      <w:r w:rsidR="00C328DF">
        <w:rPr>
          <w:rFonts w:ascii="Verdana" w:hAnsi="Verdana"/>
          <w:sz w:val="20"/>
          <w:szCs w:val="20"/>
        </w:rPr>
        <w:t>.</w:t>
      </w:r>
    </w:p>
    <w:p w14:paraId="75BB04A5" w14:textId="7859F871" w:rsidR="005D26FC" w:rsidRDefault="005D26FC" w:rsidP="005D26FC">
      <w:pPr>
        <w:spacing w:after="120" w:line="240" w:lineRule="auto"/>
        <w:contextualSpacing/>
        <w:jc w:val="both"/>
        <w:rPr>
          <w:rFonts w:ascii="Verdana" w:hAnsi="Verdana"/>
          <w:sz w:val="20"/>
          <w:szCs w:val="20"/>
        </w:rPr>
      </w:pPr>
      <w:r>
        <w:rPr>
          <w:rFonts w:ascii="Verdana" w:hAnsi="Verdana"/>
          <w:sz w:val="20"/>
          <w:szCs w:val="20"/>
        </w:rPr>
        <w:t xml:space="preserve">La décision </w:t>
      </w:r>
      <w:r w:rsidRPr="00F46FE5">
        <w:rPr>
          <w:rFonts w:ascii="Verdana" w:hAnsi="Verdana"/>
          <w:sz w:val="20"/>
          <w:szCs w:val="20"/>
        </w:rPr>
        <w:t>n°</w:t>
      </w:r>
      <w:r>
        <w:rPr>
          <w:rFonts w:ascii="Verdana" w:hAnsi="Verdana"/>
          <w:sz w:val="20"/>
          <w:szCs w:val="20"/>
        </w:rPr>
        <w:t xml:space="preserve">20 concernant </w:t>
      </w:r>
      <w:r w:rsidR="00BD5349">
        <w:rPr>
          <w:rFonts w:ascii="Verdana" w:hAnsi="Verdana"/>
          <w:sz w:val="20"/>
          <w:szCs w:val="20"/>
        </w:rPr>
        <w:t>les termes de références</w:t>
      </w:r>
      <w:r>
        <w:rPr>
          <w:rFonts w:ascii="Verdana" w:hAnsi="Verdana"/>
          <w:sz w:val="20"/>
          <w:szCs w:val="20"/>
        </w:rPr>
        <w:t xml:space="preserve"> demande au secrétariat général de proposer aux états membres des modifications au cadre de mise à disposition de personnel et experts auprès du secrétariat général et sur les termes de références du poste de directeur en tenant compte des observations et positions des Etats membres en vue d’une finalisation dans les plus brefs délais et approbation par les instances.</w:t>
      </w:r>
    </w:p>
    <w:p w14:paraId="3FC79F8B" w14:textId="77777777" w:rsidR="009D7813" w:rsidRDefault="009D7813" w:rsidP="005D26FC">
      <w:pPr>
        <w:spacing w:after="120" w:line="240" w:lineRule="auto"/>
        <w:contextualSpacing/>
        <w:jc w:val="both"/>
        <w:rPr>
          <w:rFonts w:ascii="Verdana" w:hAnsi="Verdana"/>
          <w:sz w:val="20"/>
          <w:szCs w:val="20"/>
          <w:lang/>
        </w:rPr>
      </w:pPr>
    </w:p>
    <w:p w14:paraId="0F441228" w14:textId="6AFA659D" w:rsidR="005D26FC" w:rsidRPr="000F7C47" w:rsidRDefault="000B5726" w:rsidP="005D26FC">
      <w:pPr>
        <w:spacing w:after="120" w:line="240" w:lineRule="auto"/>
        <w:contextualSpacing/>
        <w:jc w:val="both"/>
        <w:rPr>
          <w:rFonts w:ascii="Verdana" w:hAnsi="Verdana"/>
          <w:sz w:val="20"/>
          <w:szCs w:val="20"/>
          <w:lang/>
        </w:rPr>
      </w:pPr>
      <w:r>
        <w:rPr>
          <w:rFonts w:ascii="Verdana" w:hAnsi="Verdana"/>
          <w:sz w:val="20"/>
          <w:szCs w:val="20"/>
          <w:lang/>
        </w:rPr>
        <w:t>Une</w:t>
      </w:r>
      <w:r w:rsidR="005D26FC" w:rsidRPr="000F7C47">
        <w:rPr>
          <w:rFonts w:ascii="Verdana" w:hAnsi="Verdana"/>
          <w:sz w:val="20"/>
          <w:szCs w:val="20"/>
          <w:lang/>
        </w:rPr>
        <w:t xml:space="preserve"> proposition de réunion virtuelle a été adressée à l’ensemble des OPL afin de poursuivre les échanges de manière collective. Toutefois, cette réunion n’a pu être organisée en raison des contraintes de disponibilité des participants jusqu’au 30 mars 2026.</w:t>
      </w:r>
    </w:p>
    <w:p w14:paraId="417947EC" w14:textId="77777777" w:rsidR="005D26FC" w:rsidRDefault="005D26FC" w:rsidP="005D26FC">
      <w:pPr>
        <w:spacing w:after="120" w:line="240" w:lineRule="auto"/>
        <w:contextualSpacing/>
        <w:jc w:val="both"/>
        <w:rPr>
          <w:rFonts w:ascii="Verdana" w:hAnsi="Verdana"/>
          <w:sz w:val="20"/>
          <w:szCs w:val="20"/>
          <w:lang/>
        </w:rPr>
      </w:pPr>
    </w:p>
    <w:p w14:paraId="2B7AE0D0" w14:textId="31346FD2" w:rsidR="00BB1C1D" w:rsidRPr="00E86B51" w:rsidRDefault="005D26FC" w:rsidP="00E86B51">
      <w:pPr>
        <w:spacing w:after="120" w:line="240" w:lineRule="auto"/>
        <w:contextualSpacing/>
        <w:jc w:val="both"/>
        <w:rPr>
          <w:rFonts w:ascii="Verdana" w:hAnsi="Verdana"/>
          <w:sz w:val="20"/>
          <w:szCs w:val="20"/>
          <w:lang/>
        </w:rPr>
      </w:pPr>
      <w:r w:rsidRPr="00D61117">
        <w:rPr>
          <w:rFonts w:ascii="Verdana" w:hAnsi="Verdana"/>
          <w:sz w:val="20"/>
          <w:szCs w:val="20"/>
        </w:rPr>
        <w:t xml:space="preserve">Malgré les efforts continus déployés depuis plus de 18 mois pour finaliser ce document, aucun consensus n’a, à ce jour, pu être atteint entre les différentes parties prenantes. Dans ce contexte, le Secrétariat général sollicite l’appui du Comité des OPL </w:t>
      </w:r>
      <w:r>
        <w:rPr>
          <w:rFonts w:ascii="Verdana" w:hAnsi="Verdana"/>
          <w:sz w:val="20"/>
          <w:szCs w:val="20"/>
        </w:rPr>
        <w:t xml:space="preserve">et en particulier la présidence </w:t>
      </w:r>
      <w:r w:rsidRPr="00D61117">
        <w:rPr>
          <w:rFonts w:ascii="Verdana" w:hAnsi="Verdana"/>
          <w:sz w:val="20"/>
          <w:szCs w:val="20"/>
        </w:rPr>
        <w:t>afin de faciliter la convergence des positions et de soutenir l’aboutissement d’un consensus permettant la finalisation du cadre dans les meilleurs délais.</w:t>
      </w:r>
    </w:p>
    <w:p w14:paraId="3608247D" w14:textId="57F33556" w:rsidR="008E6496" w:rsidRPr="008E6496" w:rsidRDefault="008E6496" w:rsidP="002116ED">
      <w:pPr>
        <w:pStyle w:val="Paragraphe"/>
        <w:spacing w:after="120"/>
        <w:rPr>
          <w:lang w:bidi="fr-FR"/>
        </w:rPr>
      </w:pPr>
      <w:r w:rsidRPr="008E6496">
        <w:rPr>
          <w:lang w:bidi="fr-FR"/>
        </w:rPr>
        <w:t>Veuillez trouver ci-dessous une proposition</w:t>
      </w:r>
      <w:r w:rsidR="00671C05">
        <w:rPr>
          <w:lang w:bidi="fr-FR"/>
        </w:rPr>
        <w:t xml:space="preserve"> de calendrier prévision qui pourra être ajusté </w:t>
      </w:r>
      <w:r w:rsidR="00EB20C7">
        <w:rPr>
          <w:lang w:bidi="fr-FR"/>
        </w:rPr>
        <w:t>à la suite des</w:t>
      </w:r>
      <w:r w:rsidR="00671C05">
        <w:rPr>
          <w:lang w:bidi="fr-FR"/>
        </w:rPr>
        <w:t xml:space="preserve"> discussions du Comité des OPL</w:t>
      </w:r>
      <w:r w:rsidRPr="008E6496">
        <w:rPr>
          <w:lang w:bidi="fr-FR"/>
        </w:rPr>
        <w:t xml:space="preserve"> : </w:t>
      </w:r>
    </w:p>
    <w:p w14:paraId="716CA726" w14:textId="0887A28A" w:rsidR="008E6496" w:rsidRPr="008E6496" w:rsidRDefault="008E6496" w:rsidP="008E6496">
      <w:pPr>
        <w:pStyle w:val="Paragraphe"/>
        <w:numPr>
          <w:ilvl w:val="0"/>
          <w:numId w:val="29"/>
        </w:numPr>
        <w:rPr>
          <w:lang w:bidi="fr-FR"/>
        </w:rPr>
      </w:pPr>
      <w:r w:rsidRPr="008E6496">
        <w:rPr>
          <w:b/>
          <w:bCs/>
          <w:lang w:bidi="fr-FR"/>
        </w:rPr>
        <w:t>M</w:t>
      </w:r>
      <w:r w:rsidR="0068749E">
        <w:rPr>
          <w:b/>
          <w:bCs/>
          <w:lang w:bidi="fr-FR"/>
        </w:rPr>
        <w:t>ai 2026</w:t>
      </w:r>
      <w:r w:rsidRPr="008E6496">
        <w:rPr>
          <w:lang w:bidi="fr-FR"/>
        </w:rPr>
        <w:t> : Validation des termes de références</w:t>
      </w:r>
    </w:p>
    <w:p w14:paraId="7055518A" w14:textId="1A292CCB" w:rsidR="008E6496" w:rsidRPr="008E6496" w:rsidRDefault="0068749E" w:rsidP="008E6496">
      <w:pPr>
        <w:pStyle w:val="Paragraphe"/>
        <w:numPr>
          <w:ilvl w:val="0"/>
          <w:numId w:val="29"/>
        </w:numPr>
        <w:rPr>
          <w:b/>
          <w:bCs/>
          <w:lang w:bidi="fr-FR"/>
        </w:rPr>
      </w:pPr>
      <w:r>
        <w:rPr>
          <w:b/>
          <w:bCs/>
          <w:lang w:bidi="fr-FR"/>
        </w:rPr>
        <w:t>Juin 2026</w:t>
      </w:r>
      <w:r w:rsidR="008E6496" w:rsidRPr="008E6496">
        <w:rPr>
          <w:lang w:bidi="fr-FR"/>
        </w:rPr>
        <w:t xml:space="preserve"> (au plus tard) : Invitation de soumission des candidatures par les États membres avec une date limite au </w:t>
      </w:r>
      <w:r w:rsidR="008E6496" w:rsidRPr="008E6496">
        <w:rPr>
          <w:b/>
          <w:bCs/>
          <w:lang w:bidi="fr-FR"/>
        </w:rPr>
        <w:t>15/0</w:t>
      </w:r>
      <w:r w:rsidR="00C03E70">
        <w:rPr>
          <w:b/>
          <w:bCs/>
          <w:lang w:bidi="fr-FR"/>
        </w:rPr>
        <w:t>7</w:t>
      </w:r>
      <w:r w:rsidR="008E6496" w:rsidRPr="008E6496">
        <w:rPr>
          <w:b/>
          <w:bCs/>
          <w:lang w:bidi="fr-FR"/>
        </w:rPr>
        <w:t>/2026</w:t>
      </w:r>
    </w:p>
    <w:p w14:paraId="14261B57" w14:textId="58C7FE14" w:rsidR="008E6496" w:rsidRPr="008E6496" w:rsidRDefault="008E6496" w:rsidP="008E6496">
      <w:pPr>
        <w:pStyle w:val="Paragraphe"/>
        <w:numPr>
          <w:ilvl w:val="0"/>
          <w:numId w:val="29"/>
        </w:numPr>
        <w:rPr>
          <w:lang w:bidi="fr-FR"/>
        </w:rPr>
      </w:pPr>
      <w:r w:rsidRPr="008E6496">
        <w:rPr>
          <w:b/>
          <w:bCs/>
          <w:lang w:bidi="fr-FR"/>
        </w:rPr>
        <w:t>J</w:t>
      </w:r>
      <w:r w:rsidR="0068749E">
        <w:rPr>
          <w:b/>
          <w:bCs/>
          <w:lang w:bidi="fr-FR"/>
        </w:rPr>
        <w:t>ui</w:t>
      </w:r>
      <w:r w:rsidR="00C03E70">
        <w:rPr>
          <w:b/>
          <w:bCs/>
          <w:lang w:bidi="fr-FR"/>
        </w:rPr>
        <w:t>llet</w:t>
      </w:r>
      <w:r w:rsidR="0068749E">
        <w:rPr>
          <w:b/>
          <w:bCs/>
          <w:lang w:bidi="fr-FR"/>
        </w:rPr>
        <w:t xml:space="preserve"> 2026</w:t>
      </w:r>
      <w:r w:rsidRPr="008E6496">
        <w:rPr>
          <w:lang w:bidi="fr-FR"/>
        </w:rPr>
        <w:t xml:space="preserve"> : Mise en place d’un comité de sélection, tel que stipulée </w:t>
      </w:r>
      <w:r w:rsidR="00492737">
        <w:rPr>
          <w:lang w:bidi="fr-FR"/>
        </w:rPr>
        <w:t>dans les termes de références</w:t>
      </w:r>
      <w:r w:rsidRPr="008E6496">
        <w:rPr>
          <w:lang w:bidi="fr-FR"/>
        </w:rPr>
        <w:t>.</w:t>
      </w:r>
      <w:r w:rsidR="00492737">
        <w:rPr>
          <w:lang w:bidi="fr-FR"/>
        </w:rPr>
        <w:t xml:space="preserve"> </w:t>
      </w:r>
      <w:r w:rsidR="00492737" w:rsidRPr="00492737">
        <w:t>A l’instar de la méthode appliquée en 2019 et 2023, les Etats membres n’ayant pas soumis de candidatures seront invités à soumettre le nom d’un assesseur pour siéger au comité de sélection</w:t>
      </w:r>
      <w:r w:rsidR="00492737">
        <w:t>.</w:t>
      </w:r>
    </w:p>
    <w:p w14:paraId="14F383FE" w14:textId="0BE9F431" w:rsidR="008E6496" w:rsidRPr="008E6496" w:rsidRDefault="00C03E70" w:rsidP="008E6496">
      <w:pPr>
        <w:pStyle w:val="Paragraphe"/>
        <w:numPr>
          <w:ilvl w:val="0"/>
          <w:numId w:val="29"/>
        </w:numPr>
        <w:rPr>
          <w:lang w:bidi="fr-FR"/>
        </w:rPr>
      </w:pPr>
      <w:r>
        <w:rPr>
          <w:b/>
          <w:bCs/>
          <w:lang w:bidi="fr-FR"/>
        </w:rPr>
        <w:t xml:space="preserve">Juillet </w:t>
      </w:r>
      <w:r w:rsidR="00C04E40">
        <w:rPr>
          <w:b/>
          <w:bCs/>
          <w:lang w:bidi="fr-FR"/>
        </w:rPr>
        <w:t>2026</w:t>
      </w:r>
      <w:r w:rsidR="00C04E40" w:rsidRPr="008E6496">
        <w:rPr>
          <w:lang w:bidi="fr-FR"/>
        </w:rPr>
        <w:t xml:space="preserve"> :</w:t>
      </w:r>
      <w:r w:rsidR="008E6496" w:rsidRPr="008E6496">
        <w:rPr>
          <w:lang w:bidi="fr-FR"/>
        </w:rPr>
        <w:t xml:space="preserve"> Entretiens conduits par le panel désigné, et la Gestionnaire des Ressources Humaines en assure le Secrétariat</w:t>
      </w:r>
    </w:p>
    <w:p w14:paraId="5D1B6144" w14:textId="2465249F" w:rsidR="008E6496" w:rsidRPr="008E6496" w:rsidRDefault="00A2160C" w:rsidP="008E6496">
      <w:pPr>
        <w:pStyle w:val="Paragraphe"/>
        <w:numPr>
          <w:ilvl w:val="0"/>
          <w:numId w:val="29"/>
        </w:numPr>
        <w:rPr>
          <w:lang w:bidi="fr-FR"/>
        </w:rPr>
      </w:pPr>
      <w:r>
        <w:rPr>
          <w:b/>
          <w:bCs/>
          <w:lang w:bidi="fr-FR"/>
        </w:rPr>
        <w:t>Aout 2026</w:t>
      </w:r>
      <w:r w:rsidR="008E6496" w:rsidRPr="008E6496">
        <w:rPr>
          <w:b/>
          <w:bCs/>
          <w:lang w:bidi="fr-FR"/>
        </w:rPr>
        <w:t> :</w:t>
      </w:r>
      <w:r w:rsidR="008E6496" w:rsidRPr="008E6496">
        <w:rPr>
          <w:lang w:bidi="fr-FR"/>
        </w:rPr>
        <w:t xml:space="preserve"> </w:t>
      </w:r>
      <w:r w:rsidR="00492737">
        <w:rPr>
          <w:lang w:bidi="fr-FR"/>
        </w:rPr>
        <w:t>Rédaction du r</w:t>
      </w:r>
      <w:r w:rsidR="008E6496" w:rsidRPr="008E6496">
        <w:rPr>
          <w:lang w:bidi="fr-FR"/>
        </w:rPr>
        <w:t xml:space="preserve">apport de sélection </w:t>
      </w:r>
    </w:p>
    <w:p w14:paraId="7E6F5E2B" w14:textId="55EFD6BE" w:rsidR="008E6496" w:rsidRPr="008E6496" w:rsidRDefault="00A2160C" w:rsidP="008E6496">
      <w:pPr>
        <w:pStyle w:val="Paragraphe"/>
        <w:numPr>
          <w:ilvl w:val="0"/>
          <w:numId w:val="29"/>
        </w:numPr>
        <w:rPr>
          <w:lang w:bidi="fr-FR"/>
        </w:rPr>
      </w:pPr>
      <w:r>
        <w:rPr>
          <w:b/>
          <w:bCs/>
          <w:lang w:bidi="fr-FR"/>
        </w:rPr>
        <w:t>Aout/Septembre</w:t>
      </w:r>
      <w:r w:rsidR="008E6496" w:rsidRPr="008E6496">
        <w:rPr>
          <w:lang w:bidi="fr-FR"/>
        </w:rPr>
        <w:t xml:space="preserve"> : Notification et demande d’approbation finale des États membres</w:t>
      </w:r>
    </w:p>
    <w:p w14:paraId="117C8A1D" w14:textId="220D0EC5" w:rsidR="008E6496" w:rsidRPr="008E6496" w:rsidRDefault="00C04E40" w:rsidP="008E6496">
      <w:pPr>
        <w:pStyle w:val="Paragraphe"/>
        <w:numPr>
          <w:ilvl w:val="0"/>
          <w:numId w:val="29"/>
        </w:numPr>
        <w:rPr>
          <w:lang w:bidi="fr-FR"/>
        </w:rPr>
      </w:pPr>
      <w:r>
        <w:rPr>
          <w:b/>
          <w:bCs/>
          <w:lang w:bidi="fr-FR"/>
        </w:rPr>
        <w:t>Septembre / octobre</w:t>
      </w:r>
      <w:r w:rsidR="008E6496" w:rsidRPr="008E6496">
        <w:rPr>
          <w:lang w:bidi="fr-FR"/>
        </w:rPr>
        <w:t xml:space="preserve"> : Prise de fonction </w:t>
      </w:r>
    </w:p>
    <w:p w14:paraId="67F8388A" w14:textId="77777777" w:rsidR="003F038B" w:rsidRPr="00527180" w:rsidRDefault="003F038B" w:rsidP="003F038B">
      <w:pPr>
        <w:spacing w:after="0" w:line="240" w:lineRule="auto"/>
        <w:jc w:val="both"/>
        <w:rPr>
          <w:rFonts w:ascii="Verdana" w:hAnsi="Verdana"/>
          <w:sz w:val="20"/>
          <w:szCs w:val="20"/>
        </w:rPr>
      </w:pPr>
    </w:p>
    <w:p w14:paraId="2F7F5914" w14:textId="608AD6BB" w:rsidR="00955BB3" w:rsidRPr="0008468B" w:rsidRDefault="00955BB3" w:rsidP="00A70123">
      <w:pPr>
        <w:pStyle w:val="Titrepartie"/>
      </w:pPr>
      <w:r w:rsidRPr="0008468B">
        <w:t>Proposition de décision</w:t>
      </w:r>
    </w:p>
    <w:p w14:paraId="05F1F967" w14:textId="20D253B9" w:rsidR="0008468B" w:rsidRPr="004F5C4B" w:rsidRDefault="0008468B" w:rsidP="00FE285D">
      <w:pPr>
        <w:pStyle w:val="Paragraphe"/>
      </w:pPr>
      <w:r w:rsidRPr="004F5C4B">
        <w:t>Le Comité des OPL</w:t>
      </w:r>
      <w:r w:rsidR="00A76B07">
        <w:t> :</w:t>
      </w:r>
    </w:p>
    <w:p w14:paraId="0B008DC9" w14:textId="498A2EC1" w:rsidR="00F3688F" w:rsidRDefault="007B6555" w:rsidP="00D5274F">
      <w:pPr>
        <w:pStyle w:val="Paragraphe"/>
        <w:numPr>
          <w:ilvl w:val="0"/>
          <w:numId w:val="23"/>
        </w:numPr>
      </w:pPr>
      <w:r>
        <w:t>Approuve</w:t>
      </w:r>
      <w:r w:rsidR="00760405">
        <w:t xml:space="preserve"> </w:t>
      </w:r>
      <w:r w:rsidR="00F3688F">
        <w:t>les termes de références</w:t>
      </w:r>
      <w:r w:rsidR="003F1305">
        <w:t xml:space="preserve">, le calendrier prévisionnel et </w:t>
      </w:r>
      <w:r w:rsidR="008909B5">
        <w:t>le</w:t>
      </w:r>
      <w:r w:rsidR="00F3688F">
        <w:t xml:space="preserve"> processus de recrutement proposé </w:t>
      </w:r>
      <w:r w:rsidR="00022EC7">
        <w:t>pour le poste de directeur</w:t>
      </w:r>
      <w:r w:rsidR="005E54D5">
        <w:t xml:space="preserve"> </w:t>
      </w:r>
      <w:r w:rsidR="003F7937">
        <w:t xml:space="preserve">et encourage le </w:t>
      </w:r>
      <w:r w:rsidR="00F01B64">
        <w:t>Secrétariat général</w:t>
      </w:r>
      <w:r w:rsidR="003F7937">
        <w:t xml:space="preserve"> </w:t>
      </w:r>
      <w:r w:rsidR="004F687D">
        <w:t>à</w:t>
      </w:r>
      <w:r w:rsidR="003F7937">
        <w:t xml:space="preserve"> </w:t>
      </w:r>
      <w:r w:rsidR="00FE63A1">
        <w:t xml:space="preserve">procéder au lancement de ce </w:t>
      </w:r>
      <w:r w:rsidR="005E54D5">
        <w:t>recrutement</w:t>
      </w:r>
      <w:r w:rsidR="00FE63A1">
        <w:t xml:space="preserve"> dans les </w:t>
      </w:r>
      <w:r w:rsidR="005E54D5">
        <w:t>meilleurs</w:t>
      </w:r>
      <w:r w:rsidR="00FE63A1">
        <w:t xml:space="preserve"> délais</w:t>
      </w:r>
      <w:r w:rsidR="003F1305">
        <w:t>.</w:t>
      </w:r>
    </w:p>
    <w:p w14:paraId="430A2641" w14:textId="77777777" w:rsidR="008573BA" w:rsidRPr="002116ED" w:rsidRDefault="008573BA" w:rsidP="008573BA">
      <w:pPr>
        <w:pStyle w:val="Paragraphe"/>
        <w:ind w:left="720"/>
        <w:rPr>
          <w:sz w:val="8"/>
          <w:szCs w:val="8"/>
        </w:rPr>
      </w:pPr>
    </w:p>
    <w:bookmarkEnd w:id="0"/>
    <w:p w14:paraId="467C7EBD" w14:textId="77777777" w:rsidR="00D5274F" w:rsidRPr="0008468B" w:rsidRDefault="00D5274F" w:rsidP="00D5274F">
      <w:pPr>
        <w:pStyle w:val="Titrepartie"/>
      </w:pPr>
      <w:r w:rsidRPr="0008468B">
        <w:t>Annexes :</w:t>
      </w:r>
    </w:p>
    <w:p w14:paraId="50265A38" w14:textId="2B9BCAA6" w:rsidR="009526D7" w:rsidRPr="00620B90" w:rsidRDefault="00D5274F" w:rsidP="00A25177">
      <w:pPr>
        <w:pStyle w:val="Paragraphe"/>
        <w:numPr>
          <w:ilvl w:val="0"/>
          <w:numId w:val="13"/>
        </w:numPr>
      </w:pPr>
      <w:r>
        <w:t xml:space="preserve">Annexe </w:t>
      </w:r>
      <w:r w:rsidR="00A25177">
        <w:t>1</w:t>
      </w:r>
      <w:r w:rsidR="002F6004">
        <w:t xml:space="preserve"> </w:t>
      </w:r>
      <w:r>
        <w:t>: Projet de terme</w:t>
      </w:r>
      <w:r w:rsidR="00B64FC2">
        <w:t>s</w:t>
      </w:r>
      <w:r>
        <w:t xml:space="preserve"> de référence pour le poste de directeur</w:t>
      </w:r>
      <w:r w:rsidR="00DE1FBF">
        <w:t xml:space="preserve"> </w:t>
      </w:r>
    </w:p>
    <w:sectPr w:rsidR="009526D7" w:rsidRPr="00620B90" w:rsidSect="002116ED">
      <w:headerReference w:type="default" r:id="rId10"/>
      <w:footerReference w:type="default" r:id="rId11"/>
      <w:pgSz w:w="11906" w:h="16838"/>
      <w:pgMar w:top="1276" w:right="1417" w:bottom="993"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278B" w14:textId="77777777" w:rsidR="0050025A" w:rsidRDefault="0050025A">
      <w:pPr>
        <w:spacing w:after="0" w:line="240" w:lineRule="auto"/>
      </w:pPr>
      <w:r>
        <w:separator/>
      </w:r>
    </w:p>
  </w:endnote>
  <w:endnote w:type="continuationSeparator" w:id="0">
    <w:p w14:paraId="49874999" w14:textId="77777777" w:rsidR="0050025A" w:rsidRDefault="0050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964E" w14:textId="77777777" w:rsidR="0050025A" w:rsidRDefault="0050025A">
      <w:pPr>
        <w:spacing w:after="0" w:line="240" w:lineRule="auto"/>
      </w:pPr>
      <w:r>
        <w:separator/>
      </w:r>
    </w:p>
  </w:footnote>
  <w:footnote w:type="continuationSeparator" w:id="0">
    <w:p w14:paraId="4E840341" w14:textId="77777777" w:rsidR="0050025A" w:rsidRDefault="00500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CD2FFB6"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495917180" name="Image 49591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45ECE">
      <w:rPr>
        <w:rFonts w:ascii="Verdana" w:hAnsi="Verdana"/>
        <w:b/>
        <w:bCs/>
        <w:sz w:val="20"/>
        <w:szCs w:val="20"/>
      </w:rPr>
      <w:t>3.</w:t>
    </w:r>
    <w:r w:rsidR="00EF666F">
      <w:rPr>
        <w:rFonts w:ascii="Verdana" w:hAnsi="Verdana"/>
        <w:b/>
        <w:bCs/>
        <w:sz w:val="20"/>
        <w:szCs w:val="20"/>
      </w:rPr>
      <w:t>3</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9B0"/>
    <w:multiLevelType w:val="multilevel"/>
    <w:tmpl w:val="A67A0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EE1CA3"/>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7856E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AE6FB7"/>
    <w:multiLevelType w:val="hybridMultilevel"/>
    <w:tmpl w:val="8A7AD03E"/>
    <w:lvl w:ilvl="0" w:tplc="2000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B17328"/>
    <w:multiLevelType w:val="hybridMultilevel"/>
    <w:tmpl w:val="351AA1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0D60A85"/>
    <w:multiLevelType w:val="multilevel"/>
    <w:tmpl w:val="98D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06DED"/>
    <w:multiLevelType w:val="hybridMultilevel"/>
    <w:tmpl w:val="7D246900"/>
    <w:lvl w:ilvl="0" w:tplc="C664A47A">
      <w:start w:val="2"/>
      <w:numFmt w:val="bullet"/>
      <w:lvlText w:val="-"/>
      <w:lvlJc w:val="left"/>
      <w:pPr>
        <w:ind w:left="1080" w:hanging="360"/>
      </w:pPr>
      <w:rPr>
        <w:rFonts w:ascii="Verdana" w:eastAsiaTheme="minorHAnsi" w:hAnsi="Verdana"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56F53915"/>
    <w:multiLevelType w:val="hybridMultilevel"/>
    <w:tmpl w:val="75BC507E"/>
    <w:lvl w:ilvl="0" w:tplc="9C5047B6">
      <w:start w:val="2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E745D8"/>
    <w:multiLevelType w:val="multilevel"/>
    <w:tmpl w:val="C09A773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695931"/>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6857274">
    <w:abstractNumId w:val="7"/>
  </w:num>
  <w:num w:numId="2" w16cid:durableId="693463901">
    <w:abstractNumId w:val="16"/>
  </w:num>
  <w:num w:numId="3" w16cid:durableId="821701795">
    <w:abstractNumId w:val="4"/>
  </w:num>
  <w:num w:numId="4" w16cid:durableId="1419017904">
    <w:abstractNumId w:val="1"/>
  </w:num>
  <w:num w:numId="5" w16cid:durableId="1097139959">
    <w:abstractNumId w:val="14"/>
  </w:num>
  <w:num w:numId="6" w16cid:durableId="2071610087">
    <w:abstractNumId w:val="6"/>
  </w:num>
  <w:num w:numId="7" w16cid:durableId="2107577626">
    <w:abstractNumId w:val="8"/>
  </w:num>
  <w:num w:numId="8" w16cid:durableId="1778521923">
    <w:abstractNumId w:val="4"/>
    <w:lvlOverride w:ilvl="0">
      <w:startOverride w:val="1"/>
    </w:lvlOverride>
  </w:num>
  <w:num w:numId="9" w16cid:durableId="2010212023">
    <w:abstractNumId w:val="3"/>
  </w:num>
  <w:num w:numId="10" w16cid:durableId="1521746232">
    <w:abstractNumId w:val="9"/>
  </w:num>
  <w:num w:numId="11" w16cid:durableId="1190950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048064">
    <w:abstractNumId w:val="4"/>
  </w:num>
  <w:num w:numId="13" w16cid:durableId="607735705">
    <w:abstractNumId w:val="15"/>
  </w:num>
  <w:num w:numId="14" w16cid:durableId="246353209">
    <w:abstractNumId w:val="4"/>
  </w:num>
  <w:num w:numId="15" w16cid:durableId="438792381">
    <w:abstractNumId w:val="4"/>
  </w:num>
  <w:num w:numId="16" w16cid:durableId="1429961536">
    <w:abstractNumId w:val="0"/>
  </w:num>
  <w:num w:numId="17" w16cid:durableId="656954349">
    <w:abstractNumId w:val="12"/>
  </w:num>
  <w:num w:numId="18" w16cid:durableId="1868371592">
    <w:abstractNumId w:val="11"/>
  </w:num>
  <w:num w:numId="19" w16cid:durableId="1790582272">
    <w:abstractNumId w:val="5"/>
  </w:num>
  <w:num w:numId="20" w16cid:durableId="1307054224">
    <w:abstractNumId w:val="2"/>
  </w:num>
  <w:num w:numId="21" w16cid:durableId="1843550282">
    <w:abstractNumId w:val="13"/>
  </w:num>
  <w:num w:numId="22" w16cid:durableId="548341543">
    <w:abstractNumId w:val="4"/>
  </w:num>
  <w:num w:numId="23" w16cid:durableId="1681589232">
    <w:abstractNumId w:val="17"/>
  </w:num>
  <w:num w:numId="24" w16cid:durableId="1090659182">
    <w:abstractNumId w:val="4"/>
  </w:num>
  <w:num w:numId="25" w16cid:durableId="694967238">
    <w:abstractNumId w:val="4"/>
  </w:num>
  <w:num w:numId="26" w16cid:durableId="1560094187">
    <w:abstractNumId w:val="4"/>
  </w:num>
  <w:num w:numId="27" w16cid:durableId="439881608">
    <w:abstractNumId w:val="4"/>
  </w:num>
  <w:num w:numId="28" w16cid:durableId="2016616197">
    <w:abstractNumId w:val="10"/>
  </w:num>
  <w:num w:numId="29" w16cid:durableId="1282758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36D"/>
    <w:rsid w:val="000129FC"/>
    <w:rsid w:val="00022EC7"/>
    <w:rsid w:val="00023F49"/>
    <w:rsid w:val="0002498D"/>
    <w:rsid w:val="00030009"/>
    <w:rsid w:val="0003441F"/>
    <w:rsid w:val="000373B2"/>
    <w:rsid w:val="00042CF5"/>
    <w:rsid w:val="00046928"/>
    <w:rsid w:val="00054479"/>
    <w:rsid w:val="000556C9"/>
    <w:rsid w:val="00056C26"/>
    <w:rsid w:val="0006001B"/>
    <w:rsid w:val="00060CA0"/>
    <w:rsid w:val="00063A26"/>
    <w:rsid w:val="00070E00"/>
    <w:rsid w:val="000716A8"/>
    <w:rsid w:val="0008468B"/>
    <w:rsid w:val="000A23AA"/>
    <w:rsid w:val="000A468A"/>
    <w:rsid w:val="000A46C0"/>
    <w:rsid w:val="000A6422"/>
    <w:rsid w:val="000B0FBD"/>
    <w:rsid w:val="000B5726"/>
    <w:rsid w:val="000C46E9"/>
    <w:rsid w:val="000D0EB1"/>
    <w:rsid w:val="000D13EE"/>
    <w:rsid w:val="000D72DA"/>
    <w:rsid w:val="000F4728"/>
    <w:rsid w:val="00100726"/>
    <w:rsid w:val="0010770A"/>
    <w:rsid w:val="00107D9D"/>
    <w:rsid w:val="00112550"/>
    <w:rsid w:val="001127CD"/>
    <w:rsid w:val="001177D1"/>
    <w:rsid w:val="00124804"/>
    <w:rsid w:val="00136B62"/>
    <w:rsid w:val="0015136A"/>
    <w:rsid w:val="0015294B"/>
    <w:rsid w:val="00155011"/>
    <w:rsid w:val="00156EE3"/>
    <w:rsid w:val="0016192F"/>
    <w:rsid w:val="0016246C"/>
    <w:rsid w:val="00170269"/>
    <w:rsid w:val="001729B2"/>
    <w:rsid w:val="0018252D"/>
    <w:rsid w:val="00183D04"/>
    <w:rsid w:val="00183E3B"/>
    <w:rsid w:val="001842D1"/>
    <w:rsid w:val="0018498A"/>
    <w:rsid w:val="00195524"/>
    <w:rsid w:val="00197B37"/>
    <w:rsid w:val="001A1B43"/>
    <w:rsid w:val="001A56F1"/>
    <w:rsid w:val="001B21B2"/>
    <w:rsid w:val="001B3A8D"/>
    <w:rsid w:val="001B4738"/>
    <w:rsid w:val="001B4CCC"/>
    <w:rsid w:val="001B71A4"/>
    <w:rsid w:val="001D6D52"/>
    <w:rsid w:val="001E35DE"/>
    <w:rsid w:val="001E592A"/>
    <w:rsid w:val="00201AE9"/>
    <w:rsid w:val="00206E8F"/>
    <w:rsid w:val="0021063C"/>
    <w:rsid w:val="002116ED"/>
    <w:rsid w:val="00214D5A"/>
    <w:rsid w:val="00215683"/>
    <w:rsid w:val="00221E0B"/>
    <w:rsid w:val="0022240D"/>
    <w:rsid w:val="002242D3"/>
    <w:rsid w:val="002274FC"/>
    <w:rsid w:val="00227B22"/>
    <w:rsid w:val="00236E50"/>
    <w:rsid w:val="00253E85"/>
    <w:rsid w:val="00254C08"/>
    <w:rsid w:val="002566B6"/>
    <w:rsid w:val="002662B2"/>
    <w:rsid w:val="00272D9E"/>
    <w:rsid w:val="00281C93"/>
    <w:rsid w:val="0029209A"/>
    <w:rsid w:val="002A0933"/>
    <w:rsid w:val="002A096E"/>
    <w:rsid w:val="002B62D4"/>
    <w:rsid w:val="002C56ED"/>
    <w:rsid w:val="002C6707"/>
    <w:rsid w:val="002D1EB5"/>
    <w:rsid w:val="002D512A"/>
    <w:rsid w:val="002F5914"/>
    <w:rsid w:val="002F6004"/>
    <w:rsid w:val="00307035"/>
    <w:rsid w:val="003202A9"/>
    <w:rsid w:val="00333481"/>
    <w:rsid w:val="003376D1"/>
    <w:rsid w:val="00344FBE"/>
    <w:rsid w:val="003604B9"/>
    <w:rsid w:val="00360B33"/>
    <w:rsid w:val="0036287B"/>
    <w:rsid w:val="00365703"/>
    <w:rsid w:val="003772FB"/>
    <w:rsid w:val="00380B24"/>
    <w:rsid w:val="0038531E"/>
    <w:rsid w:val="00391152"/>
    <w:rsid w:val="003953C5"/>
    <w:rsid w:val="003A0CE5"/>
    <w:rsid w:val="003A2E01"/>
    <w:rsid w:val="003A335B"/>
    <w:rsid w:val="003A3425"/>
    <w:rsid w:val="003A4ED0"/>
    <w:rsid w:val="003A506E"/>
    <w:rsid w:val="003A6631"/>
    <w:rsid w:val="003A6EEB"/>
    <w:rsid w:val="003A73E9"/>
    <w:rsid w:val="003B0954"/>
    <w:rsid w:val="003B2ADC"/>
    <w:rsid w:val="003C2538"/>
    <w:rsid w:val="003D485F"/>
    <w:rsid w:val="003D5328"/>
    <w:rsid w:val="003D7611"/>
    <w:rsid w:val="003E0417"/>
    <w:rsid w:val="003E5CCF"/>
    <w:rsid w:val="003F038B"/>
    <w:rsid w:val="003F1305"/>
    <w:rsid w:val="003F2170"/>
    <w:rsid w:val="003F4C68"/>
    <w:rsid w:val="003F7937"/>
    <w:rsid w:val="00406CD3"/>
    <w:rsid w:val="00407172"/>
    <w:rsid w:val="0041278C"/>
    <w:rsid w:val="00414789"/>
    <w:rsid w:val="004167CA"/>
    <w:rsid w:val="00417683"/>
    <w:rsid w:val="004218E9"/>
    <w:rsid w:val="004234B8"/>
    <w:rsid w:val="0042442D"/>
    <w:rsid w:val="0042455B"/>
    <w:rsid w:val="00426673"/>
    <w:rsid w:val="00433CD5"/>
    <w:rsid w:val="00442532"/>
    <w:rsid w:val="00454457"/>
    <w:rsid w:val="004607F7"/>
    <w:rsid w:val="00480D04"/>
    <w:rsid w:val="0048229E"/>
    <w:rsid w:val="00491281"/>
    <w:rsid w:val="00492737"/>
    <w:rsid w:val="0049438B"/>
    <w:rsid w:val="004A2698"/>
    <w:rsid w:val="004A27C7"/>
    <w:rsid w:val="004A4DA1"/>
    <w:rsid w:val="004A708D"/>
    <w:rsid w:val="004B16E5"/>
    <w:rsid w:val="004C628C"/>
    <w:rsid w:val="004C74DF"/>
    <w:rsid w:val="004E5297"/>
    <w:rsid w:val="004E56C3"/>
    <w:rsid w:val="004F5C4B"/>
    <w:rsid w:val="004F687D"/>
    <w:rsid w:val="0050025A"/>
    <w:rsid w:val="00511F93"/>
    <w:rsid w:val="00513A6A"/>
    <w:rsid w:val="00513F19"/>
    <w:rsid w:val="00515A1D"/>
    <w:rsid w:val="00523ECE"/>
    <w:rsid w:val="00527180"/>
    <w:rsid w:val="0053773D"/>
    <w:rsid w:val="00541016"/>
    <w:rsid w:val="00543788"/>
    <w:rsid w:val="00547C67"/>
    <w:rsid w:val="005528DF"/>
    <w:rsid w:val="00556B7A"/>
    <w:rsid w:val="005611F7"/>
    <w:rsid w:val="005625CC"/>
    <w:rsid w:val="0056546F"/>
    <w:rsid w:val="00576329"/>
    <w:rsid w:val="00585186"/>
    <w:rsid w:val="00587A32"/>
    <w:rsid w:val="00597F09"/>
    <w:rsid w:val="005A3E13"/>
    <w:rsid w:val="005A7948"/>
    <w:rsid w:val="005B3350"/>
    <w:rsid w:val="005B3353"/>
    <w:rsid w:val="005B7D30"/>
    <w:rsid w:val="005C5AB0"/>
    <w:rsid w:val="005D26FC"/>
    <w:rsid w:val="005D5B1B"/>
    <w:rsid w:val="005E14AB"/>
    <w:rsid w:val="005E2F5F"/>
    <w:rsid w:val="005E4952"/>
    <w:rsid w:val="005E54D5"/>
    <w:rsid w:val="005E65F4"/>
    <w:rsid w:val="005E7D0E"/>
    <w:rsid w:val="005F0D98"/>
    <w:rsid w:val="005F3FED"/>
    <w:rsid w:val="005F4A14"/>
    <w:rsid w:val="006046C9"/>
    <w:rsid w:val="00607EBF"/>
    <w:rsid w:val="00620B90"/>
    <w:rsid w:val="00621943"/>
    <w:rsid w:val="00623E75"/>
    <w:rsid w:val="00624B5C"/>
    <w:rsid w:val="006250DE"/>
    <w:rsid w:val="00631BF9"/>
    <w:rsid w:val="006356AF"/>
    <w:rsid w:val="00636697"/>
    <w:rsid w:val="00650370"/>
    <w:rsid w:val="0065177D"/>
    <w:rsid w:val="00652699"/>
    <w:rsid w:val="006548BF"/>
    <w:rsid w:val="00654CFE"/>
    <w:rsid w:val="00660504"/>
    <w:rsid w:val="006609B8"/>
    <w:rsid w:val="0066387A"/>
    <w:rsid w:val="00671C05"/>
    <w:rsid w:val="00676356"/>
    <w:rsid w:val="00676D6F"/>
    <w:rsid w:val="0068141A"/>
    <w:rsid w:val="0068749E"/>
    <w:rsid w:val="00694B9C"/>
    <w:rsid w:val="006A4C6F"/>
    <w:rsid w:val="006A60DB"/>
    <w:rsid w:val="006A772F"/>
    <w:rsid w:val="006C0E5D"/>
    <w:rsid w:val="006C42E2"/>
    <w:rsid w:val="006C696D"/>
    <w:rsid w:val="006D18F8"/>
    <w:rsid w:val="006E219F"/>
    <w:rsid w:val="006E2D9E"/>
    <w:rsid w:val="006E3C85"/>
    <w:rsid w:val="006E469A"/>
    <w:rsid w:val="006F6D81"/>
    <w:rsid w:val="006F74B4"/>
    <w:rsid w:val="00705325"/>
    <w:rsid w:val="0071410F"/>
    <w:rsid w:val="007210EC"/>
    <w:rsid w:val="0072142E"/>
    <w:rsid w:val="0073304B"/>
    <w:rsid w:val="00733BF8"/>
    <w:rsid w:val="00734D35"/>
    <w:rsid w:val="00736609"/>
    <w:rsid w:val="0074235F"/>
    <w:rsid w:val="00742398"/>
    <w:rsid w:val="00743516"/>
    <w:rsid w:val="00745ECE"/>
    <w:rsid w:val="00746020"/>
    <w:rsid w:val="007508CC"/>
    <w:rsid w:val="00755DE5"/>
    <w:rsid w:val="00760405"/>
    <w:rsid w:val="00761F87"/>
    <w:rsid w:val="00763270"/>
    <w:rsid w:val="00770C1C"/>
    <w:rsid w:val="0077212B"/>
    <w:rsid w:val="00775835"/>
    <w:rsid w:val="0078076F"/>
    <w:rsid w:val="00783B45"/>
    <w:rsid w:val="00793469"/>
    <w:rsid w:val="007A4E86"/>
    <w:rsid w:val="007B1C8A"/>
    <w:rsid w:val="007B245C"/>
    <w:rsid w:val="007B6555"/>
    <w:rsid w:val="007C141B"/>
    <w:rsid w:val="007C78FC"/>
    <w:rsid w:val="007D15DA"/>
    <w:rsid w:val="007E7EF3"/>
    <w:rsid w:val="00804D7A"/>
    <w:rsid w:val="00805FA4"/>
    <w:rsid w:val="0080777F"/>
    <w:rsid w:val="00816DAC"/>
    <w:rsid w:val="0082083E"/>
    <w:rsid w:val="0082762E"/>
    <w:rsid w:val="0083290E"/>
    <w:rsid w:val="00833A35"/>
    <w:rsid w:val="00834B94"/>
    <w:rsid w:val="008357BB"/>
    <w:rsid w:val="00843FF2"/>
    <w:rsid w:val="008453AB"/>
    <w:rsid w:val="00854EEA"/>
    <w:rsid w:val="008551DA"/>
    <w:rsid w:val="008573BA"/>
    <w:rsid w:val="008577F2"/>
    <w:rsid w:val="0086101E"/>
    <w:rsid w:val="008629B5"/>
    <w:rsid w:val="00862A19"/>
    <w:rsid w:val="00863674"/>
    <w:rsid w:val="00866FC7"/>
    <w:rsid w:val="00873171"/>
    <w:rsid w:val="00881D25"/>
    <w:rsid w:val="008909B5"/>
    <w:rsid w:val="008A1133"/>
    <w:rsid w:val="008A3181"/>
    <w:rsid w:val="008A65AB"/>
    <w:rsid w:val="008B1A22"/>
    <w:rsid w:val="008B1AAD"/>
    <w:rsid w:val="008C31E3"/>
    <w:rsid w:val="008D193F"/>
    <w:rsid w:val="008D6A3D"/>
    <w:rsid w:val="008E6496"/>
    <w:rsid w:val="008E70AB"/>
    <w:rsid w:val="008F173C"/>
    <w:rsid w:val="00902F5E"/>
    <w:rsid w:val="00905A0D"/>
    <w:rsid w:val="00905C2C"/>
    <w:rsid w:val="009116DE"/>
    <w:rsid w:val="00915853"/>
    <w:rsid w:val="009242CD"/>
    <w:rsid w:val="00931BC8"/>
    <w:rsid w:val="009328EA"/>
    <w:rsid w:val="00933A89"/>
    <w:rsid w:val="00946CCD"/>
    <w:rsid w:val="009526D7"/>
    <w:rsid w:val="00955BB3"/>
    <w:rsid w:val="00960A70"/>
    <w:rsid w:val="00961DAA"/>
    <w:rsid w:val="009662CA"/>
    <w:rsid w:val="00974808"/>
    <w:rsid w:val="00974CFB"/>
    <w:rsid w:val="00977A3E"/>
    <w:rsid w:val="009845C1"/>
    <w:rsid w:val="009A38AD"/>
    <w:rsid w:val="009B06FC"/>
    <w:rsid w:val="009B1A44"/>
    <w:rsid w:val="009C3D43"/>
    <w:rsid w:val="009C4A8E"/>
    <w:rsid w:val="009C7E92"/>
    <w:rsid w:val="009D681B"/>
    <w:rsid w:val="009D7813"/>
    <w:rsid w:val="009E030F"/>
    <w:rsid w:val="009E5765"/>
    <w:rsid w:val="009E5A5B"/>
    <w:rsid w:val="009E5A84"/>
    <w:rsid w:val="009F09F3"/>
    <w:rsid w:val="009F5CB0"/>
    <w:rsid w:val="009F6177"/>
    <w:rsid w:val="009F79ED"/>
    <w:rsid w:val="00A11667"/>
    <w:rsid w:val="00A13072"/>
    <w:rsid w:val="00A138A1"/>
    <w:rsid w:val="00A142C7"/>
    <w:rsid w:val="00A148A1"/>
    <w:rsid w:val="00A20DD7"/>
    <w:rsid w:val="00A2160C"/>
    <w:rsid w:val="00A23319"/>
    <w:rsid w:val="00A2450B"/>
    <w:rsid w:val="00A25177"/>
    <w:rsid w:val="00A31764"/>
    <w:rsid w:val="00A348E1"/>
    <w:rsid w:val="00A36C09"/>
    <w:rsid w:val="00A37C9F"/>
    <w:rsid w:val="00A42092"/>
    <w:rsid w:val="00A42493"/>
    <w:rsid w:val="00A45DF1"/>
    <w:rsid w:val="00A469FE"/>
    <w:rsid w:val="00A51AA5"/>
    <w:rsid w:val="00A53E0F"/>
    <w:rsid w:val="00A70123"/>
    <w:rsid w:val="00A71718"/>
    <w:rsid w:val="00A71AA1"/>
    <w:rsid w:val="00A73750"/>
    <w:rsid w:val="00A73F34"/>
    <w:rsid w:val="00A74438"/>
    <w:rsid w:val="00A76B07"/>
    <w:rsid w:val="00A81B98"/>
    <w:rsid w:val="00A81BFE"/>
    <w:rsid w:val="00A82AA5"/>
    <w:rsid w:val="00A851BF"/>
    <w:rsid w:val="00A90305"/>
    <w:rsid w:val="00A948D4"/>
    <w:rsid w:val="00A94CBF"/>
    <w:rsid w:val="00A97494"/>
    <w:rsid w:val="00AA17C1"/>
    <w:rsid w:val="00AA63A3"/>
    <w:rsid w:val="00AA74AB"/>
    <w:rsid w:val="00AB0FFE"/>
    <w:rsid w:val="00AB5EB7"/>
    <w:rsid w:val="00AB712D"/>
    <w:rsid w:val="00AC3CC8"/>
    <w:rsid w:val="00AC5499"/>
    <w:rsid w:val="00AD32F9"/>
    <w:rsid w:val="00AD4CCE"/>
    <w:rsid w:val="00AD4D97"/>
    <w:rsid w:val="00AD7403"/>
    <w:rsid w:val="00AE1177"/>
    <w:rsid w:val="00AE15C5"/>
    <w:rsid w:val="00AE2453"/>
    <w:rsid w:val="00AE4A93"/>
    <w:rsid w:val="00AF02AA"/>
    <w:rsid w:val="00AF2FDE"/>
    <w:rsid w:val="00AF4AE2"/>
    <w:rsid w:val="00B00115"/>
    <w:rsid w:val="00B05DFC"/>
    <w:rsid w:val="00B11D7A"/>
    <w:rsid w:val="00B13158"/>
    <w:rsid w:val="00B13907"/>
    <w:rsid w:val="00B22EC6"/>
    <w:rsid w:val="00B2572E"/>
    <w:rsid w:val="00B27119"/>
    <w:rsid w:val="00B36EEA"/>
    <w:rsid w:val="00B40EC9"/>
    <w:rsid w:val="00B44F01"/>
    <w:rsid w:val="00B452CA"/>
    <w:rsid w:val="00B55578"/>
    <w:rsid w:val="00B571FA"/>
    <w:rsid w:val="00B6433A"/>
    <w:rsid w:val="00B64FC2"/>
    <w:rsid w:val="00B76B0F"/>
    <w:rsid w:val="00B82CC7"/>
    <w:rsid w:val="00B865DB"/>
    <w:rsid w:val="00B94A56"/>
    <w:rsid w:val="00BA4B55"/>
    <w:rsid w:val="00BB1C1D"/>
    <w:rsid w:val="00BC5500"/>
    <w:rsid w:val="00BD2DEA"/>
    <w:rsid w:val="00BD5349"/>
    <w:rsid w:val="00BE6CA3"/>
    <w:rsid w:val="00BF4C0B"/>
    <w:rsid w:val="00BF58A7"/>
    <w:rsid w:val="00BF765A"/>
    <w:rsid w:val="00C02228"/>
    <w:rsid w:val="00C03E70"/>
    <w:rsid w:val="00C04E40"/>
    <w:rsid w:val="00C11C9C"/>
    <w:rsid w:val="00C12C93"/>
    <w:rsid w:val="00C1575A"/>
    <w:rsid w:val="00C325F5"/>
    <w:rsid w:val="00C328DF"/>
    <w:rsid w:val="00C35ED7"/>
    <w:rsid w:val="00C3612B"/>
    <w:rsid w:val="00C43FB6"/>
    <w:rsid w:val="00C44506"/>
    <w:rsid w:val="00C457E8"/>
    <w:rsid w:val="00C45BFC"/>
    <w:rsid w:val="00C567C5"/>
    <w:rsid w:val="00C5712F"/>
    <w:rsid w:val="00C609B9"/>
    <w:rsid w:val="00C61D15"/>
    <w:rsid w:val="00C91A58"/>
    <w:rsid w:val="00CA28AD"/>
    <w:rsid w:val="00CA73A9"/>
    <w:rsid w:val="00CD384B"/>
    <w:rsid w:val="00CD52EF"/>
    <w:rsid w:val="00CE2386"/>
    <w:rsid w:val="00CE415D"/>
    <w:rsid w:val="00CE42B4"/>
    <w:rsid w:val="00CE7347"/>
    <w:rsid w:val="00CF2450"/>
    <w:rsid w:val="00CF4ED9"/>
    <w:rsid w:val="00CF7687"/>
    <w:rsid w:val="00CF7A07"/>
    <w:rsid w:val="00D04855"/>
    <w:rsid w:val="00D05557"/>
    <w:rsid w:val="00D109F0"/>
    <w:rsid w:val="00D216A1"/>
    <w:rsid w:val="00D2497D"/>
    <w:rsid w:val="00D324FA"/>
    <w:rsid w:val="00D37487"/>
    <w:rsid w:val="00D424FF"/>
    <w:rsid w:val="00D42E6D"/>
    <w:rsid w:val="00D5274F"/>
    <w:rsid w:val="00D5308B"/>
    <w:rsid w:val="00D557DD"/>
    <w:rsid w:val="00D60761"/>
    <w:rsid w:val="00D718BD"/>
    <w:rsid w:val="00D77712"/>
    <w:rsid w:val="00D8050E"/>
    <w:rsid w:val="00D83DEF"/>
    <w:rsid w:val="00D92FB5"/>
    <w:rsid w:val="00DA2B4A"/>
    <w:rsid w:val="00DA2EE0"/>
    <w:rsid w:val="00DA4009"/>
    <w:rsid w:val="00DA53DC"/>
    <w:rsid w:val="00DB78E4"/>
    <w:rsid w:val="00DC7986"/>
    <w:rsid w:val="00DD43DD"/>
    <w:rsid w:val="00DD723A"/>
    <w:rsid w:val="00DE1FBF"/>
    <w:rsid w:val="00DE5263"/>
    <w:rsid w:val="00DE6902"/>
    <w:rsid w:val="00DF05A1"/>
    <w:rsid w:val="00E2774E"/>
    <w:rsid w:val="00E32408"/>
    <w:rsid w:val="00E324EC"/>
    <w:rsid w:val="00E344E0"/>
    <w:rsid w:val="00E3543E"/>
    <w:rsid w:val="00E429A6"/>
    <w:rsid w:val="00E43101"/>
    <w:rsid w:val="00E47070"/>
    <w:rsid w:val="00E51DD6"/>
    <w:rsid w:val="00E61F54"/>
    <w:rsid w:val="00E77CDC"/>
    <w:rsid w:val="00E80F6E"/>
    <w:rsid w:val="00E831DE"/>
    <w:rsid w:val="00E845D4"/>
    <w:rsid w:val="00E86B51"/>
    <w:rsid w:val="00E95592"/>
    <w:rsid w:val="00EA2518"/>
    <w:rsid w:val="00EA259F"/>
    <w:rsid w:val="00EB1650"/>
    <w:rsid w:val="00EB20C7"/>
    <w:rsid w:val="00EB2C98"/>
    <w:rsid w:val="00EB38A5"/>
    <w:rsid w:val="00EB3DCF"/>
    <w:rsid w:val="00EB5011"/>
    <w:rsid w:val="00EB6D9E"/>
    <w:rsid w:val="00EC22CC"/>
    <w:rsid w:val="00EC2430"/>
    <w:rsid w:val="00EC36F7"/>
    <w:rsid w:val="00EC58D3"/>
    <w:rsid w:val="00EC63C8"/>
    <w:rsid w:val="00EC6E21"/>
    <w:rsid w:val="00ED07C0"/>
    <w:rsid w:val="00ED1185"/>
    <w:rsid w:val="00ED1F94"/>
    <w:rsid w:val="00ED30E8"/>
    <w:rsid w:val="00ED3D2A"/>
    <w:rsid w:val="00ED6B69"/>
    <w:rsid w:val="00ED77E4"/>
    <w:rsid w:val="00EE085E"/>
    <w:rsid w:val="00EE34F4"/>
    <w:rsid w:val="00EE4D6A"/>
    <w:rsid w:val="00EF025E"/>
    <w:rsid w:val="00EF22A4"/>
    <w:rsid w:val="00EF666F"/>
    <w:rsid w:val="00F00C50"/>
    <w:rsid w:val="00F01B64"/>
    <w:rsid w:val="00F060FC"/>
    <w:rsid w:val="00F12B14"/>
    <w:rsid w:val="00F13A29"/>
    <w:rsid w:val="00F14443"/>
    <w:rsid w:val="00F1472B"/>
    <w:rsid w:val="00F20BBD"/>
    <w:rsid w:val="00F26658"/>
    <w:rsid w:val="00F33FDB"/>
    <w:rsid w:val="00F34A73"/>
    <w:rsid w:val="00F3688F"/>
    <w:rsid w:val="00F36C98"/>
    <w:rsid w:val="00F37BB2"/>
    <w:rsid w:val="00F43983"/>
    <w:rsid w:val="00F510C3"/>
    <w:rsid w:val="00F51750"/>
    <w:rsid w:val="00F54EA0"/>
    <w:rsid w:val="00F71F8D"/>
    <w:rsid w:val="00F72501"/>
    <w:rsid w:val="00F81965"/>
    <w:rsid w:val="00F827C5"/>
    <w:rsid w:val="00F87CC7"/>
    <w:rsid w:val="00F92844"/>
    <w:rsid w:val="00F96812"/>
    <w:rsid w:val="00F96EE9"/>
    <w:rsid w:val="00F97508"/>
    <w:rsid w:val="00FA07F3"/>
    <w:rsid w:val="00FA0C43"/>
    <w:rsid w:val="00FA1E3E"/>
    <w:rsid w:val="00FB40DA"/>
    <w:rsid w:val="00FB4231"/>
    <w:rsid w:val="00FC1D31"/>
    <w:rsid w:val="00FC30F8"/>
    <w:rsid w:val="00FC4FBC"/>
    <w:rsid w:val="00FC5C38"/>
    <w:rsid w:val="00FE0298"/>
    <w:rsid w:val="00FE285D"/>
    <w:rsid w:val="00FE5DB0"/>
    <w:rsid w:val="00FE63A1"/>
    <w:rsid w:val="00FE642F"/>
    <w:rsid w:val="00FF554E"/>
    <w:rsid w:val="00FF6FCF"/>
    <w:rsid w:val="084711BD"/>
    <w:rsid w:val="0C101541"/>
    <w:rsid w:val="29505BF4"/>
    <w:rsid w:val="2A502D52"/>
    <w:rsid w:val="3E640311"/>
    <w:rsid w:val="4B0A5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156EE3"/>
    <w:rPr>
      <w:color w:val="0563C1" w:themeColor="hyperlink"/>
      <w:u w:val="single"/>
    </w:rPr>
  </w:style>
  <w:style w:type="character" w:styleId="Mentionnonrsolue">
    <w:name w:val="Unresolved Mention"/>
    <w:basedOn w:val="Policepardfaut"/>
    <w:uiPriority w:val="99"/>
    <w:semiHidden/>
    <w:unhideWhenUsed/>
    <w:rsid w:val="00156EE3"/>
    <w:rPr>
      <w:color w:val="605E5C"/>
      <w:shd w:val="clear" w:color="auto" w:fill="E1DFDD"/>
    </w:rPr>
  </w:style>
  <w:style w:type="paragraph" w:styleId="NormalWeb">
    <w:name w:val="Normal (Web)"/>
    <w:basedOn w:val="Normal"/>
    <w:uiPriority w:val="99"/>
    <w:semiHidden/>
    <w:unhideWhenUsed/>
    <w:rsid w:val="000D72DA"/>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AE1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541">
      <w:bodyDiv w:val="1"/>
      <w:marLeft w:val="0"/>
      <w:marRight w:val="0"/>
      <w:marTop w:val="0"/>
      <w:marBottom w:val="0"/>
      <w:divBdr>
        <w:top w:val="none" w:sz="0" w:space="0" w:color="auto"/>
        <w:left w:val="none" w:sz="0" w:space="0" w:color="auto"/>
        <w:bottom w:val="none" w:sz="0" w:space="0" w:color="auto"/>
        <w:right w:val="none" w:sz="0" w:space="0" w:color="auto"/>
      </w:divBdr>
    </w:div>
    <w:div w:id="288780226">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3597965">
      <w:bodyDiv w:val="1"/>
      <w:marLeft w:val="0"/>
      <w:marRight w:val="0"/>
      <w:marTop w:val="0"/>
      <w:marBottom w:val="0"/>
      <w:divBdr>
        <w:top w:val="none" w:sz="0" w:space="0" w:color="auto"/>
        <w:left w:val="none" w:sz="0" w:space="0" w:color="auto"/>
        <w:bottom w:val="none" w:sz="0" w:space="0" w:color="auto"/>
        <w:right w:val="none" w:sz="0" w:space="0" w:color="auto"/>
      </w:divBdr>
    </w:div>
    <w:div w:id="547834755">
      <w:bodyDiv w:val="1"/>
      <w:marLeft w:val="0"/>
      <w:marRight w:val="0"/>
      <w:marTop w:val="0"/>
      <w:marBottom w:val="0"/>
      <w:divBdr>
        <w:top w:val="none" w:sz="0" w:space="0" w:color="auto"/>
        <w:left w:val="none" w:sz="0" w:space="0" w:color="auto"/>
        <w:bottom w:val="none" w:sz="0" w:space="0" w:color="auto"/>
        <w:right w:val="none" w:sz="0" w:space="0" w:color="auto"/>
      </w:divBdr>
    </w:div>
    <w:div w:id="584270453">
      <w:bodyDiv w:val="1"/>
      <w:marLeft w:val="0"/>
      <w:marRight w:val="0"/>
      <w:marTop w:val="0"/>
      <w:marBottom w:val="0"/>
      <w:divBdr>
        <w:top w:val="none" w:sz="0" w:space="0" w:color="auto"/>
        <w:left w:val="none" w:sz="0" w:space="0" w:color="auto"/>
        <w:bottom w:val="none" w:sz="0" w:space="0" w:color="auto"/>
        <w:right w:val="none" w:sz="0" w:space="0" w:color="auto"/>
      </w:divBdr>
    </w:div>
    <w:div w:id="595480606">
      <w:bodyDiv w:val="1"/>
      <w:marLeft w:val="0"/>
      <w:marRight w:val="0"/>
      <w:marTop w:val="0"/>
      <w:marBottom w:val="0"/>
      <w:divBdr>
        <w:top w:val="none" w:sz="0" w:space="0" w:color="auto"/>
        <w:left w:val="none" w:sz="0" w:space="0" w:color="auto"/>
        <w:bottom w:val="none" w:sz="0" w:space="0" w:color="auto"/>
        <w:right w:val="none" w:sz="0" w:space="0" w:color="auto"/>
      </w:divBdr>
    </w:div>
    <w:div w:id="702293248">
      <w:bodyDiv w:val="1"/>
      <w:marLeft w:val="0"/>
      <w:marRight w:val="0"/>
      <w:marTop w:val="0"/>
      <w:marBottom w:val="0"/>
      <w:divBdr>
        <w:top w:val="none" w:sz="0" w:space="0" w:color="auto"/>
        <w:left w:val="none" w:sz="0" w:space="0" w:color="auto"/>
        <w:bottom w:val="none" w:sz="0" w:space="0" w:color="auto"/>
        <w:right w:val="none" w:sz="0" w:space="0" w:color="auto"/>
      </w:divBdr>
    </w:div>
    <w:div w:id="1025015046">
      <w:bodyDiv w:val="1"/>
      <w:marLeft w:val="0"/>
      <w:marRight w:val="0"/>
      <w:marTop w:val="0"/>
      <w:marBottom w:val="0"/>
      <w:divBdr>
        <w:top w:val="none" w:sz="0" w:space="0" w:color="auto"/>
        <w:left w:val="none" w:sz="0" w:space="0" w:color="auto"/>
        <w:bottom w:val="none" w:sz="0" w:space="0" w:color="auto"/>
        <w:right w:val="none" w:sz="0" w:space="0" w:color="auto"/>
      </w:divBdr>
    </w:div>
    <w:div w:id="1406226210">
      <w:bodyDiv w:val="1"/>
      <w:marLeft w:val="0"/>
      <w:marRight w:val="0"/>
      <w:marTop w:val="0"/>
      <w:marBottom w:val="0"/>
      <w:divBdr>
        <w:top w:val="none" w:sz="0" w:space="0" w:color="auto"/>
        <w:left w:val="none" w:sz="0" w:space="0" w:color="auto"/>
        <w:bottom w:val="none" w:sz="0" w:space="0" w:color="auto"/>
        <w:right w:val="none" w:sz="0" w:space="0" w:color="auto"/>
      </w:divBdr>
    </w:div>
    <w:div w:id="1605839827">
      <w:bodyDiv w:val="1"/>
      <w:marLeft w:val="0"/>
      <w:marRight w:val="0"/>
      <w:marTop w:val="0"/>
      <w:marBottom w:val="0"/>
      <w:divBdr>
        <w:top w:val="none" w:sz="0" w:space="0" w:color="auto"/>
        <w:left w:val="none" w:sz="0" w:space="0" w:color="auto"/>
        <w:bottom w:val="none" w:sz="0" w:space="0" w:color="auto"/>
        <w:right w:val="none" w:sz="0" w:space="0" w:color="auto"/>
      </w:divBdr>
    </w:div>
    <w:div w:id="1629168666">
      <w:bodyDiv w:val="1"/>
      <w:marLeft w:val="0"/>
      <w:marRight w:val="0"/>
      <w:marTop w:val="0"/>
      <w:marBottom w:val="0"/>
      <w:divBdr>
        <w:top w:val="none" w:sz="0" w:space="0" w:color="auto"/>
        <w:left w:val="none" w:sz="0" w:space="0" w:color="auto"/>
        <w:bottom w:val="none" w:sz="0" w:space="0" w:color="auto"/>
        <w:right w:val="none" w:sz="0" w:space="0" w:color="auto"/>
      </w:divBdr>
    </w:div>
    <w:div w:id="1922442281">
      <w:bodyDiv w:val="1"/>
      <w:marLeft w:val="0"/>
      <w:marRight w:val="0"/>
      <w:marTop w:val="0"/>
      <w:marBottom w:val="0"/>
      <w:divBdr>
        <w:top w:val="none" w:sz="0" w:space="0" w:color="auto"/>
        <w:left w:val="none" w:sz="0" w:space="0" w:color="auto"/>
        <w:bottom w:val="none" w:sz="0" w:space="0" w:color="auto"/>
        <w:right w:val="none" w:sz="0" w:space="0" w:color="auto"/>
      </w:divBdr>
    </w:div>
    <w:div w:id="2130933672">
      <w:bodyDiv w:val="1"/>
      <w:marLeft w:val="0"/>
      <w:marRight w:val="0"/>
      <w:marTop w:val="0"/>
      <w:marBottom w:val="0"/>
      <w:divBdr>
        <w:top w:val="none" w:sz="0" w:space="0" w:color="auto"/>
        <w:left w:val="none" w:sz="0" w:space="0" w:color="auto"/>
        <w:bottom w:val="none" w:sz="0" w:space="0" w:color="auto"/>
        <w:right w:val="none" w:sz="0" w:space="0" w:color="auto"/>
      </w:divBdr>
    </w:div>
    <w:div w:id="21391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55F89A53FC26438C12D3B0E6AE3539" ma:contentTypeVersion="12" ma:contentTypeDescription="Create a new document." ma:contentTypeScope="" ma:versionID="f19c7ec5e70a2d7b1aaf8087e552b7a7">
  <xsd:schema xmlns:xsd="http://www.w3.org/2001/XMLSchema" xmlns:xs="http://www.w3.org/2001/XMLSchema" xmlns:p="http://schemas.microsoft.com/office/2006/metadata/properties" xmlns:ns2="b610b3e2-9218-4b5f-aa42-ae42b433a612" xmlns:ns3="4d8e5188-369a-4cb2-b081-5715404a7824" targetNamespace="http://schemas.microsoft.com/office/2006/metadata/properties" ma:root="true" ma:fieldsID="4ed801a434d475e5de27c73d4e7dceb5" ns2:_="" ns3:_="">
    <xsd:import namespace="b610b3e2-9218-4b5f-aa42-ae42b433a612"/>
    <xsd:import namespace="4d8e5188-369a-4cb2-b081-5715404a78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b3e2-9218-4b5f-aa42-ae42b433a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8e5188-369a-4cb2-b081-5715404a78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1c1d8a-2b53-4986-8a2d-c27f7b3e4b6c}" ma:internalName="TaxCatchAll" ma:showField="CatchAllData" ma:web="4d8e5188-369a-4cb2-b081-5715404a7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b3e2-9218-4b5f-aa42-ae42b433a612">
      <Terms xmlns="http://schemas.microsoft.com/office/infopath/2007/PartnerControls"/>
    </lcf76f155ced4ddcb4097134ff3c332f>
    <TaxCatchAll xmlns="4d8e5188-369a-4cb2-b081-5715404a7824" xsi:nil="true"/>
  </documentManagement>
</p:properties>
</file>

<file path=customXml/itemProps1.xml><?xml version="1.0" encoding="utf-8"?>
<ds:datastoreItem xmlns:ds="http://schemas.openxmlformats.org/officeDocument/2006/customXml" ds:itemID="{4FB4397C-1179-4D64-9388-8C68649CBD6E}">
  <ds:schemaRefs>
    <ds:schemaRef ds:uri="http://schemas.microsoft.com/sharepoint/v3/contenttype/forms"/>
  </ds:schemaRefs>
</ds:datastoreItem>
</file>

<file path=customXml/itemProps2.xml><?xml version="1.0" encoding="utf-8"?>
<ds:datastoreItem xmlns:ds="http://schemas.openxmlformats.org/officeDocument/2006/customXml" ds:itemID="{C5162BBC-579B-49AC-BB47-4C5D6DF1E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b3e2-9218-4b5f-aa42-ae42b433a612"/>
    <ds:schemaRef ds:uri="4d8e5188-369a-4cb2-b081-5715404a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98F0B-D2DB-42F2-9278-9AA1D69907AB}">
  <ds:schemaRefs>
    <ds:schemaRef ds:uri="http://schemas.microsoft.com/office/2006/metadata/properties"/>
    <ds:schemaRef ds:uri="http://schemas.microsoft.com/office/infopath/2007/PartnerControls"/>
    <ds:schemaRef ds:uri="b610b3e2-9218-4b5f-aa42-ae42b433a612"/>
    <ds:schemaRef ds:uri="4d8e5188-369a-4cb2-b081-5715404a78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1311</Words>
  <Characters>6794</Characters>
  <Application>Microsoft Office Word</Application>
  <DocSecurity>0</DocSecurity>
  <Lines>125</Lines>
  <Paragraphs>55</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2026-04-28T12:27:00Z</dcterms:created>
  <dcterms:modified xsi:type="dcterms:W3CDTF">2026-04-28T12:27:00Z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0x010100B555F89A53FC26438C12D3B0E6AE3539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