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2A502D52">
        <w:tc>
          <w:tcPr>
            <w:tcW w:w="9062" w:type="dxa"/>
            <w:gridSpan w:val="2"/>
          </w:tcPr>
          <w:p w14:paraId="6FC76F95" w14:textId="59CD37E5" w:rsidR="00EC22CC" w:rsidRPr="00705325" w:rsidRDefault="009B06FC" w:rsidP="00705325">
            <w:pPr>
              <w:ind w:left="720"/>
              <w:jc w:val="center"/>
              <w:rPr>
                <w:rFonts w:ascii="Verdana" w:hAnsi="Verdana"/>
                <w:b/>
                <w:bCs/>
              </w:rPr>
            </w:pPr>
            <w:r>
              <w:rPr>
                <w:rFonts w:ascii="Verdana" w:hAnsi="Verdana"/>
                <w:b/>
                <w:bCs/>
              </w:rPr>
              <w:t>Mise</w:t>
            </w:r>
            <w:r w:rsidR="004E56C3">
              <w:rPr>
                <w:rFonts w:ascii="Verdana" w:hAnsi="Verdana"/>
                <w:b/>
                <w:bCs/>
              </w:rPr>
              <w:t>s</w:t>
            </w:r>
            <w:r>
              <w:rPr>
                <w:rFonts w:ascii="Verdana" w:hAnsi="Verdana"/>
                <w:b/>
                <w:bCs/>
              </w:rPr>
              <w:t xml:space="preserve"> à disposition</w:t>
            </w:r>
            <w:r w:rsidR="00E2774E">
              <w:rPr>
                <w:rFonts w:ascii="Verdana" w:hAnsi="Verdana"/>
                <w:b/>
                <w:bCs/>
              </w:rPr>
              <w:t xml:space="preserve"> </w:t>
            </w:r>
            <w:r w:rsidR="00E2774E" w:rsidRPr="00E2774E">
              <w:rPr>
                <w:rFonts w:ascii="Verdana" w:hAnsi="Verdana"/>
                <w:b/>
                <w:bCs/>
              </w:rPr>
              <w:t xml:space="preserve">d’experts et de personnels auprès du </w:t>
            </w:r>
            <w:r w:rsidR="00FA0C43">
              <w:rPr>
                <w:rFonts w:ascii="Verdana" w:hAnsi="Verdana"/>
                <w:b/>
                <w:bCs/>
              </w:rPr>
              <w:t>S</w:t>
            </w:r>
            <w:r w:rsidR="00E2774E" w:rsidRPr="00E2774E">
              <w:rPr>
                <w:rFonts w:ascii="Verdana" w:hAnsi="Verdana"/>
                <w:b/>
                <w:bCs/>
              </w:rPr>
              <w:t>ecrétariat général de la COI</w:t>
            </w:r>
          </w:p>
        </w:tc>
      </w:tr>
      <w:tr w:rsidR="00EC22CC" w14:paraId="7F1B63D2" w14:textId="77777777" w:rsidTr="2A502D52">
        <w:tc>
          <w:tcPr>
            <w:tcW w:w="7225" w:type="dxa"/>
          </w:tcPr>
          <w:p w14:paraId="056D9B10" w14:textId="0696A847" w:rsidR="00EC22CC" w:rsidRPr="002A096E" w:rsidRDefault="009B06FC" w:rsidP="002A096E">
            <w:pPr>
              <w:rPr>
                <w:rFonts w:ascii="Verdana" w:hAnsi="Verdana"/>
                <w:sz w:val="20"/>
                <w:szCs w:val="20"/>
              </w:rPr>
            </w:pPr>
            <w:r w:rsidRPr="2A502D52">
              <w:rPr>
                <w:rFonts w:ascii="Verdana" w:hAnsi="Verdana"/>
                <w:sz w:val="20"/>
                <w:szCs w:val="20"/>
              </w:rPr>
              <w:t>Comité des OPL 0</w:t>
            </w:r>
            <w:r w:rsidR="00EA6125">
              <w:rPr>
                <w:rFonts w:ascii="Verdana" w:hAnsi="Verdana"/>
                <w:sz w:val="20"/>
                <w:szCs w:val="20"/>
              </w:rPr>
              <w:t>2</w:t>
            </w:r>
            <w:r w:rsidRPr="2A502D52">
              <w:rPr>
                <w:rFonts w:ascii="Verdana" w:hAnsi="Verdana"/>
                <w:sz w:val="20"/>
                <w:szCs w:val="20"/>
              </w:rPr>
              <w:t>/202</w:t>
            </w:r>
            <w:r w:rsidR="4B0A59A4" w:rsidRPr="2A502D52">
              <w:rPr>
                <w:rFonts w:ascii="Verdana" w:hAnsi="Verdana"/>
                <w:sz w:val="20"/>
                <w:szCs w:val="20"/>
              </w:rPr>
              <w:t>6</w:t>
            </w:r>
            <w:r w:rsidRPr="2A502D52">
              <w:rPr>
                <w:rFonts w:ascii="Verdana" w:hAnsi="Verdana"/>
                <w:sz w:val="20"/>
                <w:szCs w:val="20"/>
              </w:rPr>
              <w:t xml:space="preserve"> </w:t>
            </w:r>
            <w:r w:rsidR="00FA0C43" w:rsidRPr="2A502D52">
              <w:rPr>
                <w:rFonts w:ascii="Verdana" w:hAnsi="Verdana"/>
                <w:sz w:val="20"/>
                <w:szCs w:val="20"/>
              </w:rPr>
              <w:t xml:space="preserve">| </w:t>
            </w:r>
            <w:proofErr w:type="gramStart"/>
            <w:r w:rsidR="084711BD" w:rsidRPr="2A502D52">
              <w:rPr>
                <w:rFonts w:ascii="Verdana" w:hAnsi="Verdana"/>
                <w:sz w:val="20"/>
                <w:szCs w:val="20"/>
              </w:rPr>
              <w:t>Mai</w:t>
            </w:r>
            <w:proofErr w:type="gramEnd"/>
            <w:r w:rsidR="084711BD" w:rsidRPr="2A502D52">
              <w:rPr>
                <w:rFonts w:ascii="Verdana" w:hAnsi="Verdana"/>
                <w:sz w:val="20"/>
                <w:szCs w:val="20"/>
              </w:rPr>
              <w:t xml:space="preserve"> 2026</w:t>
            </w:r>
          </w:p>
        </w:tc>
        <w:tc>
          <w:tcPr>
            <w:tcW w:w="1837" w:type="dxa"/>
          </w:tcPr>
          <w:p w14:paraId="58E25D1F" w14:textId="74256BD3"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585186">
              <w:rPr>
                <w:rFonts w:ascii="Verdana" w:hAnsi="Verdana"/>
                <w:sz w:val="20"/>
                <w:szCs w:val="20"/>
              </w:rPr>
              <w:t>3.</w:t>
            </w:r>
            <w:r w:rsidR="009B06FC">
              <w:rPr>
                <w:rFonts w:ascii="Verdana" w:hAnsi="Verdana"/>
                <w:sz w:val="20"/>
                <w:szCs w:val="20"/>
              </w:rPr>
              <w:t>2</w:t>
            </w:r>
          </w:p>
        </w:tc>
      </w:tr>
      <w:tr w:rsidR="00EC22CC" w14:paraId="537D1DE5" w14:textId="77777777" w:rsidTr="2A502D52">
        <w:tc>
          <w:tcPr>
            <w:tcW w:w="7225" w:type="dxa"/>
          </w:tcPr>
          <w:p w14:paraId="43DEF09E" w14:textId="2283884A"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977A3E">
              <w:rPr>
                <w:rFonts w:ascii="Verdana" w:hAnsi="Verdana"/>
                <w:i/>
                <w:iCs/>
                <w:sz w:val="20"/>
                <w:szCs w:val="20"/>
              </w:rPr>
              <w:t>Klervi Congard, GRH</w:t>
            </w:r>
          </w:p>
        </w:tc>
        <w:tc>
          <w:tcPr>
            <w:tcW w:w="1837" w:type="dxa"/>
          </w:tcPr>
          <w:p w14:paraId="5AC1AFAB" w14:textId="6F6A0DFC" w:rsidR="00EC22CC" w:rsidRPr="002A0933" w:rsidRDefault="00833A35" w:rsidP="00854EEA">
            <w:pPr>
              <w:jc w:val="center"/>
              <w:rPr>
                <w:rFonts w:ascii="Verdana" w:hAnsi="Verdana"/>
                <w:sz w:val="20"/>
                <w:szCs w:val="20"/>
              </w:rPr>
            </w:pPr>
            <w:r>
              <w:rPr>
                <w:rFonts w:ascii="Verdana" w:hAnsi="Verdana"/>
                <w:sz w:val="20"/>
                <w:szCs w:val="20"/>
              </w:rPr>
              <w:t>Décision</w:t>
            </w:r>
          </w:p>
        </w:tc>
      </w:tr>
      <w:tr w:rsidR="00A90305" w14:paraId="6896DB30" w14:textId="77777777" w:rsidTr="2A502D52">
        <w:tc>
          <w:tcPr>
            <w:tcW w:w="9062" w:type="dxa"/>
            <w:gridSpan w:val="2"/>
          </w:tcPr>
          <w:p w14:paraId="0495241B" w14:textId="278F8A06" w:rsidR="00A90305" w:rsidRDefault="005E4952" w:rsidP="2A502D52">
            <w:r w:rsidRPr="2A502D52">
              <w:rPr>
                <w:rFonts w:ascii="Verdana" w:hAnsi="Verdana"/>
                <w:i/>
                <w:iCs/>
                <w:sz w:val="20"/>
                <w:szCs w:val="20"/>
              </w:rPr>
              <w:t xml:space="preserve">Version du </w:t>
            </w:r>
            <w:r w:rsidR="29505BF4" w:rsidRPr="2A502D52">
              <w:rPr>
                <w:rFonts w:ascii="Verdana" w:hAnsi="Verdana"/>
                <w:i/>
                <w:iCs/>
                <w:sz w:val="20"/>
                <w:szCs w:val="20"/>
              </w:rPr>
              <w:t>2</w:t>
            </w:r>
            <w:r w:rsidR="00045E5E">
              <w:rPr>
                <w:rFonts w:ascii="Verdana" w:hAnsi="Verdana"/>
                <w:i/>
                <w:iCs/>
                <w:sz w:val="20"/>
                <w:szCs w:val="20"/>
              </w:rPr>
              <w:t>7</w:t>
            </w:r>
            <w:r w:rsidR="29505BF4" w:rsidRPr="2A502D52">
              <w:rPr>
                <w:rFonts w:ascii="Verdana" w:hAnsi="Verdana"/>
                <w:i/>
                <w:iCs/>
                <w:sz w:val="20"/>
                <w:szCs w:val="20"/>
              </w:rPr>
              <w:t xml:space="preserve"> avril 2026</w:t>
            </w:r>
          </w:p>
        </w:tc>
      </w:tr>
    </w:tbl>
    <w:p w14:paraId="1611BCC4" w14:textId="77777777" w:rsidR="00854EEA" w:rsidRDefault="00854EEA" w:rsidP="00816DAC">
      <w:pPr>
        <w:pStyle w:val="Paragraphe"/>
      </w:pPr>
      <w:bookmarkStart w:id="0" w:name="_Hlk24535240"/>
    </w:p>
    <w:p w14:paraId="13806FE0" w14:textId="77777777" w:rsidR="00E2774E" w:rsidRDefault="00E2774E" w:rsidP="00E2774E">
      <w:pPr>
        <w:pStyle w:val="Titrepartie"/>
      </w:pPr>
      <w:r>
        <w:t xml:space="preserve">Directive de mise à disposition d’experts et de personnels auprès du secrétariat général de la COI </w:t>
      </w:r>
    </w:p>
    <w:p w14:paraId="6939876D" w14:textId="56E99705" w:rsidR="00C45BFC" w:rsidRPr="00E2774E" w:rsidRDefault="00C35ED7" w:rsidP="00E2774E">
      <w:pPr>
        <w:pStyle w:val="Sous-partie2"/>
      </w:pPr>
      <w:r>
        <w:t xml:space="preserve">Etats des lieux </w:t>
      </w:r>
    </w:p>
    <w:p w14:paraId="09E401B6" w14:textId="77777777" w:rsidR="00D8050E" w:rsidRPr="006637A1" w:rsidRDefault="00D8050E" w:rsidP="002116ED">
      <w:pPr>
        <w:spacing w:after="120"/>
        <w:contextualSpacing/>
        <w:jc w:val="both"/>
        <w:rPr>
          <w:rFonts w:ascii="Verdana" w:hAnsi="Verdana"/>
          <w:sz w:val="20"/>
          <w:szCs w:val="20"/>
        </w:rPr>
      </w:pPr>
      <w:r w:rsidRPr="006637A1">
        <w:rPr>
          <w:rFonts w:ascii="Verdana" w:hAnsi="Verdana"/>
          <w:sz w:val="20"/>
          <w:szCs w:val="20"/>
        </w:rPr>
        <w:t xml:space="preserve">Fort des recommandations du 28e Conseil de la COI aux Seychelles en 2013 relatives à la restructuration et au renforcement de la COI, le Secrétariat général (SG-COI) avait connu un début de modernisation de ses services avec la création progressive de postes essentiels afin que le SG-COI puisse disposer d’une structure opérationnelle et assurer pleinement et efficacement son rôle.  </w:t>
      </w:r>
    </w:p>
    <w:p w14:paraId="0B2264C2" w14:textId="6CCDCF2F" w:rsidR="00D8050E" w:rsidRPr="006637A1" w:rsidRDefault="00D8050E" w:rsidP="002116ED">
      <w:pPr>
        <w:spacing w:after="120"/>
        <w:contextualSpacing/>
        <w:jc w:val="both"/>
        <w:rPr>
          <w:rFonts w:ascii="Verdana" w:hAnsi="Verdana"/>
          <w:sz w:val="20"/>
          <w:szCs w:val="20"/>
        </w:rPr>
      </w:pPr>
      <w:r w:rsidRPr="006637A1">
        <w:rPr>
          <w:rFonts w:ascii="Verdana" w:hAnsi="Verdana"/>
          <w:sz w:val="20"/>
          <w:szCs w:val="20"/>
        </w:rPr>
        <w:t>Le renforcement progressif de l’organisation s’inscrit dans cette démarche progressive de modernisation en visant cette fois à créer les conditions propices pour que la COI puisse notamment répondre aux exigences des accréditations aux 9 piliers de l’UE et du Fonds vert pour le climat, à celles de la mise en place d’une gestion axée sur les résultats (GAR), ainsi qu’aux exigences des Etats membres et des bailleurs</w:t>
      </w:r>
      <w:r w:rsidR="004A27C7">
        <w:rPr>
          <w:rFonts w:ascii="Verdana" w:hAnsi="Verdana"/>
          <w:sz w:val="20"/>
          <w:szCs w:val="20"/>
        </w:rPr>
        <w:t xml:space="preserve"> de fonds</w:t>
      </w:r>
      <w:r w:rsidRPr="006637A1">
        <w:rPr>
          <w:rFonts w:ascii="Verdana" w:hAnsi="Verdana"/>
          <w:sz w:val="20"/>
          <w:szCs w:val="20"/>
        </w:rPr>
        <w:t xml:space="preserve">. </w:t>
      </w:r>
    </w:p>
    <w:p w14:paraId="41801E73" w14:textId="77777777" w:rsidR="00D8050E" w:rsidRPr="006637A1" w:rsidRDefault="00D8050E" w:rsidP="002116ED">
      <w:pPr>
        <w:spacing w:after="120"/>
        <w:contextualSpacing/>
        <w:jc w:val="both"/>
        <w:rPr>
          <w:rFonts w:ascii="Verdana" w:hAnsi="Verdana"/>
          <w:sz w:val="20"/>
          <w:szCs w:val="20"/>
        </w:rPr>
      </w:pPr>
      <w:r w:rsidRPr="006637A1">
        <w:rPr>
          <w:rFonts w:ascii="Verdana" w:hAnsi="Verdana"/>
          <w:sz w:val="20"/>
          <w:szCs w:val="20"/>
        </w:rPr>
        <w:t xml:space="preserve">Reconnaissant déjà cette nécessité pour l’avenir de la COI, les Etats membres </w:t>
      </w:r>
      <w:r>
        <w:rPr>
          <w:rFonts w:ascii="Verdana" w:hAnsi="Verdana"/>
          <w:sz w:val="20"/>
          <w:szCs w:val="20"/>
        </w:rPr>
        <w:t xml:space="preserve">ont convenu </w:t>
      </w:r>
      <w:r w:rsidRPr="006637A1">
        <w:rPr>
          <w:rFonts w:ascii="Verdana" w:hAnsi="Verdana"/>
          <w:sz w:val="20"/>
          <w:szCs w:val="20"/>
        </w:rPr>
        <w:t>par la Déclaration de Moroni en aout 2019 « </w:t>
      </w:r>
      <w:r w:rsidRPr="006637A1">
        <w:rPr>
          <w:rFonts w:ascii="Verdana" w:hAnsi="Verdana"/>
          <w:i/>
          <w:iCs/>
          <w:sz w:val="20"/>
          <w:szCs w:val="20"/>
        </w:rPr>
        <w:t>Il est reconnu la nécessité de mobiliser les ressources nécessaires à la mise en œuvre du processus d’évolution institutionnelle et fonctionnelle de la COI ainsi qu’à sa professionnalisation, notamment à travers un financement pérenne, autonome et suffisant. La création d’un fonds fiduciaire a été envisagée en tant qu’option de financement innovant. Les experts proposeront un plan permettant d’atteindre ces objectifs. »</w:t>
      </w:r>
      <w:r w:rsidRPr="006637A1">
        <w:rPr>
          <w:rFonts w:ascii="Verdana" w:hAnsi="Verdana"/>
          <w:sz w:val="20"/>
          <w:szCs w:val="20"/>
        </w:rPr>
        <w:t>.</w:t>
      </w:r>
    </w:p>
    <w:p w14:paraId="5E43DCDA" w14:textId="77777777" w:rsidR="00AC2A3E" w:rsidRDefault="00CA28AD" w:rsidP="002116ED">
      <w:pPr>
        <w:spacing w:after="120"/>
        <w:contextualSpacing/>
        <w:jc w:val="both"/>
        <w:rPr>
          <w:rFonts w:ascii="Verdana" w:hAnsi="Verdana"/>
          <w:sz w:val="20"/>
          <w:szCs w:val="20"/>
        </w:rPr>
      </w:pPr>
      <w:r w:rsidRPr="00C51166">
        <w:rPr>
          <w:rFonts w:ascii="Verdana" w:hAnsi="Verdana"/>
          <w:sz w:val="20"/>
          <w:szCs w:val="20"/>
        </w:rPr>
        <w:t>Dans ce contexte de réforme institutionnelle de la COI, le 37</w:t>
      </w:r>
      <w:r w:rsidRPr="008A3181">
        <w:rPr>
          <w:rFonts w:ascii="Verdana" w:hAnsi="Verdana"/>
          <w:sz w:val="20"/>
          <w:szCs w:val="20"/>
          <w:vertAlign w:val="superscript"/>
        </w:rPr>
        <w:t>ème</w:t>
      </w:r>
      <w:r w:rsidRPr="00C51166">
        <w:rPr>
          <w:rFonts w:ascii="Verdana" w:hAnsi="Verdana"/>
          <w:sz w:val="20"/>
          <w:szCs w:val="20"/>
        </w:rPr>
        <w:t xml:space="preserve"> Conseil des ministres du 17 mai 2023 à Antananarivo a demandé au Secrétariat général de </w:t>
      </w:r>
      <w:r w:rsidRPr="00C51166">
        <w:rPr>
          <w:rFonts w:ascii="Verdana" w:hAnsi="Verdana"/>
          <w:i/>
          <w:iCs/>
          <w:sz w:val="20"/>
          <w:szCs w:val="20"/>
        </w:rPr>
        <w:t>« valoriser les contributions non statutaires des Etats membres dans la mise en œuvre de l’accord de méthode convenu avec les bailleurs, UE et AFD, au 36</w:t>
      </w:r>
      <w:r w:rsidR="008A3181" w:rsidRPr="008A3181">
        <w:rPr>
          <w:rFonts w:ascii="Verdana" w:hAnsi="Verdana"/>
          <w:i/>
          <w:iCs/>
          <w:sz w:val="20"/>
          <w:szCs w:val="20"/>
          <w:vertAlign w:val="superscript"/>
        </w:rPr>
        <w:t>ème</w:t>
      </w:r>
      <w:r w:rsidR="008A3181">
        <w:rPr>
          <w:rFonts w:ascii="Verdana" w:hAnsi="Verdana"/>
          <w:i/>
          <w:iCs/>
          <w:sz w:val="20"/>
          <w:szCs w:val="20"/>
        </w:rPr>
        <w:t xml:space="preserve"> </w:t>
      </w:r>
      <w:r w:rsidRPr="00C51166">
        <w:rPr>
          <w:rFonts w:ascii="Verdana" w:hAnsi="Verdana"/>
          <w:i/>
          <w:iCs/>
          <w:sz w:val="20"/>
          <w:szCs w:val="20"/>
        </w:rPr>
        <w:t>Conseil des ministres.</w:t>
      </w:r>
      <w:r w:rsidRPr="00C51166">
        <w:rPr>
          <w:rFonts w:ascii="Verdana" w:hAnsi="Verdana"/>
          <w:sz w:val="20"/>
          <w:szCs w:val="20"/>
        </w:rPr>
        <w:t xml:space="preserve"> » Ces contributions non-statutaires nous réfèrent, notamment, à la mise à disposition auprès du Secrétariat général, par les Etats membres, de personnel et d’experts, notamment des experts techniques internationaux (ETI), lesquels contribuent au renforcement des ressources humaines du Secrétariat général. </w:t>
      </w:r>
      <w:r w:rsidRPr="006177C4">
        <w:rPr>
          <w:rFonts w:ascii="Verdana" w:hAnsi="Verdana"/>
          <w:sz w:val="20"/>
          <w:szCs w:val="20"/>
        </w:rPr>
        <w:t>Afin de préciser les modalités de déploiement de ces personnels et experts et le cadre réglementaire applicable pendant leur mise à disposition, le 39</w:t>
      </w:r>
      <w:r w:rsidR="00EC63C8" w:rsidRPr="00EC63C8">
        <w:rPr>
          <w:rFonts w:ascii="Arial" w:hAnsi="Arial" w:cs="Arial"/>
          <w:sz w:val="20"/>
          <w:szCs w:val="20"/>
          <w:vertAlign w:val="superscript"/>
        </w:rPr>
        <w:t>ème</w:t>
      </w:r>
      <w:r w:rsidR="00EC63C8">
        <w:rPr>
          <w:rFonts w:ascii="Arial" w:hAnsi="Arial" w:cs="Arial"/>
          <w:sz w:val="20"/>
          <w:szCs w:val="20"/>
        </w:rPr>
        <w:t xml:space="preserve"> </w:t>
      </w:r>
      <w:r w:rsidRPr="006177C4">
        <w:rPr>
          <w:rFonts w:ascii="Verdana" w:hAnsi="Verdana"/>
          <w:sz w:val="20"/>
          <w:szCs w:val="20"/>
        </w:rPr>
        <w:t xml:space="preserve">Conseil des ministres, dans sa </w:t>
      </w:r>
      <w:r>
        <w:rPr>
          <w:rFonts w:ascii="Verdana" w:hAnsi="Verdana"/>
          <w:sz w:val="20"/>
          <w:szCs w:val="20"/>
        </w:rPr>
        <w:t>d</w:t>
      </w:r>
      <w:r w:rsidRPr="00161BFE">
        <w:rPr>
          <w:rFonts w:ascii="Verdana" w:hAnsi="Verdana"/>
          <w:sz w:val="20"/>
          <w:szCs w:val="20"/>
        </w:rPr>
        <w:t>écision 10 relative aux Ressources humaines</w:t>
      </w:r>
      <w:r w:rsidRPr="006177C4">
        <w:rPr>
          <w:rFonts w:ascii="Verdana" w:hAnsi="Verdana"/>
          <w:sz w:val="20"/>
          <w:szCs w:val="20"/>
        </w:rPr>
        <w:t>, a demandé au Secrétariat général de finaliser, en concertation avec les États membres, le cadre de mise à disposition de personnel et d’experts auprès du Secrétariat</w:t>
      </w:r>
      <w:r w:rsidR="00183E3B">
        <w:rPr>
          <w:rFonts w:ascii="Verdana" w:hAnsi="Verdana"/>
          <w:sz w:val="20"/>
          <w:szCs w:val="20"/>
        </w:rPr>
        <w:t xml:space="preserve"> </w:t>
      </w:r>
      <w:r w:rsidR="00EC63C8">
        <w:rPr>
          <w:rFonts w:ascii="Verdana" w:hAnsi="Verdana"/>
          <w:sz w:val="20"/>
          <w:szCs w:val="20"/>
        </w:rPr>
        <w:t>g</w:t>
      </w:r>
      <w:r w:rsidR="00183E3B">
        <w:rPr>
          <w:rFonts w:ascii="Verdana" w:hAnsi="Verdana"/>
          <w:sz w:val="20"/>
          <w:szCs w:val="20"/>
        </w:rPr>
        <w:t>énéral</w:t>
      </w:r>
      <w:r w:rsidRPr="00C51166">
        <w:rPr>
          <w:rFonts w:ascii="Verdana" w:hAnsi="Verdana"/>
          <w:sz w:val="20"/>
          <w:szCs w:val="20"/>
        </w:rPr>
        <w:t xml:space="preserve">. </w:t>
      </w:r>
    </w:p>
    <w:p w14:paraId="7B994F85" w14:textId="157C57E0" w:rsidR="00CA28AD" w:rsidRPr="00C51166" w:rsidRDefault="00AC2A3E" w:rsidP="002116ED">
      <w:pPr>
        <w:spacing w:after="120"/>
        <w:contextualSpacing/>
        <w:jc w:val="both"/>
        <w:rPr>
          <w:rFonts w:ascii="Verdana" w:hAnsi="Verdana"/>
          <w:sz w:val="20"/>
          <w:szCs w:val="20"/>
        </w:rPr>
      </w:pPr>
      <w:r>
        <w:rPr>
          <w:rFonts w:ascii="Verdana" w:hAnsi="Verdana" w:cstheme="minorHAnsi"/>
          <w:sz w:val="20"/>
          <w:szCs w:val="20"/>
        </w:rPr>
        <w:t>Cette</w:t>
      </w:r>
      <w:r w:rsidRPr="006637A1">
        <w:rPr>
          <w:rFonts w:ascii="Verdana" w:hAnsi="Verdana" w:cstheme="minorHAnsi"/>
          <w:sz w:val="20"/>
          <w:szCs w:val="20"/>
        </w:rPr>
        <w:t xml:space="preserve"> directive fixe les aspects administratifs</w:t>
      </w:r>
      <w:r>
        <w:rPr>
          <w:rFonts w:ascii="Verdana" w:hAnsi="Verdana" w:cstheme="minorHAnsi"/>
          <w:sz w:val="20"/>
          <w:szCs w:val="20"/>
        </w:rPr>
        <w:t>, règlementaires</w:t>
      </w:r>
      <w:r w:rsidRPr="006637A1">
        <w:rPr>
          <w:rFonts w:ascii="Verdana" w:hAnsi="Verdana" w:cstheme="minorHAnsi"/>
          <w:sz w:val="20"/>
          <w:szCs w:val="20"/>
        </w:rPr>
        <w:t xml:space="preserve"> ainsi que les procédures associées liés au personnel </w:t>
      </w:r>
      <w:r>
        <w:rPr>
          <w:rFonts w:ascii="Verdana" w:hAnsi="Verdana" w:cstheme="minorHAnsi"/>
          <w:sz w:val="20"/>
          <w:szCs w:val="20"/>
        </w:rPr>
        <w:t xml:space="preserve">et aux experts </w:t>
      </w:r>
      <w:r w:rsidRPr="006637A1">
        <w:rPr>
          <w:rFonts w:ascii="Verdana" w:hAnsi="Verdana" w:cstheme="minorHAnsi"/>
          <w:sz w:val="20"/>
          <w:szCs w:val="20"/>
        </w:rPr>
        <w:t>mis à disposition auprès de la COI afin de répondre</w:t>
      </w:r>
      <w:r w:rsidRPr="006637A1">
        <w:rPr>
          <w:rFonts w:ascii="Verdana" w:hAnsi="Verdana"/>
          <w:sz w:val="20"/>
          <w:szCs w:val="20"/>
        </w:rPr>
        <w:t xml:space="preserve"> aux besoins spécifiques de la COI</w:t>
      </w:r>
    </w:p>
    <w:p w14:paraId="501EE2E4" w14:textId="77777777" w:rsidR="00D8050E" w:rsidRPr="0008468B" w:rsidRDefault="00D8050E" w:rsidP="002116ED">
      <w:pPr>
        <w:pStyle w:val="Titrepartie"/>
        <w:numPr>
          <w:ilvl w:val="0"/>
          <w:numId w:val="0"/>
        </w:numPr>
        <w:spacing w:after="120"/>
        <w:ind w:left="720"/>
      </w:pPr>
    </w:p>
    <w:p w14:paraId="4BF3299B" w14:textId="77777777" w:rsidR="00D8050E" w:rsidRPr="00A76B07" w:rsidRDefault="00D8050E" w:rsidP="002116ED">
      <w:pPr>
        <w:pStyle w:val="Sous-partie2"/>
        <w:spacing w:after="120"/>
      </w:pPr>
      <w:r w:rsidRPr="0008468B">
        <w:t>Etat d’avancement</w:t>
      </w:r>
      <w:r>
        <w:t> : Directive de mise à disposition d’experts et de personnels auprès du secrétariat général de la COI.</w:t>
      </w:r>
    </w:p>
    <w:p w14:paraId="792A56FC" w14:textId="77777777" w:rsidR="00F46FE5" w:rsidRPr="00F46FE5" w:rsidRDefault="00F46FE5" w:rsidP="00F46FE5">
      <w:pPr>
        <w:spacing w:after="120" w:line="240" w:lineRule="auto"/>
        <w:contextualSpacing/>
        <w:jc w:val="both"/>
        <w:rPr>
          <w:rFonts w:ascii="Verdana" w:hAnsi="Verdana"/>
          <w:sz w:val="20"/>
          <w:szCs w:val="20"/>
        </w:rPr>
      </w:pPr>
      <w:r w:rsidRPr="00F46FE5">
        <w:rPr>
          <w:rFonts w:ascii="Verdana" w:hAnsi="Verdana"/>
          <w:sz w:val="20"/>
          <w:szCs w:val="20"/>
        </w:rPr>
        <w:t>Conformément à la décision n°10 du 39</w:t>
      </w:r>
      <w:r w:rsidRPr="00F46FE5">
        <w:rPr>
          <w:rFonts w:ascii="Arial" w:hAnsi="Arial" w:cs="Arial"/>
          <w:sz w:val="20"/>
          <w:szCs w:val="20"/>
        </w:rPr>
        <w:t>ᵉ</w:t>
      </w:r>
      <w:r w:rsidRPr="00F46FE5">
        <w:rPr>
          <w:rFonts w:ascii="Verdana" w:hAnsi="Verdana"/>
          <w:sz w:val="20"/>
          <w:szCs w:val="20"/>
        </w:rPr>
        <w:t xml:space="preserve"> Conseil, une réunion de travail s’est tenue avec les États membres le 11 septembre 2025. À cette occasion, un accord de principe avait été trouvé sur une version du cadre, laquelle a ensuite été soumise pour approbation au COPL 02/2025.</w:t>
      </w:r>
    </w:p>
    <w:p w14:paraId="685805CB" w14:textId="5CC26569" w:rsidR="00F46FE5" w:rsidRPr="00F46FE5" w:rsidRDefault="00F46FE5" w:rsidP="00F46FE5">
      <w:pPr>
        <w:spacing w:after="120" w:line="240" w:lineRule="auto"/>
        <w:contextualSpacing/>
        <w:jc w:val="both"/>
        <w:rPr>
          <w:rFonts w:ascii="Verdana" w:hAnsi="Verdana"/>
          <w:sz w:val="20"/>
          <w:szCs w:val="20"/>
        </w:rPr>
      </w:pPr>
      <w:r w:rsidRPr="00F46FE5">
        <w:rPr>
          <w:rFonts w:ascii="Verdana" w:hAnsi="Verdana"/>
          <w:sz w:val="20"/>
          <w:szCs w:val="20"/>
        </w:rPr>
        <w:lastRenderedPageBreak/>
        <w:t>Le cadre de mise à disposition a été présenté lors du COPL 02/2025 ; toutefois, il n’a pas obtenu l’approbation requise lors du dernier C</w:t>
      </w:r>
      <w:r>
        <w:rPr>
          <w:rFonts w:ascii="Verdana" w:hAnsi="Verdana"/>
          <w:sz w:val="20"/>
          <w:szCs w:val="20"/>
        </w:rPr>
        <w:t>omité</w:t>
      </w:r>
      <w:r w:rsidR="00EA6125">
        <w:rPr>
          <w:rFonts w:ascii="Verdana" w:hAnsi="Verdana"/>
          <w:sz w:val="20"/>
          <w:szCs w:val="20"/>
        </w:rPr>
        <w:t>.</w:t>
      </w:r>
    </w:p>
    <w:p w14:paraId="52375EC8" w14:textId="6AD03615" w:rsidR="00C14DA6" w:rsidRDefault="00913CB9" w:rsidP="00850DB5">
      <w:pPr>
        <w:spacing w:after="120" w:line="240" w:lineRule="auto"/>
        <w:contextualSpacing/>
        <w:jc w:val="both"/>
        <w:rPr>
          <w:rFonts w:ascii="Verdana" w:hAnsi="Verdana"/>
          <w:sz w:val="20"/>
          <w:szCs w:val="20"/>
        </w:rPr>
      </w:pPr>
      <w:r>
        <w:rPr>
          <w:rFonts w:ascii="Verdana" w:hAnsi="Verdana"/>
          <w:sz w:val="20"/>
          <w:szCs w:val="20"/>
        </w:rPr>
        <w:t xml:space="preserve">La </w:t>
      </w:r>
      <w:r w:rsidR="00C14DA6">
        <w:rPr>
          <w:rFonts w:ascii="Verdana" w:hAnsi="Verdana"/>
          <w:sz w:val="20"/>
          <w:szCs w:val="20"/>
        </w:rPr>
        <w:t xml:space="preserve">décision </w:t>
      </w:r>
      <w:r w:rsidRPr="00F46FE5">
        <w:rPr>
          <w:rFonts w:ascii="Verdana" w:hAnsi="Verdana"/>
          <w:sz w:val="20"/>
          <w:szCs w:val="20"/>
        </w:rPr>
        <w:t>n°</w:t>
      </w:r>
      <w:r w:rsidR="00C14DA6">
        <w:rPr>
          <w:rFonts w:ascii="Verdana" w:hAnsi="Verdana"/>
          <w:sz w:val="20"/>
          <w:szCs w:val="20"/>
        </w:rPr>
        <w:t xml:space="preserve">20 concernant le cadre de </w:t>
      </w:r>
      <w:r w:rsidR="00A35697">
        <w:rPr>
          <w:rFonts w:ascii="Verdana" w:hAnsi="Verdana"/>
          <w:sz w:val="20"/>
          <w:szCs w:val="20"/>
        </w:rPr>
        <w:t>disposition demande au secréta</w:t>
      </w:r>
      <w:r w:rsidR="00C3742B">
        <w:rPr>
          <w:rFonts w:ascii="Verdana" w:hAnsi="Verdana"/>
          <w:sz w:val="20"/>
          <w:szCs w:val="20"/>
        </w:rPr>
        <w:t>riat général de proposer aux états membres</w:t>
      </w:r>
      <w:r w:rsidR="00EA380A">
        <w:rPr>
          <w:rFonts w:ascii="Verdana" w:hAnsi="Verdana"/>
          <w:sz w:val="20"/>
          <w:szCs w:val="20"/>
        </w:rPr>
        <w:t xml:space="preserve"> des modifications au cadre de mise à disposition </w:t>
      </w:r>
      <w:r w:rsidR="006A30DD">
        <w:rPr>
          <w:rFonts w:ascii="Verdana" w:hAnsi="Verdana"/>
          <w:sz w:val="20"/>
          <w:szCs w:val="20"/>
        </w:rPr>
        <w:t xml:space="preserve">de personnel et experts auprès du secrétariat général </w:t>
      </w:r>
      <w:r w:rsidR="00690895">
        <w:rPr>
          <w:rFonts w:ascii="Verdana" w:hAnsi="Verdana"/>
          <w:sz w:val="20"/>
          <w:szCs w:val="20"/>
        </w:rPr>
        <w:t xml:space="preserve">et sur les termes de références du poste de directeur en tenant compte des observations et positions des Etats membres en vue d’une </w:t>
      </w:r>
      <w:r w:rsidR="00462605">
        <w:rPr>
          <w:rFonts w:ascii="Verdana" w:hAnsi="Verdana"/>
          <w:sz w:val="20"/>
          <w:szCs w:val="20"/>
        </w:rPr>
        <w:t xml:space="preserve">finalisation dans les plus brefs délais et approbation par les </w:t>
      </w:r>
      <w:r w:rsidR="008739AF">
        <w:rPr>
          <w:rFonts w:ascii="Verdana" w:hAnsi="Verdana"/>
          <w:sz w:val="20"/>
          <w:szCs w:val="20"/>
        </w:rPr>
        <w:t>instances</w:t>
      </w:r>
      <w:r w:rsidR="00462605">
        <w:rPr>
          <w:rFonts w:ascii="Verdana" w:hAnsi="Verdana"/>
          <w:sz w:val="20"/>
          <w:szCs w:val="20"/>
        </w:rPr>
        <w:t>.</w:t>
      </w:r>
    </w:p>
    <w:p w14:paraId="36F69817" w14:textId="77777777" w:rsidR="000F7C47" w:rsidRPr="000F7C47" w:rsidRDefault="000F7C47" w:rsidP="000F7C47">
      <w:pPr>
        <w:spacing w:after="120" w:line="240" w:lineRule="auto"/>
        <w:contextualSpacing/>
        <w:jc w:val="both"/>
        <w:rPr>
          <w:rFonts w:ascii="Verdana" w:hAnsi="Verdana"/>
          <w:sz w:val="20"/>
          <w:szCs w:val="20"/>
          <w:lang/>
        </w:rPr>
      </w:pPr>
      <w:r w:rsidRPr="000F7C47">
        <w:rPr>
          <w:rFonts w:ascii="Verdana" w:hAnsi="Verdana"/>
          <w:sz w:val="20"/>
          <w:szCs w:val="20"/>
          <w:lang/>
        </w:rPr>
        <w:t>Dans ce contexte, des réunions bilatérales entre la GRH et l’OPL Madagascar, puis entre la GRH et l’OPL France, ont été organisées au cours du mois de janvier 2026. Ces échanges n’ont toutefois pas permis d’aboutir à une version consensuelle du document. Les points de divergence identifiés sont récapitulés dans le document en annexe.</w:t>
      </w:r>
    </w:p>
    <w:p w14:paraId="2D357BA7" w14:textId="77777777" w:rsidR="000F7C47" w:rsidRPr="000F7C47" w:rsidRDefault="000F7C47" w:rsidP="000F7C47">
      <w:pPr>
        <w:spacing w:after="120" w:line="240" w:lineRule="auto"/>
        <w:contextualSpacing/>
        <w:jc w:val="both"/>
        <w:rPr>
          <w:rFonts w:ascii="Verdana" w:hAnsi="Verdana"/>
          <w:sz w:val="20"/>
          <w:szCs w:val="20"/>
          <w:lang/>
        </w:rPr>
      </w:pPr>
      <w:r w:rsidRPr="000F7C47">
        <w:rPr>
          <w:rFonts w:ascii="Verdana" w:hAnsi="Verdana"/>
          <w:sz w:val="20"/>
          <w:szCs w:val="20"/>
          <w:lang/>
        </w:rPr>
        <w:t>Par ailleurs, une proposition de réunion virtuelle a été adressée à l’ensemble des OPL afin de poursuivre les échanges de manière collective. Toutefois, cette réunion n’a pu être organisée en raison des contraintes de disponibilité des participants jusqu’au 30 mars 2026.</w:t>
      </w:r>
    </w:p>
    <w:p w14:paraId="727B73A5" w14:textId="77777777" w:rsidR="008739AF" w:rsidRDefault="008739AF" w:rsidP="00850DB5">
      <w:pPr>
        <w:spacing w:after="120" w:line="240" w:lineRule="auto"/>
        <w:contextualSpacing/>
        <w:jc w:val="both"/>
        <w:rPr>
          <w:rFonts w:ascii="Verdana" w:hAnsi="Verdana"/>
          <w:sz w:val="20"/>
          <w:szCs w:val="20"/>
          <w:lang/>
        </w:rPr>
      </w:pPr>
    </w:p>
    <w:p w14:paraId="7477C545" w14:textId="64E9C823" w:rsidR="004D44A1" w:rsidRPr="002E7B15" w:rsidRDefault="00D61117" w:rsidP="002116ED">
      <w:pPr>
        <w:spacing w:after="120" w:line="240" w:lineRule="auto"/>
        <w:contextualSpacing/>
        <w:jc w:val="both"/>
        <w:rPr>
          <w:rFonts w:ascii="Verdana" w:hAnsi="Verdana"/>
          <w:sz w:val="20"/>
          <w:szCs w:val="20"/>
          <w:lang/>
        </w:rPr>
      </w:pPr>
      <w:r w:rsidRPr="00D61117">
        <w:rPr>
          <w:rFonts w:ascii="Verdana" w:hAnsi="Verdana"/>
          <w:sz w:val="20"/>
          <w:szCs w:val="20"/>
        </w:rPr>
        <w:t xml:space="preserve">Malgré les efforts continus déployés depuis plus de 18 mois pour finaliser ce document, aucun consensus n’a, à ce jour, pu être atteint entre les différentes parties prenantes. Dans ce contexte, le Secrétariat général sollicite l’appui du Comité des </w:t>
      </w:r>
      <w:r w:rsidR="00EE2211" w:rsidRPr="00D61117">
        <w:rPr>
          <w:rFonts w:ascii="Verdana" w:hAnsi="Verdana"/>
          <w:sz w:val="20"/>
          <w:szCs w:val="20"/>
        </w:rPr>
        <w:t xml:space="preserve">OPL </w:t>
      </w:r>
      <w:r w:rsidR="00EE2211">
        <w:rPr>
          <w:rFonts w:ascii="Verdana" w:hAnsi="Verdana"/>
          <w:sz w:val="20"/>
          <w:szCs w:val="20"/>
        </w:rPr>
        <w:t>et</w:t>
      </w:r>
      <w:r w:rsidR="007C2097">
        <w:rPr>
          <w:rFonts w:ascii="Verdana" w:hAnsi="Verdana"/>
          <w:sz w:val="20"/>
          <w:szCs w:val="20"/>
        </w:rPr>
        <w:t xml:space="preserve"> en particulier la présidence </w:t>
      </w:r>
      <w:r w:rsidRPr="00D61117">
        <w:rPr>
          <w:rFonts w:ascii="Verdana" w:hAnsi="Verdana"/>
          <w:sz w:val="20"/>
          <w:szCs w:val="20"/>
        </w:rPr>
        <w:t xml:space="preserve">afin de faciliter la convergence des positions </w:t>
      </w:r>
      <w:r w:rsidR="00045E5E">
        <w:rPr>
          <w:rFonts w:ascii="Verdana" w:hAnsi="Verdana"/>
          <w:sz w:val="20"/>
          <w:szCs w:val="20"/>
        </w:rPr>
        <w:t xml:space="preserve">indiquées dans le document en </w:t>
      </w:r>
      <w:r w:rsidR="00045E5E" w:rsidRPr="00045E5E">
        <w:rPr>
          <w:rFonts w:ascii="Verdana" w:hAnsi="Verdana"/>
          <w:b/>
          <w:bCs/>
          <w:sz w:val="20"/>
          <w:szCs w:val="20"/>
        </w:rPr>
        <w:t>Annexe 1</w:t>
      </w:r>
      <w:r w:rsidR="00045E5E">
        <w:rPr>
          <w:rFonts w:ascii="Verdana" w:hAnsi="Verdana"/>
          <w:b/>
          <w:bCs/>
          <w:sz w:val="20"/>
          <w:szCs w:val="20"/>
        </w:rPr>
        <w:t xml:space="preserve"> </w:t>
      </w:r>
      <w:r w:rsidRPr="00D61117">
        <w:rPr>
          <w:rFonts w:ascii="Verdana" w:hAnsi="Verdana"/>
          <w:sz w:val="20"/>
          <w:szCs w:val="20"/>
        </w:rPr>
        <w:t>et de soutenir l’aboutissement d’un consensus permettant la finalisation du cadre dans les meilleurs délais.</w:t>
      </w:r>
      <w:r w:rsidR="00045E5E">
        <w:rPr>
          <w:rFonts w:ascii="Verdana" w:hAnsi="Verdana"/>
          <w:sz w:val="20"/>
          <w:szCs w:val="20"/>
        </w:rPr>
        <w:t xml:space="preserve"> </w:t>
      </w:r>
    </w:p>
    <w:p w14:paraId="67F8388A" w14:textId="77777777" w:rsidR="003F038B" w:rsidRPr="00527180" w:rsidRDefault="003F038B" w:rsidP="003F038B">
      <w:pPr>
        <w:spacing w:after="0" w:line="240" w:lineRule="auto"/>
        <w:jc w:val="both"/>
        <w:rPr>
          <w:rFonts w:ascii="Verdana" w:hAnsi="Verdana"/>
          <w:sz w:val="20"/>
          <w:szCs w:val="20"/>
        </w:rPr>
      </w:pPr>
    </w:p>
    <w:p w14:paraId="389DF9F9" w14:textId="77777777" w:rsidR="003F038B" w:rsidRDefault="003F038B" w:rsidP="00862A19">
      <w:pPr>
        <w:pStyle w:val="Titrepartie"/>
      </w:pPr>
      <w:r>
        <w:t>Postes d’Assistants aux Chargés de mission</w:t>
      </w:r>
    </w:p>
    <w:p w14:paraId="6AC15306" w14:textId="091DAC2A" w:rsidR="009E5A5B" w:rsidRPr="00045E5E" w:rsidRDefault="009F79ED" w:rsidP="00045E5E">
      <w:pPr>
        <w:spacing w:after="0" w:line="240" w:lineRule="auto"/>
        <w:jc w:val="both"/>
        <w:rPr>
          <w:rFonts w:ascii="Verdana" w:hAnsi="Verdana"/>
          <w:sz w:val="20"/>
          <w:szCs w:val="20"/>
        </w:rPr>
      </w:pPr>
      <w:r w:rsidRPr="001842D1">
        <w:rPr>
          <w:rFonts w:ascii="Verdana" w:hAnsi="Verdana"/>
          <w:sz w:val="20"/>
          <w:szCs w:val="20"/>
        </w:rPr>
        <w:t>À la suite de</w:t>
      </w:r>
      <w:r w:rsidR="001842D1" w:rsidRPr="001842D1">
        <w:rPr>
          <w:rFonts w:ascii="Verdana" w:hAnsi="Verdana"/>
          <w:sz w:val="20"/>
          <w:szCs w:val="20"/>
        </w:rPr>
        <w:t xml:space="preserve"> la décision n°18 du COPL 01/2025, tenue du 4 au 6 avril 2025, invitant le Secrétariat général de la COI à </w:t>
      </w:r>
      <w:r w:rsidR="001842D1" w:rsidRPr="006F7AAD">
        <w:rPr>
          <w:rFonts w:ascii="Verdana" w:hAnsi="Verdana"/>
          <w:i/>
          <w:iCs/>
          <w:sz w:val="20"/>
          <w:szCs w:val="20"/>
        </w:rPr>
        <w:t xml:space="preserve">transmettre dans les meilleurs délais la proposition de termes de référence des assistants chargés de mission auprès des États membres, </w:t>
      </w:r>
      <w:r w:rsidR="001842D1" w:rsidRPr="001842D1">
        <w:rPr>
          <w:rFonts w:ascii="Verdana" w:hAnsi="Verdana"/>
          <w:sz w:val="20"/>
          <w:szCs w:val="20"/>
        </w:rPr>
        <w:t xml:space="preserve">vous trouverez en </w:t>
      </w:r>
      <w:r w:rsidR="001842D1" w:rsidRPr="00367706">
        <w:rPr>
          <w:rFonts w:ascii="Verdana" w:hAnsi="Verdana"/>
          <w:b/>
          <w:bCs/>
          <w:sz w:val="20"/>
          <w:szCs w:val="20"/>
        </w:rPr>
        <w:t xml:space="preserve">Annexe </w:t>
      </w:r>
      <w:r w:rsidR="00A70663" w:rsidRPr="00367706">
        <w:rPr>
          <w:rFonts w:ascii="Verdana" w:hAnsi="Verdana"/>
          <w:b/>
          <w:bCs/>
          <w:sz w:val="20"/>
          <w:szCs w:val="20"/>
        </w:rPr>
        <w:t>3</w:t>
      </w:r>
      <w:r w:rsidR="001842D1" w:rsidRPr="001842D1">
        <w:rPr>
          <w:rFonts w:ascii="Verdana" w:hAnsi="Verdana"/>
          <w:sz w:val="20"/>
          <w:szCs w:val="20"/>
        </w:rPr>
        <w:t xml:space="preserve"> ladite proposition, incluant également un calendrier prévisionnel pour le lancement des recrutements.</w:t>
      </w:r>
    </w:p>
    <w:p w14:paraId="0D5A8164" w14:textId="223076DF" w:rsidR="002839B8" w:rsidRPr="002839B8" w:rsidRDefault="002839B8" w:rsidP="002839B8">
      <w:pPr>
        <w:spacing w:after="0" w:line="240" w:lineRule="auto"/>
        <w:jc w:val="both"/>
        <w:rPr>
          <w:rFonts w:ascii="Verdana" w:hAnsi="Verdana"/>
          <w:sz w:val="20"/>
          <w:szCs w:val="20"/>
          <w:lang/>
        </w:rPr>
      </w:pPr>
      <w:r w:rsidRPr="00045E5E">
        <w:rPr>
          <w:rFonts w:ascii="Verdana" w:hAnsi="Verdana"/>
          <w:b/>
          <w:bCs/>
          <w:sz w:val="20"/>
          <w:szCs w:val="20"/>
          <w:lang/>
        </w:rPr>
        <w:t xml:space="preserve">La validation rapide des termes de référence des postes d’assistant de chargé de mission apparaît indispensable et urgente afin de répondre aux besoins opérationnels croissants </w:t>
      </w:r>
      <w:r w:rsidRPr="002839B8">
        <w:rPr>
          <w:rFonts w:ascii="Verdana" w:hAnsi="Verdana"/>
          <w:sz w:val="20"/>
          <w:szCs w:val="20"/>
          <w:lang/>
        </w:rPr>
        <w:t>de la COI. Les chargés de mission assurent des fonctions stratégiques et transversales, incluant la coordination et le montage de projets, la recherche de financements, la représentation institutionnelle de la COI ainsi que l’appui aux réflexions sur les politiques régionales et la modernisation de l’organisation.</w:t>
      </w:r>
    </w:p>
    <w:p w14:paraId="64229040" w14:textId="77777777" w:rsidR="002839B8" w:rsidRPr="002839B8" w:rsidRDefault="002839B8" w:rsidP="002839B8">
      <w:pPr>
        <w:spacing w:after="0" w:line="240" w:lineRule="auto"/>
        <w:jc w:val="both"/>
        <w:rPr>
          <w:rFonts w:ascii="Verdana" w:hAnsi="Verdana"/>
          <w:sz w:val="20"/>
          <w:szCs w:val="20"/>
          <w:lang/>
        </w:rPr>
      </w:pPr>
      <w:r w:rsidRPr="002839B8">
        <w:rPr>
          <w:rFonts w:ascii="Verdana" w:hAnsi="Verdana"/>
          <w:sz w:val="20"/>
          <w:szCs w:val="20"/>
          <w:lang/>
        </w:rPr>
        <w:t>Dans ce contexte, les assistants de chargé de mission constituent un appui essentiel pour renforcer le suivi opérationnel, fluidifier la mise en œuvre des activités et soutenir la charge croissante des équipes.</w:t>
      </w:r>
    </w:p>
    <w:p w14:paraId="1D04C690" w14:textId="77777777" w:rsidR="002839B8" w:rsidRPr="002839B8" w:rsidRDefault="002839B8" w:rsidP="002839B8">
      <w:pPr>
        <w:spacing w:after="0" w:line="240" w:lineRule="auto"/>
        <w:jc w:val="both"/>
        <w:rPr>
          <w:rFonts w:ascii="Verdana" w:hAnsi="Verdana"/>
          <w:sz w:val="20"/>
          <w:szCs w:val="20"/>
          <w:lang/>
        </w:rPr>
      </w:pPr>
      <w:r w:rsidRPr="002839B8">
        <w:rPr>
          <w:rFonts w:ascii="Verdana" w:hAnsi="Verdana"/>
          <w:sz w:val="20"/>
          <w:szCs w:val="20"/>
          <w:lang/>
        </w:rPr>
        <w:t>Ces postes, relevant d’une mise à disposition des États membres, ne devraient pas être affectés par les délais observés dans l’aboutissement du cadre général de mise à disposition, dont le processus de validation est toujours en cours depuis environ 12 mois, malgré les échanges et efforts continus des différentes parties prenantes. Une validation distincte des TDR permettrait ainsi de préserver la continuité des activités et d’éviter tout impact sur la mise en œuvre des priorités de la COI.</w:t>
      </w:r>
    </w:p>
    <w:p w14:paraId="5B423796" w14:textId="77777777" w:rsidR="002839B8" w:rsidRPr="002839B8" w:rsidRDefault="002839B8" w:rsidP="002839B8">
      <w:pPr>
        <w:spacing w:after="0" w:line="240" w:lineRule="auto"/>
        <w:jc w:val="both"/>
        <w:rPr>
          <w:rFonts w:ascii="Verdana" w:hAnsi="Verdana"/>
          <w:sz w:val="20"/>
          <w:szCs w:val="20"/>
          <w:lang/>
        </w:rPr>
      </w:pPr>
      <w:r w:rsidRPr="002839B8">
        <w:rPr>
          <w:rFonts w:ascii="Verdana" w:hAnsi="Verdana"/>
          <w:sz w:val="20"/>
          <w:szCs w:val="20"/>
          <w:lang/>
        </w:rPr>
        <w:t>Par ailleurs, dans le contexte actuel marqué par une urgence accrue en matière de mobilisation de financements et de développement de nouveaux projets, ces postes sont cruciaux pour l’avenir de la COI et le renforcement de sa capacité d’action. Leur mise en place ne devrait donc pas être conditionnée par l’achèvement du cadre global de mise à disposition.</w:t>
      </w:r>
    </w:p>
    <w:p w14:paraId="165B54F4" w14:textId="77777777" w:rsidR="002839B8" w:rsidRPr="002839B8" w:rsidRDefault="002839B8" w:rsidP="002839B8">
      <w:pPr>
        <w:spacing w:after="0" w:line="240" w:lineRule="auto"/>
        <w:jc w:val="both"/>
        <w:rPr>
          <w:rFonts w:ascii="Verdana" w:hAnsi="Verdana"/>
          <w:sz w:val="20"/>
          <w:szCs w:val="20"/>
          <w:lang/>
        </w:rPr>
      </w:pPr>
      <w:r w:rsidRPr="002839B8">
        <w:rPr>
          <w:rFonts w:ascii="Verdana" w:hAnsi="Verdana"/>
          <w:sz w:val="20"/>
          <w:szCs w:val="20"/>
          <w:lang/>
        </w:rPr>
        <w:t xml:space="preserve">Compte tenu du volume de 10 postes concernés, </w:t>
      </w:r>
      <w:r w:rsidRPr="002839B8">
        <w:rPr>
          <w:rFonts w:ascii="Verdana" w:hAnsi="Verdana"/>
          <w:b/>
          <w:bCs/>
          <w:sz w:val="20"/>
          <w:szCs w:val="20"/>
          <w:lang/>
        </w:rPr>
        <w:t>un processus de sélection exceptionnel est envisagé afin de permettre une mise en œuvre rapide</w:t>
      </w:r>
      <w:r w:rsidRPr="002839B8">
        <w:rPr>
          <w:rFonts w:ascii="Verdana" w:hAnsi="Verdana"/>
          <w:sz w:val="20"/>
          <w:szCs w:val="20"/>
          <w:lang/>
        </w:rPr>
        <w:t>, cohérente et adaptée aux besoins stratégiques de l’organisation.</w:t>
      </w:r>
    </w:p>
    <w:p w14:paraId="049B82C9" w14:textId="77777777" w:rsidR="00A82B43" w:rsidRPr="00A82B43" w:rsidRDefault="00A82B43" w:rsidP="00A82B43">
      <w:pPr>
        <w:spacing w:after="0" w:line="240" w:lineRule="auto"/>
        <w:jc w:val="both"/>
        <w:rPr>
          <w:rFonts w:ascii="Verdana" w:hAnsi="Verdana"/>
          <w:sz w:val="20"/>
          <w:szCs w:val="20"/>
        </w:rPr>
      </w:pPr>
      <w:r w:rsidRPr="00A82B43">
        <w:rPr>
          <w:rFonts w:ascii="Verdana" w:hAnsi="Verdana"/>
          <w:sz w:val="20"/>
          <w:szCs w:val="20"/>
        </w:rPr>
        <w:t>Par ailleurs, dans le contexte actuel marqué par une urgence accrue en matière de mobilisation de financements et de développement de nouveaux projets, ces recrutements revêtent un caractère particulièrement prioritaire pour l’avenir et la soutenabilité de la COI.</w:t>
      </w:r>
    </w:p>
    <w:p w14:paraId="5CF504B4" w14:textId="46620D7A" w:rsidR="00A82B43" w:rsidRPr="00A82B43" w:rsidRDefault="00A82B43" w:rsidP="00A82B43">
      <w:pPr>
        <w:spacing w:after="0" w:line="240" w:lineRule="auto"/>
        <w:jc w:val="both"/>
        <w:rPr>
          <w:rFonts w:ascii="Verdana" w:hAnsi="Verdana"/>
          <w:sz w:val="20"/>
          <w:szCs w:val="20"/>
        </w:rPr>
      </w:pPr>
    </w:p>
    <w:p w14:paraId="72A6EA99" w14:textId="77777777" w:rsidR="00045E5E" w:rsidRDefault="00045E5E" w:rsidP="008D7908">
      <w:pPr>
        <w:widowControl w:val="0"/>
        <w:suppressAutoHyphens/>
        <w:spacing w:after="0" w:line="276" w:lineRule="auto"/>
        <w:jc w:val="both"/>
        <w:rPr>
          <w:rFonts w:ascii="Verdana" w:eastAsia="Calibri" w:hAnsi="Verdana" w:cs="Arial"/>
          <w:b/>
          <w:bCs/>
          <w:color w:val="222222"/>
        </w:rPr>
      </w:pPr>
    </w:p>
    <w:p w14:paraId="6EF6AC58" w14:textId="48AEBD74" w:rsidR="008D7908" w:rsidRPr="008D7908" w:rsidRDefault="008D7908" w:rsidP="008D7908">
      <w:pPr>
        <w:widowControl w:val="0"/>
        <w:suppressAutoHyphens/>
        <w:spacing w:after="0" w:line="276" w:lineRule="auto"/>
        <w:jc w:val="both"/>
        <w:rPr>
          <w:rFonts w:ascii="Verdana" w:eastAsia="Calibri" w:hAnsi="Verdana" w:cs="Arial"/>
          <w:b/>
          <w:bCs/>
          <w:color w:val="222222"/>
        </w:rPr>
      </w:pPr>
      <w:r w:rsidRPr="008D7908">
        <w:rPr>
          <w:rFonts w:ascii="Verdana" w:eastAsia="Calibri" w:hAnsi="Verdana" w:cs="Arial"/>
          <w:b/>
          <w:bCs/>
          <w:color w:val="222222"/>
        </w:rPr>
        <w:t>Modalités de recrutement et durée du mandat</w:t>
      </w:r>
    </w:p>
    <w:p w14:paraId="083E99E4" w14:textId="77777777" w:rsidR="008D7908" w:rsidRPr="006B34FE" w:rsidRDefault="008D7908" w:rsidP="008D7908">
      <w:pPr>
        <w:spacing w:before="14" w:line="240" w:lineRule="exact"/>
        <w:jc w:val="both"/>
        <w:rPr>
          <w:rFonts w:ascii="Verdana" w:eastAsia="Calibri" w:hAnsi="Verdana" w:cs="Arial"/>
          <w:sz w:val="20"/>
          <w:szCs w:val="20"/>
        </w:rPr>
      </w:pPr>
      <w:r w:rsidRPr="006B34FE">
        <w:rPr>
          <w:rFonts w:ascii="Verdana" w:eastAsia="Calibri" w:hAnsi="Verdana" w:cs="Arial"/>
          <w:sz w:val="20"/>
          <w:szCs w:val="20"/>
        </w:rPr>
        <w:t xml:space="preserve">Les </w:t>
      </w:r>
      <w:r>
        <w:rPr>
          <w:rFonts w:ascii="Verdana" w:eastAsia="Calibri" w:hAnsi="Verdana" w:cs="Arial"/>
          <w:sz w:val="20"/>
          <w:szCs w:val="20"/>
        </w:rPr>
        <w:t>A</w:t>
      </w:r>
      <w:r w:rsidRPr="006B34FE">
        <w:rPr>
          <w:rFonts w:ascii="Verdana" w:eastAsia="Calibri" w:hAnsi="Verdana" w:cs="Arial"/>
          <w:sz w:val="20"/>
          <w:szCs w:val="20"/>
        </w:rPr>
        <w:t>ssistants chargés de mission sont mis à disposition par un Etat membre. (2 par Etat membre)</w:t>
      </w:r>
    </w:p>
    <w:p w14:paraId="64A28549" w14:textId="77777777" w:rsidR="008D7908" w:rsidRPr="006B34FE" w:rsidRDefault="008D7908" w:rsidP="008D7908">
      <w:pPr>
        <w:spacing w:before="14" w:line="240" w:lineRule="exact"/>
        <w:jc w:val="both"/>
        <w:rPr>
          <w:rFonts w:ascii="Verdana" w:eastAsia="Calibri" w:hAnsi="Verdana" w:cs="Arial"/>
          <w:sz w:val="20"/>
          <w:szCs w:val="20"/>
        </w:rPr>
      </w:pPr>
      <w:r w:rsidRPr="006B34FE">
        <w:rPr>
          <w:rFonts w:ascii="Verdana" w:eastAsia="Calibri" w:hAnsi="Verdana" w:cs="Arial"/>
          <w:sz w:val="20"/>
          <w:szCs w:val="20"/>
        </w:rPr>
        <w:t xml:space="preserve">Les Etats membres sont notifiés de l’ouverture d’un appel à candidatures pour les postes d’assistant aux chargés de mission auprès du Secrétariat général afin que chacun soit en mesure de présenter ses candidatures au Secrétaire général de la COI après une présélection au niveau national. Le Secrétaire général de la COI choisit sur cette base, une candidature et en informe les </w:t>
      </w:r>
      <w:proofErr w:type="spellStart"/>
      <w:r w:rsidRPr="006B34FE">
        <w:rPr>
          <w:rFonts w:ascii="Verdana" w:eastAsia="Calibri" w:hAnsi="Verdana" w:cs="Arial"/>
          <w:sz w:val="20"/>
          <w:szCs w:val="20"/>
        </w:rPr>
        <w:t>OPLs</w:t>
      </w:r>
      <w:proofErr w:type="spellEnd"/>
      <w:r w:rsidRPr="006B34FE">
        <w:rPr>
          <w:rFonts w:ascii="Verdana" w:eastAsia="Calibri" w:hAnsi="Verdana" w:cs="Arial"/>
          <w:sz w:val="20"/>
          <w:szCs w:val="20"/>
        </w:rPr>
        <w:t>.</w:t>
      </w:r>
    </w:p>
    <w:p w14:paraId="47CC9826" w14:textId="77777777" w:rsidR="008D7908" w:rsidRPr="006B34FE" w:rsidRDefault="008D7908" w:rsidP="008D7908">
      <w:pPr>
        <w:spacing w:before="14" w:line="240" w:lineRule="exact"/>
        <w:jc w:val="both"/>
        <w:rPr>
          <w:rFonts w:ascii="Verdana" w:eastAsia="Calibri" w:hAnsi="Verdana" w:cs="Arial"/>
        </w:rPr>
      </w:pPr>
    </w:p>
    <w:p w14:paraId="0EF5D1CF" w14:textId="77777777" w:rsidR="008D7908" w:rsidRPr="006F5C30" w:rsidRDefault="008D7908" w:rsidP="006F5C30">
      <w:pPr>
        <w:widowControl w:val="0"/>
        <w:suppressAutoHyphens/>
        <w:spacing w:after="0" w:line="276" w:lineRule="auto"/>
        <w:jc w:val="both"/>
        <w:rPr>
          <w:rFonts w:ascii="Verdana" w:eastAsia="Calibri" w:hAnsi="Verdana" w:cs="Arial"/>
          <w:b/>
          <w:bCs/>
          <w:color w:val="222222"/>
        </w:rPr>
      </w:pPr>
      <w:r w:rsidRPr="006F5C30">
        <w:rPr>
          <w:rFonts w:ascii="Verdana" w:eastAsia="Calibri" w:hAnsi="Verdana" w:cs="Arial"/>
          <w:b/>
          <w:bCs/>
          <w:color w:val="222222"/>
        </w:rPr>
        <w:t xml:space="preserve">Processus de sélection et calendrier : </w:t>
      </w:r>
    </w:p>
    <w:p w14:paraId="077EAA2D" w14:textId="71F201F3" w:rsidR="008D7908" w:rsidRPr="006B34FE" w:rsidRDefault="008D7908" w:rsidP="008D7908">
      <w:pPr>
        <w:pStyle w:val="Paragraphedeliste"/>
        <w:jc w:val="both"/>
        <w:rPr>
          <w:rFonts w:ascii="Verdana" w:hAnsi="Verdana"/>
          <w:sz w:val="20"/>
          <w:szCs w:val="20"/>
        </w:rPr>
      </w:pPr>
      <w:r w:rsidRPr="006B34FE">
        <w:rPr>
          <w:rFonts w:ascii="Verdana" w:hAnsi="Verdana"/>
          <w:sz w:val="20"/>
          <w:szCs w:val="20"/>
        </w:rPr>
        <w:t xml:space="preserve">Le calendrier prévisionnel devra être ajusté </w:t>
      </w:r>
      <w:r w:rsidR="00EA6125" w:rsidRPr="006B34FE">
        <w:rPr>
          <w:rFonts w:ascii="Verdana" w:hAnsi="Verdana"/>
          <w:sz w:val="20"/>
          <w:szCs w:val="20"/>
        </w:rPr>
        <w:t>à la suite des</w:t>
      </w:r>
      <w:r w:rsidRPr="006B34FE">
        <w:rPr>
          <w:rFonts w:ascii="Verdana" w:hAnsi="Verdana"/>
          <w:sz w:val="20"/>
          <w:szCs w:val="20"/>
        </w:rPr>
        <w:t xml:space="preserve"> discussions.</w:t>
      </w:r>
    </w:p>
    <w:p w14:paraId="215327C3" w14:textId="77777777" w:rsidR="008D7908" w:rsidRPr="006B34FE" w:rsidRDefault="008D7908" w:rsidP="008D7908">
      <w:pPr>
        <w:pStyle w:val="Paragraphedeliste"/>
        <w:jc w:val="both"/>
        <w:rPr>
          <w:rFonts w:ascii="Verdana" w:hAnsi="Verdana"/>
          <w:sz w:val="20"/>
          <w:szCs w:val="20"/>
        </w:rPr>
      </w:pPr>
      <w:r w:rsidRPr="006B34FE">
        <w:rPr>
          <w:rFonts w:ascii="Verdana" w:hAnsi="Verdana"/>
          <w:sz w:val="20"/>
          <w:szCs w:val="20"/>
        </w:rPr>
        <w:t xml:space="preserve">Veuillez trouver ci-dessous une proposition de processus de sélection : </w:t>
      </w:r>
    </w:p>
    <w:tbl>
      <w:tblPr>
        <w:tblStyle w:val="Grilledutableau"/>
        <w:tblW w:w="0" w:type="auto"/>
        <w:tblInd w:w="720" w:type="dxa"/>
        <w:tblLook w:val="04A0" w:firstRow="1" w:lastRow="0" w:firstColumn="1" w:lastColumn="0" w:noHBand="0" w:noVBand="1"/>
      </w:tblPr>
      <w:tblGrid>
        <w:gridCol w:w="1837"/>
        <w:gridCol w:w="6505"/>
      </w:tblGrid>
      <w:tr w:rsidR="008D7908" w:rsidRPr="006B34FE" w14:paraId="0534A614" w14:textId="77777777" w:rsidTr="00BE648C">
        <w:tc>
          <w:tcPr>
            <w:tcW w:w="1837" w:type="dxa"/>
          </w:tcPr>
          <w:p w14:paraId="0E292C26" w14:textId="77777777" w:rsidR="008D7908" w:rsidRPr="006B34FE" w:rsidRDefault="008D7908" w:rsidP="008E7F5B">
            <w:pPr>
              <w:pStyle w:val="Paragraphedeliste"/>
              <w:ind w:left="0"/>
              <w:jc w:val="both"/>
              <w:rPr>
                <w:rFonts w:ascii="Verdana" w:hAnsi="Verdana"/>
                <w:sz w:val="20"/>
                <w:szCs w:val="20"/>
              </w:rPr>
            </w:pPr>
            <w:r w:rsidRPr="006B34FE">
              <w:rPr>
                <w:rFonts w:ascii="Verdana" w:hAnsi="Verdana"/>
                <w:sz w:val="20"/>
                <w:szCs w:val="20"/>
              </w:rPr>
              <w:t>Dates</w:t>
            </w:r>
          </w:p>
        </w:tc>
        <w:tc>
          <w:tcPr>
            <w:tcW w:w="6505" w:type="dxa"/>
          </w:tcPr>
          <w:p w14:paraId="5C8F6C25" w14:textId="77777777" w:rsidR="008D7908" w:rsidRPr="006B34FE" w:rsidRDefault="008D7908" w:rsidP="008E7F5B">
            <w:pPr>
              <w:pStyle w:val="Paragraphedeliste"/>
              <w:ind w:left="0"/>
              <w:jc w:val="both"/>
              <w:rPr>
                <w:rFonts w:ascii="Verdana" w:hAnsi="Verdana"/>
                <w:sz w:val="20"/>
                <w:szCs w:val="20"/>
              </w:rPr>
            </w:pPr>
            <w:r w:rsidRPr="006B34FE">
              <w:rPr>
                <w:rFonts w:ascii="Verdana" w:hAnsi="Verdana"/>
                <w:sz w:val="20"/>
                <w:szCs w:val="20"/>
              </w:rPr>
              <w:t xml:space="preserve">Etapes </w:t>
            </w:r>
          </w:p>
        </w:tc>
      </w:tr>
      <w:tr w:rsidR="008D7908" w:rsidRPr="006B34FE" w14:paraId="2FA0AEFC" w14:textId="77777777" w:rsidTr="00BE648C">
        <w:tc>
          <w:tcPr>
            <w:tcW w:w="1837" w:type="dxa"/>
          </w:tcPr>
          <w:p w14:paraId="4FD4108D" w14:textId="77777777" w:rsidR="008D7908" w:rsidRPr="00A7054A" w:rsidRDefault="008D7908" w:rsidP="008E7F5B">
            <w:pPr>
              <w:jc w:val="both"/>
              <w:rPr>
                <w:rFonts w:ascii="Verdana" w:hAnsi="Verdana"/>
                <w:sz w:val="20"/>
                <w:szCs w:val="20"/>
              </w:rPr>
            </w:pPr>
            <w:r w:rsidRPr="00A7054A">
              <w:rPr>
                <w:rFonts w:ascii="Verdana" w:hAnsi="Verdana"/>
                <w:sz w:val="20"/>
                <w:szCs w:val="20"/>
              </w:rPr>
              <w:t>Mai 2026</w:t>
            </w:r>
          </w:p>
        </w:tc>
        <w:tc>
          <w:tcPr>
            <w:tcW w:w="6505" w:type="dxa"/>
          </w:tcPr>
          <w:p w14:paraId="158BCF69" w14:textId="77777777" w:rsidR="008D7908" w:rsidRPr="006B34FE" w:rsidRDefault="008D7908" w:rsidP="008E7F5B">
            <w:pPr>
              <w:pStyle w:val="Paragraphedeliste"/>
              <w:ind w:left="0"/>
              <w:jc w:val="both"/>
              <w:rPr>
                <w:rFonts w:ascii="Verdana" w:hAnsi="Verdana"/>
                <w:sz w:val="20"/>
                <w:szCs w:val="20"/>
              </w:rPr>
            </w:pPr>
            <w:r w:rsidRPr="006B34FE">
              <w:rPr>
                <w:rFonts w:ascii="Verdana" w:hAnsi="Verdana"/>
                <w:sz w:val="20"/>
                <w:szCs w:val="20"/>
              </w:rPr>
              <w:t>Validation des termes de références et processus de sélection</w:t>
            </w:r>
          </w:p>
        </w:tc>
      </w:tr>
      <w:tr w:rsidR="008D7908" w:rsidRPr="006B34FE" w14:paraId="74F1DB63" w14:textId="77777777" w:rsidTr="00BE648C">
        <w:tc>
          <w:tcPr>
            <w:tcW w:w="1837" w:type="dxa"/>
          </w:tcPr>
          <w:p w14:paraId="4265CA18" w14:textId="77777777" w:rsidR="008D7908" w:rsidRPr="006B34FE" w:rsidRDefault="008D7908" w:rsidP="008E7F5B">
            <w:pPr>
              <w:pStyle w:val="Paragraphedeliste"/>
              <w:ind w:left="0"/>
              <w:jc w:val="both"/>
              <w:rPr>
                <w:rFonts w:ascii="Verdana" w:hAnsi="Verdana"/>
                <w:sz w:val="20"/>
                <w:szCs w:val="20"/>
              </w:rPr>
            </w:pPr>
            <w:r>
              <w:rPr>
                <w:rFonts w:ascii="Verdana" w:hAnsi="Verdana"/>
                <w:sz w:val="20"/>
                <w:szCs w:val="20"/>
              </w:rPr>
              <w:t>Juin</w:t>
            </w:r>
            <w:r w:rsidRPr="006B34FE">
              <w:rPr>
                <w:rFonts w:ascii="Verdana" w:hAnsi="Verdana"/>
                <w:sz w:val="20"/>
                <w:szCs w:val="20"/>
              </w:rPr>
              <w:t xml:space="preserve"> 202</w:t>
            </w:r>
            <w:r>
              <w:rPr>
                <w:rFonts w:ascii="Verdana" w:hAnsi="Verdana"/>
                <w:sz w:val="20"/>
                <w:szCs w:val="20"/>
              </w:rPr>
              <w:t>6</w:t>
            </w:r>
          </w:p>
        </w:tc>
        <w:tc>
          <w:tcPr>
            <w:tcW w:w="6505" w:type="dxa"/>
          </w:tcPr>
          <w:p w14:paraId="5606DEAC" w14:textId="77777777" w:rsidR="008D7908" w:rsidRDefault="008D7908" w:rsidP="008E7F5B">
            <w:pPr>
              <w:jc w:val="both"/>
              <w:rPr>
                <w:rFonts w:ascii="Verdana" w:hAnsi="Verdana"/>
                <w:sz w:val="20"/>
                <w:szCs w:val="20"/>
              </w:rPr>
            </w:pPr>
            <w:r>
              <w:rPr>
                <w:rFonts w:ascii="Verdana" w:hAnsi="Verdana"/>
                <w:sz w:val="20"/>
                <w:szCs w:val="20"/>
              </w:rPr>
              <w:t>Transmission</w:t>
            </w:r>
            <w:r w:rsidRPr="006B34FE">
              <w:rPr>
                <w:rFonts w:ascii="Verdana" w:hAnsi="Verdana"/>
                <w:sz w:val="20"/>
                <w:szCs w:val="20"/>
              </w:rPr>
              <w:t xml:space="preserve"> de la note verbale invitant les EM à diffuser un appel à candidature national</w:t>
            </w:r>
            <w:r>
              <w:rPr>
                <w:rFonts w:ascii="Verdana" w:hAnsi="Verdana"/>
                <w:sz w:val="20"/>
                <w:szCs w:val="20"/>
              </w:rPr>
              <w:t xml:space="preserve">. </w:t>
            </w:r>
          </w:p>
          <w:p w14:paraId="60995229" w14:textId="77777777" w:rsidR="008D7908" w:rsidRPr="006B34FE" w:rsidRDefault="008D7908" w:rsidP="008E7F5B">
            <w:pPr>
              <w:jc w:val="both"/>
              <w:rPr>
                <w:rFonts w:ascii="Verdana" w:hAnsi="Verdana"/>
                <w:sz w:val="20"/>
                <w:szCs w:val="20"/>
              </w:rPr>
            </w:pPr>
            <w:r>
              <w:rPr>
                <w:rFonts w:ascii="Verdana" w:hAnsi="Verdana"/>
                <w:sz w:val="20"/>
                <w:szCs w:val="20"/>
              </w:rPr>
              <w:t xml:space="preserve">Chaque EM diffuse l’appel à candidatures et procède à la pré-sélection </w:t>
            </w:r>
          </w:p>
        </w:tc>
      </w:tr>
      <w:tr w:rsidR="008D7908" w:rsidRPr="006B34FE" w14:paraId="7BE9E9B4" w14:textId="77777777" w:rsidTr="00BE648C">
        <w:tc>
          <w:tcPr>
            <w:tcW w:w="1837" w:type="dxa"/>
          </w:tcPr>
          <w:p w14:paraId="7D7A65C3" w14:textId="77777777" w:rsidR="008D7908" w:rsidRPr="006B34FE" w:rsidRDefault="008D7908" w:rsidP="008E7F5B">
            <w:pPr>
              <w:pStyle w:val="Paragraphedeliste"/>
              <w:ind w:left="0"/>
              <w:jc w:val="both"/>
              <w:rPr>
                <w:rFonts w:ascii="Verdana" w:hAnsi="Verdana"/>
                <w:sz w:val="20"/>
                <w:szCs w:val="20"/>
              </w:rPr>
            </w:pPr>
            <w:r>
              <w:rPr>
                <w:rFonts w:ascii="Verdana" w:hAnsi="Verdana"/>
                <w:sz w:val="20"/>
                <w:szCs w:val="20"/>
              </w:rPr>
              <w:t>Juillet - Septembre</w:t>
            </w:r>
            <w:r w:rsidRPr="006B34FE">
              <w:rPr>
                <w:rFonts w:ascii="Verdana" w:hAnsi="Verdana"/>
                <w:sz w:val="20"/>
                <w:szCs w:val="20"/>
              </w:rPr>
              <w:t xml:space="preserve"> 2026</w:t>
            </w:r>
          </w:p>
        </w:tc>
        <w:tc>
          <w:tcPr>
            <w:tcW w:w="6505" w:type="dxa"/>
          </w:tcPr>
          <w:p w14:paraId="5B9EF355" w14:textId="77777777" w:rsidR="008D7908" w:rsidRPr="006B34FE" w:rsidRDefault="008D7908" w:rsidP="008E7F5B">
            <w:pPr>
              <w:pStyle w:val="Paragraphedeliste"/>
              <w:ind w:left="0"/>
              <w:jc w:val="both"/>
              <w:rPr>
                <w:rFonts w:ascii="Verdana" w:hAnsi="Verdana"/>
                <w:sz w:val="20"/>
                <w:szCs w:val="20"/>
              </w:rPr>
            </w:pPr>
            <w:r w:rsidRPr="006B34FE">
              <w:rPr>
                <w:rFonts w:ascii="Verdana" w:hAnsi="Verdana"/>
                <w:sz w:val="20"/>
                <w:szCs w:val="20"/>
              </w:rPr>
              <w:t>Réception de</w:t>
            </w:r>
            <w:r>
              <w:rPr>
                <w:rFonts w:ascii="Verdana" w:hAnsi="Verdana"/>
                <w:sz w:val="20"/>
                <w:szCs w:val="20"/>
              </w:rPr>
              <w:t xml:space="preserve"> la liste restreinte des </w:t>
            </w:r>
            <w:r w:rsidRPr="006B34FE">
              <w:rPr>
                <w:rFonts w:ascii="Verdana" w:hAnsi="Verdana"/>
                <w:sz w:val="20"/>
                <w:szCs w:val="20"/>
              </w:rPr>
              <w:t xml:space="preserve">candidatures par le secrétariat général et mise en place du comité de sélection (RH, Chargé de mission concerné, un représentant d’un Etat membre </w:t>
            </w:r>
            <w:r>
              <w:rPr>
                <w:rFonts w:ascii="Verdana" w:hAnsi="Verdana"/>
                <w:sz w:val="20"/>
                <w:szCs w:val="20"/>
              </w:rPr>
              <w:t xml:space="preserve">non concerné par la candidature </w:t>
            </w:r>
            <w:r w:rsidRPr="006B34FE">
              <w:rPr>
                <w:rFonts w:ascii="Verdana" w:hAnsi="Verdana"/>
                <w:sz w:val="20"/>
                <w:szCs w:val="20"/>
              </w:rPr>
              <w:t>(si souhaité)</w:t>
            </w:r>
          </w:p>
        </w:tc>
      </w:tr>
      <w:tr w:rsidR="008D7908" w:rsidRPr="006B34FE" w14:paraId="65563060" w14:textId="77777777" w:rsidTr="00BE648C">
        <w:tc>
          <w:tcPr>
            <w:tcW w:w="1837" w:type="dxa"/>
          </w:tcPr>
          <w:p w14:paraId="57B798D3" w14:textId="77777777" w:rsidR="008D7908" w:rsidRPr="006B34FE" w:rsidRDefault="008D7908" w:rsidP="008E7F5B">
            <w:pPr>
              <w:pStyle w:val="Paragraphedeliste"/>
              <w:ind w:left="0"/>
              <w:jc w:val="both"/>
              <w:rPr>
                <w:rFonts w:ascii="Verdana" w:hAnsi="Verdana"/>
                <w:sz w:val="20"/>
                <w:szCs w:val="20"/>
              </w:rPr>
            </w:pPr>
            <w:r>
              <w:rPr>
                <w:rFonts w:ascii="Verdana" w:hAnsi="Verdana"/>
                <w:sz w:val="20"/>
                <w:szCs w:val="20"/>
              </w:rPr>
              <w:t>Septembre</w:t>
            </w:r>
            <w:r w:rsidRPr="006B34FE">
              <w:rPr>
                <w:rFonts w:ascii="Verdana" w:hAnsi="Verdana"/>
                <w:sz w:val="20"/>
                <w:szCs w:val="20"/>
              </w:rPr>
              <w:t xml:space="preserve"> 2026</w:t>
            </w:r>
          </w:p>
        </w:tc>
        <w:tc>
          <w:tcPr>
            <w:tcW w:w="6505" w:type="dxa"/>
          </w:tcPr>
          <w:p w14:paraId="396EA900" w14:textId="77777777" w:rsidR="008D7908" w:rsidRPr="006B34FE" w:rsidRDefault="008D7908" w:rsidP="008E7F5B">
            <w:pPr>
              <w:pStyle w:val="Paragraphedeliste"/>
              <w:ind w:left="0"/>
              <w:jc w:val="both"/>
              <w:rPr>
                <w:rFonts w:ascii="Verdana" w:hAnsi="Verdana"/>
                <w:sz w:val="20"/>
                <w:szCs w:val="20"/>
              </w:rPr>
            </w:pPr>
            <w:r w:rsidRPr="006B34FE">
              <w:rPr>
                <w:rFonts w:ascii="Verdana" w:hAnsi="Verdana"/>
                <w:sz w:val="20"/>
                <w:szCs w:val="20"/>
              </w:rPr>
              <w:t>Entretiens des candidats et rapports de sélection</w:t>
            </w:r>
          </w:p>
        </w:tc>
      </w:tr>
      <w:tr w:rsidR="00C13C93" w:rsidRPr="006B34FE" w14:paraId="69EB5695" w14:textId="77777777" w:rsidTr="00BE648C">
        <w:tc>
          <w:tcPr>
            <w:tcW w:w="1837" w:type="dxa"/>
          </w:tcPr>
          <w:p w14:paraId="3A7C256B" w14:textId="123A493B" w:rsidR="00C13C93" w:rsidRDefault="00C13C93" w:rsidP="00C13C93">
            <w:pPr>
              <w:pStyle w:val="Paragraphedeliste"/>
              <w:ind w:left="0"/>
              <w:jc w:val="both"/>
              <w:rPr>
                <w:rFonts w:ascii="Verdana" w:hAnsi="Verdana"/>
                <w:sz w:val="20"/>
                <w:szCs w:val="20"/>
              </w:rPr>
            </w:pPr>
            <w:r>
              <w:rPr>
                <w:rFonts w:ascii="Verdana" w:hAnsi="Verdana"/>
                <w:sz w:val="20"/>
                <w:szCs w:val="20"/>
              </w:rPr>
              <w:t xml:space="preserve">Octobre </w:t>
            </w:r>
            <w:r w:rsidRPr="006B34FE">
              <w:rPr>
                <w:rFonts w:ascii="Verdana" w:hAnsi="Verdana"/>
                <w:sz w:val="20"/>
                <w:szCs w:val="20"/>
              </w:rPr>
              <w:t>2026</w:t>
            </w:r>
          </w:p>
        </w:tc>
        <w:tc>
          <w:tcPr>
            <w:tcW w:w="6505" w:type="dxa"/>
          </w:tcPr>
          <w:p w14:paraId="47B445EC" w14:textId="6118062B" w:rsidR="00C13C93" w:rsidRPr="006B34FE" w:rsidRDefault="00C13C93" w:rsidP="00C13C93">
            <w:pPr>
              <w:pStyle w:val="Paragraphedeliste"/>
              <w:ind w:left="0"/>
              <w:jc w:val="both"/>
              <w:rPr>
                <w:rFonts w:ascii="Verdana" w:hAnsi="Verdana"/>
                <w:sz w:val="20"/>
                <w:szCs w:val="20"/>
              </w:rPr>
            </w:pPr>
            <w:r w:rsidRPr="006B34FE">
              <w:rPr>
                <w:rFonts w:ascii="Verdana" w:hAnsi="Verdana"/>
                <w:sz w:val="20"/>
                <w:szCs w:val="20"/>
              </w:rPr>
              <w:t>Etablissement de la liste des candidats retenus et soumission au secrétaire général pour validation.</w:t>
            </w:r>
          </w:p>
        </w:tc>
      </w:tr>
      <w:tr w:rsidR="00C13C93" w:rsidRPr="006B34FE" w14:paraId="10083BC5" w14:textId="77777777" w:rsidTr="00BE648C">
        <w:tc>
          <w:tcPr>
            <w:tcW w:w="1837" w:type="dxa"/>
          </w:tcPr>
          <w:p w14:paraId="645DD8DD" w14:textId="26E9A233" w:rsidR="00C13C93" w:rsidRDefault="00C13C93" w:rsidP="00C13C93">
            <w:pPr>
              <w:pStyle w:val="Paragraphedeliste"/>
              <w:ind w:left="0"/>
              <w:jc w:val="both"/>
              <w:rPr>
                <w:rFonts w:ascii="Verdana" w:hAnsi="Verdana"/>
                <w:sz w:val="20"/>
                <w:szCs w:val="20"/>
              </w:rPr>
            </w:pPr>
            <w:r>
              <w:rPr>
                <w:rFonts w:ascii="Verdana" w:hAnsi="Verdana"/>
                <w:sz w:val="20"/>
                <w:szCs w:val="20"/>
              </w:rPr>
              <w:t>Novembre</w:t>
            </w:r>
            <w:r w:rsidRPr="006B34FE">
              <w:rPr>
                <w:rFonts w:ascii="Verdana" w:hAnsi="Verdana"/>
                <w:sz w:val="20"/>
                <w:szCs w:val="20"/>
              </w:rPr>
              <w:t xml:space="preserve"> 2026</w:t>
            </w:r>
          </w:p>
        </w:tc>
        <w:tc>
          <w:tcPr>
            <w:tcW w:w="6505" w:type="dxa"/>
          </w:tcPr>
          <w:p w14:paraId="7F558CD1" w14:textId="6C0049C1" w:rsidR="00C13C93" w:rsidRPr="006B34FE" w:rsidRDefault="00C13C93" w:rsidP="00C13C93">
            <w:pPr>
              <w:pStyle w:val="Paragraphedeliste"/>
              <w:ind w:left="0"/>
              <w:jc w:val="both"/>
              <w:rPr>
                <w:rFonts w:ascii="Verdana" w:hAnsi="Verdana"/>
                <w:sz w:val="20"/>
                <w:szCs w:val="20"/>
              </w:rPr>
            </w:pPr>
            <w:r w:rsidRPr="006B34FE">
              <w:rPr>
                <w:rFonts w:ascii="Verdana" w:hAnsi="Verdana"/>
                <w:sz w:val="20"/>
                <w:szCs w:val="20"/>
              </w:rPr>
              <w:t>Communication des résultats aux États membres et demande de confirmation de mise à disposition par écrit.</w:t>
            </w:r>
          </w:p>
        </w:tc>
      </w:tr>
      <w:tr w:rsidR="00C13C93" w:rsidRPr="006B34FE" w14:paraId="65DE258C" w14:textId="77777777" w:rsidTr="00BE648C">
        <w:tc>
          <w:tcPr>
            <w:tcW w:w="1837" w:type="dxa"/>
          </w:tcPr>
          <w:p w14:paraId="71942DC4" w14:textId="1653628C" w:rsidR="00C13C93" w:rsidRDefault="00C13C93" w:rsidP="00C13C93">
            <w:pPr>
              <w:pStyle w:val="Paragraphedeliste"/>
              <w:ind w:left="0"/>
              <w:jc w:val="both"/>
              <w:rPr>
                <w:rFonts w:ascii="Verdana" w:hAnsi="Verdana"/>
                <w:sz w:val="20"/>
                <w:szCs w:val="20"/>
              </w:rPr>
            </w:pPr>
            <w:r>
              <w:rPr>
                <w:rFonts w:ascii="Verdana" w:hAnsi="Verdana"/>
                <w:sz w:val="20"/>
                <w:szCs w:val="20"/>
              </w:rPr>
              <w:t>Janvier 2027</w:t>
            </w:r>
          </w:p>
        </w:tc>
        <w:tc>
          <w:tcPr>
            <w:tcW w:w="6505" w:type="dxa"/>
          </w:tcPr>
          <w:p w14:paraId="17F863E9" w14:textId="77777777" w:rsidR="00C13C93" w:rsidRPr="006B34FE" w:rsidRDefault="00C13C93" w:rsidP="00C13C93">
            <w:pPr>
              <w:jc w:val="both"/>
              <w:rPr>
                <w:rFonts w:ascii="Verdana" w:hAnsi="Verdana"/>
                <w:sz w:val="20"/>
                <w:szCs w:val="20"/>
                <w:lang/>
              </w:rPr>
            </w:pPr>
            <w:r w:rsidRPr="006B34FE">
              <w:rPr>
                <w:rFonts w:ascii="Verdana" w:hAnsi="Verdana"/>
                <w:sz w:val="20"/>
                <w:szCs w:val="20"/>
                <w:lang/>
              </w:rPr>
              <w:t>Signature des lettres de mission entre l’État membre et la COI (durée, modalités de supervision, couverture administrative…).</w:t>
            </w:r>
          </w:p>
          <w:p w14:paraId="5CACA260" w14:textId="2F1DAD53" w:rsidR="00C13C93" w:rsidRPr="006B34FE" w:rsidRDefault="00C13C93" w:rsidP="00C13C93">
            <w:pPr>
              <w:pStyle w:val="Paragraphedeliste"/>
              <w:ind w:left="0"/>
              <w:jc w:val="both"/>
              <w:rPr>
                <w:rFonts w:ascii="Verdana" w:hAnsi="Verdana"/>
                <w:sz w:val="20"/>
                <w:szCs w:val="20"/>
              </w:rPr>
            </w:pPr>
            <w:r w:rsidRPr="006B34FE">
              <w:rPr>
                <w:rFonts w:ascii="Verdana" w:hAnsi="Verdana"/>
                <w:sz w:val="20"/>
                <w:szCs w:val="20"/>
              </w:rPr>
              <w:t>Prise de Poste des ACM</w:t>
            </w:r>
          </w:p>
        </w:tc>
      </w:tr>
    </w:tbl>
    <w:p w14:paraId="19EF9BF4" w14:textId="77777777" w:rsidR="004019E7" w:rsidRPr="008D7908" w:rsidRDefault="004019E7" w:rsidP="004C6577">
      <w:pPr>
        <w:pStyle w:val="Titrepartie"/>
        <w:numPr>
          <w:ilvl w:val="0"/>
          <w:numId w:val="0"/>
        </w:numPr>
        <w:rPr>
          <w:b w:val="0"/>
          <w:bCs w:val="0"/>
          <w:color w:val="auto"/>
          <w:sz w:val="20"/>
        </w:rPr>
      </w:pPr>
    </w:p>
    <w:p w14:paraId="00939495" w14:textId="77777777" w:rsidR="004C6577" w:rsidRPr="001842D1" w:rsidRDefault="004C6577" w:rsidP="004C6577">
      <w:pPr>
        <w:pStyle w:val="Titrepartie"/>
        <w:numPr>
          <w:ilvl w:val="0"/>
          <w:numId w:val="0"/>
        </w:numPr>
        <w:rPr>
          <w:b w:val="0"/>
          <w:bCs w:val="0"/>
          <w:color w:val="auto"/>
          <w:sz w:val="20"/>
        </w:rPr>
      </w:pPr>
    </w:p>
    <w:p w14:paraId="2F7F5914" w14:textId="608AD6BB" w:rsidR="00955BB3" w:rsidRPr="0008468B" w:rsidRDefault="00955BB3" w:rsidP="00A70123">
      <w:pPr>
        <w:pStyle w:val="Titrepartie"/>
      </w:pPr>
      <w:r w:rsidRPr="0008468B">
        <w:t>Proposition de décision</w:t>
      </w:r>
    </w:p>
    <w:p w14:paraId="05F1F967" w14:textId="20D253B9" w:rsidR="0008468B" w:rsidRPr="004F5C4B" w:rsidRDefault="0008468B" w:rsidP="00FE285D">
      <w:pPr>
        <w:pStyle w:val="Paragraphe"/>
      </w:pPr>
      <w:r w:rsidRPr="004F5C4B">
        <w:t>Le Comité des OPL</w:t>
      </w:r>
      <w:r w:rsidR="00A76B07">
        <w:t> :</w:t>
      </w:r>
    </w:p>
    <w:p w14:paraId="762D8CAC" w14:textId="5F1D6ADA" w:rsidR="00D5274F" w:rsidRPr="00B13907" w:rsidRDefault="00D5274F" w:rsidP="00B13907">
      <w:pPr>
        <w:pStyle w:val="Paragraphe"/>
        <w:numPr>
          <w:ilvl w:val="0"/>
          <w:numId w:val="23"/>
        </w:numPr>
      </w:pPr>
      <w:r>
        <w:t>Approuve le cadre de mise à disposition de personnel et d’experts auprès du Secrétariat général ;</w:t>
      </w:r>
    </w:p>
    <w:p w14:paraId="7BD38514" w14:textId="4CDEE480" w:rsidR="00DE6902" w:rsidRDefault="00DE6902" w:rsidP="00DE6902">
      <w:pPr>
        <w:pStyle w:val="Paragraphe"/>
        <w:numPr>
          <w:ilvl w:val="0"/>
          <w:numId w:val="23"/>
        </w:numPr>
      </w:pPr>
      <w:r>
        <w:t xml:space="preserve">Approuve les termes de références, le calendrier prévisionnel </w:t>
      </w:r>
      <w:r w:rsidR="00F5027E">
        <w:t>ainsi que</w:t>
      </w:r>
      <w:r>
        <w:t xml:space="preserve"> le processus de recrutement proposé</w:t>
      </w:r>
      <w:r w:rsidR="00F5027E">
        <w:t>s</w:t>
      </w:r>
      <w:r>
        <w:t xml:space="preserve"> pour les postes d’assistants chargés de mission et encourage le </w:t>
      </w:r>
      <w:r w:rsidR="002116ED">
        <w:t>Secrétariat général</w:t>
      </w:r>
      <w:r>
        <w:t xml:space="preserve"> à procéder au lancement de ce</w:t>
      </w:r>
      <w:r w:rsidR="00406CD3">
        <w:t>s</w:t>
      </w:r>
      <w:r>
        <w:t xml:space="preserve"> recrutement</w:t>
      </w:r>
      <w:r w:rsidR="00406CD3">
        <w:t>s</w:t>
      </w:r>
      <w:r>
        <w:t xml:space="preserve"> dans les meilleurs délais</w:t>
      </w:r>
      <w:r w:rsidR="00164A70">
        <w:t xml:space="preserve"> </w:t>
      </w:r>
      <w:r w:rsidR="00A40FB5">
        <w:t>dans l’attente de</w:t>
      </w:r>
      <w:r w:rsidR="00164A70">
        <w:t xml:space="preserve"> la validation du cadre de mise à disposition dans les </w:t>
      </w:r>
      <w:r w:rsidR="002E7B15">
        <w:t>instances prochaines</w:t>
      </w:r>
      <w:r>
        <w:t>.</w:t>
      </w:r>
    </w:p>
    <w:p w14:paraId="430A2641" w14:textId="77777777" w:rsidR="008573BA" w:rsidRPr="002116ED" w:rsidRDefault="008573BA" w:rsidP="008573BA">
      <w:pPr>
        <w:pStyle w:val="Paragraphe"/>
        <w:ind w:left="720"/>
        <w:rPr>
          <w:sz w:val="8"/>
          <w:szCs w:val="8"/>
        </w:rPr>
      </w:pPr>
    </w:p>
    <w:bookmarkEnd w:id="0"/>
    <w:p w14:paraId="467C7EBD" w14:textId="77777777" w:rsidR="00D5274F" w:rsidRPr="0008468B" w:rsidRDefault="00D5274F" w:rsidP="00D5274F">
      <w:pPr>
        <w:pStyle w:val="Titrepartie"/>
      </w:pPr>
      <w:r w:rsidRPr="0008468B">
        <w:t>Annexes :</w:t>
      </w:r>
    </w:p>
    <w:p w14:paraId="018DF45C" w14:textId="371A05E0" w:rsidR="00FC1D31" w:rsidRDefault="00D5274F" w:rsidP="00FC1D31">
      <w:pPr>
        <w:pStyle w:val="Paragraphe"/>
        <w:numPr>
          <w:ilvl w:val="0"/>
          <w:numId w:val="13"/>
        </w:numPr>
      </w:pPr>
      <w:r>
        <w:t>Annexe 1</w:t>
      </w:r>
      <w:r w:rsidR="008B0472">
        <w:t xml:space="preserve"> : </w:t>
      </w:r>
      <w:r>
        <w:t>Cadre de mise à disposition</w:t>
      </w:r>
      <w:r w:rsidR="008B0472">
        <w:t xml:space="preserve"> -</w:t>
      </w:r>
      <w:r w:rsidR="00FC1D31">
        <w:t xml:space="preserve"> version du </w:t>
      </w:r>
      <w:r w:rsidR="008B0472">
        <w:t>28 janvier 2026</w:t>
      </w:r>
    </w:p>
    <w:p w14:paraId="57B851CD" w14:textId="77777777" w:rsidR="00D5274F" w:rsidRDefault="00D5274F" w:rsidP="00D5274F">
      <w:pPr>
        <w:pStyle w:val="Paragraphe"/>
        <w:numPr>
          <w:ilvl w:val="0"/>
          <w:numId w:val="13"/>
        </w:numPr>
      </w:pPr>
      <w:r>
        <w:t>Annexe 2 : Liste des mises à disposition</w:t>
      </w:r>
    </w:p>
    <w:p w14:paraId="50265A38" w14:textId="26D739C8" w:rsidR="009526D7" w:rsidRPr="00620B90" w:rsidRDefault="00AE1177" w:rsidP="00E11C79">
      <w:pPr>
        <w:pStyle w:val="Paragraphe"/>
        <w:numPr>
          <w:ilvl w:val="0"/>
          <w:numId w:val="13"/>
        </w:numPr>
      </w:pPr>
      <w:r>
        <w:t xml:space="preserve">Annexe </w:t>
      </w:r>
      <w:r w:rsidR="00A70663">
        <w:t>3</w:t>
      </w:r>
      <w:r>
        <w:t> : Projet de terme</w:t>
      </w:r>
      <w:r w:rsidR="00B64FC2">
        <w:t>s</w:t>
      </w:r>
      <w:r>
        <w:t xml:space="preserve"> de référence des assistants chargés de mission</w:t>
      </w:r>
    </w:p>
    <w:sectPr w:rsidR="009526D7" w:rsidRPr="00620B90" w:rsidSect="002116ED">
      <w:headerReference w:type="default" r:id="rId10"/>
      <w:footerReference w:type="default" r:id="rId11"/>
      <w:pgSz w:w="11906" w:h="16838"/>
      <w:pgMar w:top="1276" w:right="1417" w:bottom="993"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BF42" w14:textId="77777777" w:rsidR="00F003A3" w:rsidRDefault="00F003A3">
      <w:pPr>
        <w:spacing w:after="0" w:line="240" w:lineRule="auto"/>
      </w:pPr>
      <w:r>
        <w:separator/>
      </w:r>
    </w:p>
  </w:endnote>
  <w:endnote w:type="continuationSeparator" w:id="0">
    <w:p w14:paraId="081ACC0C" w14:textId="77777777" w:rsidR="00F003A3" w:rsidRDefault="00F0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3F2E" w14:textId="77777777" w:rsidR="00F003A3" w:rsidRDefault="00F003A3">
      <w:pPr>
        <w:spacing w:after="0" w:line="240" w:lineRule="auto"/>
      </w:pPr>
      <w:r>
        <w:separator/>
      </w:r>
    </w:p>
  </w:footnote>
  <w:footnote w:type="continuationSeparator" w:id="0">
    <w:p w14:paraId="7826F7A7" w14:textId="77777777" w:rsidR="00F003A3" w:rsidRDefault="00F00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6C61A0E9"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495917180" name="Image 49591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45ECE">
      <w:rPr>
        <w:rFonts w:ascii="Verdana" w:hAnsi="Verdana"/>
        <w:b/>
        <w:bCs/>
        <w:sz w:val="20"/>
        <w:szCs w:val="20"/>
      </w:rPr>
      <w:t>3.</w:t>
    </w:r>
    <w:r w:rsidR="00BF765A">
      <w:rPr>
        <w:rFonts w:ascii="Verdana" w:hAnsi="Verdana"/>
        <w:b/>
        <w:bCs/>
        <w:sz w:val="20"/>
        <w:szCs w:val="20"/>
      </w:rPr>
      <w:t>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9B0"/>
    <w:multiLevelType w:val="multilevel"/>
    <w:tmpl w:val="A67A0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EE1CA3"/>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664B54"/>
    <w:multiLevelType w:val="multilevel"/>
    <w:tmpl w:val="54B4F460"/>
    <w:lvl w:ilvl="0">
      <w:start w:val="1"/>
      <w:numFmt w:val="decimal"/>
      <w:lvlText w:val="%1"/>
      <w:lvlJc w:val="left"/>
      <w:pPr>
        <w:tabs>
          <w:tab w:val="num" w:pos="0"/>
        </w:tabs>
        <w:ind w:left="645" w:hanging="645"/>
      </w:pPr>
    </w:lvl>
    <w:lvl w:ilvl="1">
      <w:start w:val="3"/>
      <w:numFmt w:val="decimal"/>
      <w:lvlText w:val="%1.%2"/>
      <w:lvlJc w:val="left"/>
      <w:pPr>
        <w:tabs>
          <w:tab w:val="num" w:pos="0"/>
        </w:tabs>
        <w:ind w:left="724" w:hanging="720"/>
      </w:pPr>
    </w:lvl>
    <w:lvl w:ilvl="2">
      <w:start w:val="4"/>
      <w:numFmt w:val="decimal"/>
      <w:lvlText w:val="%1.%2.%3"/>
      <w:lvlJc w:val="left"/>
      <w:pPr>
        <w:tabs>
          <w:tab w:val="num" w:pos="0"/>
        </w:tabs>
        <w:ind w:left="728" w:hanging="720"/>
      </w:pPr>
    </w:lvl>
    <w:lvl w:ilvl="3">
      <w:start w:val="1"/>
      <w:numFmt w:val="decimal"/>
      <w:lvlText w:val="%1.%2.%3.%4"/>
      <w:lvlJc w:val="left"/>
      <w:pPr>
        <w:tabs>
          <w:tab w:val="num" w:pos="0"/>
        </w:tabs>
        <w:ind w:left="1092" w:hanging="1080"/>
      </w:pPr>
    </w:lvl>
    <w:lvl w:ilvl="4">
      <w:start w:val="1"/>
      <w:numFmt w:val="decimal"/>
      <w:lvlText w:val="%1.%2.%3.%4.%5"/>
      <w:lvlJc w:val="left"/>
      <w:pPr>
        <w:tabs>
          <w:tab w:val="num" w:pos="0"/>
        </w:tabs>
        <w:ind w:left="1456" w:hanging="1440"/>
      </w:pPr>
    </w:lvl>
    <w:lvl w:ilvl="5">
      <w:start w:val="1"/>
      <w:numFmt w:val="decimal"/>
      <w:lvlText w:val="%1.%2.%3.%4.%5.%6"/>
      <w:lvlJc w:val="left"/>
      <w:pPr>
        <w:tabs>
          <w:tab w:val="num" w:pos="0"/>
        </w:tabs>
        <w:ind w:left="1820" w:hanging="1800"/>
      </w:pPr>
    </w:lvl>
    <w:lvl w:ilvl="6">
      <w:start w:val="1"/>
      <w:numFmt w:val="decimal"/>
      <w:lvlText w:val="%1.%2.%3.%4.%5.%6.%7"/>
      <w:lvlJc w:val="left"/>
      <w:pPr>
        <w:tabs>
          <w:tab w:val="num" w:pos="0"/>
        </w:tabs>
        <w:ind w:left="1824" w:hanging="1800"/>
      </w:pPr>
    </w:lvl>
    <w:lvl w:ilvl="7">
      <w:start w:val="1"/>
      <w:numFmt w:val="decimal"/>
      <w:lvlText w:val="%1.%2.%3.%4.%5.%6.%7.%8"/>
      <w:lvlJc w:val="left"/>
      <w:pPr>
        <w:tabs>
          <w:tab w:val="num" w:pos="0"/>
        </w:tabs>
        <w:ind w:left="2188" w:hanging="2160"/>
      </w:pPr>
    </w:lvl>
    <w:lvl w:ilvl="8">
      <w:start w:val="1"/>
      <w:numFmt w:val="decimal"/>
      <w:lvlText w:val="%1.%2.%3.%4.%5.%6.%7.%8.%9"/>
      <w:lvlJc w:val="left"/>
      <w:pPr>
        <w:tabs>
          <w:tab w:val="num" w:pos="0"/>
        </w:tabs>
        <w:ind w:left="2552" w:hanging="2520"/>
      </w:p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7856E0"/>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AE6FB7"/>
    <w:multiLevelType w:val="hybridMultilevel"/>
    <w:tmpl w:val="8A7AD03E"/>
    <w:lvl w:ilvl="0" w:tplc="2000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B17328"/>
    <w:multiLevelType w:val="hybridMultilevel"/>
    <w:tmpl w:val="351AA1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0D60A85"/>
    <w:multiLevelType w:val="multilevel"/>
    <w:tmpl w:val="98D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C2EA0"/>
    <w:multiLevelType w:val="multilevel"/>
    <w:tmpl w:val="E82CA80E"/>
    <w:lvl w:ilvl="0">
      <w:start w:val="1"/>
      <w:numFmt w:val="bullet"/>
      <w:lvlText w:val="-"/>
      <w:lvlJc w:val="left"/>
      <w:pPr>
        <w:tabs>
          <w:tab w:val="num" w:pos="0"/>
        </w:tabs>
        <w:ind w:left="720" w:hanging="360"/>
      </w:pPr>
      <w:rPr>
        <w:rFonts w:ascii="Verdana" w:eastAsiaTheme="minorHAnsi" w:hAnsi="Verdana"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6106DED"/>
    <w:multiLevelType w:val="hybridMultilevel"/>
    <w:tmpl w:val="7D246900"/>
    <w:lvl w:ilvl="0" w:tplc="C664A47A">
      <w:start w:val="2"/>
      <w:numFmt w:val="bullet"/>
      <w:lvlText w:val="-"/>
      <w:lvlJc w:val="left"/>
      <w:pPr>
        <w:ind w:left="1080" w:hanging="360"/>
      </w:pPr>
      <w:rPr>
        <w:rFonts w:ascii="Verdana" w:eastAsiaTheme="minorHAnsi" w:hAnsi="Verdana"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56F53915"/>
    <w:multiLevelType w:val="hybridMultilevel"/>
    <w:tmpl w:val="75BC507E"/>
    <w:lvl w:ilvl="0" w:tplc="9C5047B6">
      <w:start w:val="202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E745D8"/>
    <w:multiLevelType w:val="multilevel"/>
    <w:tmpl w:val="C09A773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F53454"/>
    <w:multiLevelType w:val="multilevel"/>
    <w:tmpl w:val="920E8E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6695931"/>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6857274">
    <w:abstractNumId w:val="8"/>
  </w:num>
  <w:num w:numId="2" w16cid:durableId="693463901">
    <w:abstractNumId w:val="18"/>
  </w:num>
  <w:num w:numId="3" w16cid:durableId="821701795">
    <w:abstractNumId w:val="5"/>
  </w:num>
  <w:num w:numId="4" w16cid:durableId="1419017904">
    <w:abstractNumId w:val="1"/>
  </w:num>
  <w:num w:numId="5" w16cid:durableId="1097139959">
    <w:abstractNumId w:val="16"/>
  </w:num>
  <w:num w:numId="6" w16cid:durableId="2071610087">
    <w:abstractNumId w:val="7"/>
  </w:num>
  <w:num w:numId="7" w16cid:durableId="2107577626">
    <w:abstractNumId w:val="9"/>
  </w:num>
  <w:num w:numId="8" w16cid:durableId="1778521923">
    <w:abstractNumId w:val="5"/>
    <w:lvlOverride w:ilvl="0">
      <w:startOverride w:val="1"/>
    </w:lvlOverride>
  </w:num>
  <w:num w:numId="9" w16cid:durableId="2010212023">
    <w:abstractNumId w:val="4"/>
  </w:num>
  <w:num w:numId="10" w16cid:durableId="1521746232">
    <w:abstractNumId w:val="10"/>
  </w:num>
  <w:num w:numId="11" w16cid:durableId="1190950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5048064">
    <w:abstractNumId w:val="5"/>
  </w:num>
  <w:num w:numId="13" w16cid:durableId="607735705">
    <w:abstractNumId w:val="17"/>
  </w:num>
  <w:num w:numId="14" w16cid:durableId="246353209">
    <w:abstractNumId w:val="5"/>
  </w:num>
  <w:num w:numId="15" w16cid:durableId="438792381">
    <w:abstractNumId w:val="5"/>
  </w:num>
  <w:num w:numId="16" w16cid:durableId="1429961536">
    <w:abstractNumId w:val="0"/>
  </w:num>
  <w:num w:numId="17" w16cid:durableId="656954349">
    <w:abstractNumId w:val="14"/>
  </w:num>
  <w:num w:numId="18" w16cid:durableId="1868371592">
    <w:abstractNumId w:val="12"/>
  </w:num>
  <w:num w:numId="19" w16cid:durableId="1790582272">
    <w:abstractNumId w:val="6"/>
  </w:num>
  <w:num w:numId="20" w16cid:durableId="1307054224">
    <w:abstractNumId w:val="2"/>
  </w:num>
  <w:num w:numId="21" w16cid:durableId="1843550282">
    <w:abstractNumId w:val="15"/>
  </w:num>
  <w:num w:numId="22" w16cid:durableId="548341543">
    <w:abstractNumId w:val="5"/>
  </w:num>
  <w:num w:numId="23" w16cid:durableId="1681589232">
    <w:abstractNumId w:val="20"/>
  </w:num>
  <w:num w:numId="24" w16cid:durableId="1090659182">
    <w:abstractNumId w:val="5"/>
  </w:num>
  <w:num w:numId="25" w16cid:durableId="694967238">
    <w:abstractNumId w:val="5"/>
  </w:num>
  <w:num w:numId="26" w16cid:durableId="1560094187">
    <w:abstractNumId w:val="5"/>
  </w:num>
  <w:num w:numId="27" w16cid:durableId="439881608">
    <w:abstractNumId w:val="5"/>
  </w:num>
  <w:num w:numId="28" w16cid:durableId="2016616197">
    <w:abstractNumId w:val="11"/>
  </w:num>
  <w:num w:numId="29" w16cid:durableId="1282758860">
    <w:abstractNumId w:val="10"/>
  </w:num>
  <w:num w:numId="30" w16cid:durableId="168952307">
    <w:abstractNumId w:val="19"/>
  </w:num>
  <w:num w:numId="31" w16cid:durableId="1392264080">
    <w:abstractNumId w:val="5"/>
  </w:num>
  <w:num w:numId="32" w16cid:durableId="535393677">
    <w:abstractNumId w:val="5"/>
  </w:num>
  <w:num w:numId="33" w16cid:durableId="1797405513">
    <w:abstractNumId w:val="13"/>
  </w:num>
  <w:num w:numId="34" w16cid:durableId="1555384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36D"/>
    <w:rsid w:val="00022EC7"/>
    <w:rsid w:val="0002321D"/>
    <w:rsid w:val="00023F49"/>
    <w:rsid w:val="0002498D"/>
    <w:rsid w:val="00030009"/>
    <w:rsid w:val="0003441F"/>
    <w:rsid w:val="000373B2"/>
    <w:rsid w:val="00042CF5"/>
    <w:rsid w:val="00045E5E"/>
    <w:rsid w:val="00046928"/>
    <w:rsid w:val="000556C9"/>
    <w:rsid w:val="00056C26"/>
    <w:rsid w:val="0006001B"/>
    <w:rsid w:val="00060CA0"/>
    <w:rsid w:val="00063A26"/>
    <w:rsid w:val="000716A8"/>
    <w:rsid w:val="0008468B"/>
    <w:rsid w:val="000A23AA"/>
    <w:rsid w:val="000A468A"/>
    <w:rsid w:val="000A46C0"/>
    <w:rsid w:val="000A6422"/>
    <w:rsid w:val="000B0FBD"/>
    <w:rsid w:val="000C46E9"/>
    <w:rsid w:val="000C4EBC"/>
    <w:rsid w:val="000D0EB1"/>
    <w:rsid w:val="000D13EE"/>
    <w:rsid w:val="000D72DA"/>
    <w:rsid w:val="000F4728"/>
    <w:rsid w:val="000F7C47"/>
    <w:rsid w:val="00100726"/>
    <w:rsid w:val="0010770A"/>
    <w:rsid w:val="00107D9D"/>
    <w:rsid w:val="00112550"/>
    <w:rsid w:val="001127CD"/>
    <w:rsid w:val="001177D1"/>
    <w:rsid w:val="00124804"/>
    <w:rsid w:val="00136B62"/>
    <w:rsid w:val="0015136A"/>
    <w:rsid w:val="0015294B"/>
    <w:rsid w:val="00155011"/>
    <w:rsid w:val="00156EE3"/>
    <w:rsid w:val="0016192F"/>
    <w:rsid w:val="0016246C"/>
    <w:rsid w:val="00164A70"/>
    <w:rsid w:val="00170269"/>
    <w:rsid w:val="001729B2"/>
    <w:rsid w:val="0018252D"/>
    <w:rsid w:val="00183D04"/>
    <w:rsid w:val="00183E3B"/>
    <w:rsid w:val="001842D1"/>
    <w:rsid w:val="0018498A"/>
    <w:rsid w:val="00195524"/>
    <w:rsid w:val="00197B37"/>
    <w:rsid w:val="001A1B43"/>
    <w:rsid w:val="001A43E9"/>
    <w:rsid w:val="001A56F1"/>
    <w:rsid w:val="001B21B2"/>
    <w:rsid w:val="001B3A8D"/>
    <w:rsid w:val="001B4738"/>
    <w:rsid w:val="001B4CCC"/>
    <w:rsid w:val="001B71A4"/>
    <w:rsid w:val="001C147C"/>
    <w:rsid w:val="001D6D52"/>
    <w:rsid w:val="001E35DE"/>
    <w:rsid w:val="001E592A"/>
    <w:rsid w:val="00201AE9"/>
    <w:rsid w:val="00206E8F"/>
    <w:rsid w:val="0021063C"/>
    <w:rsid w:val="002116ED"/>
    <w:rsid w:val="00214D5A"/>
    <w:rsid w:val="00215683"/>
    <w:rsid w:val="00221E0B"/>
    <w:rsid w:val="0022240D"/>
    <w:rsid w:val="002242D3"/>
    <w:rsid w:val="002274FC"/>
    <w:rsid w:val="00227B22"/>
    <w:rsid w:val="00236E50"/>
    <w:rsid w:val="00253E85"/>
    <w:rsid w:val="00254C08"/>
    <w:rsid w:val="002662B2"/>
    <w:rsid w:val="00272D9E"/>
    <w:rsid w:val="00281C93"/>
    <w:rsid w:val="002839B8"/>
    <w:rsid w:val="0029209A"/>
    <w:rsid w:val="002A0933"/>
    <w:rsid w:val="002A096E"/>
    <w:rsid w:val="002A2BFB"/>
    <w:rsid w:val="002B62D4"/>
    <w:rsid w:val="002C56ED"/>
    <w:rsid w:val="002C6707"/>
    <w:rsid w:val="002D512A"/>
    <w:rsid w:val="002E7B15"/>
    <w:rsid w:val="002F5914"/>
    <w:rsid w:val="002F6004"/>
    <w:rsid w:val="00307035"/>
    <w:rsid w:val="003202A9"/>
    <w:rsid w:val="00333481"/>
    <w:rsid w:val="003376D1"/>
    <w:rsid w:val="00344FBE"/>
    <w:rsid w:val="003604B9"/>
    <w:rsid w:val="00360B33"/>
    <w:rsid w:val="0036287B"/>
    <w:rsid w:val="00365703"/>
    <w:rsid w:val="00367706"/>
    <w:rsid w:val="003772FB"/>
    <w:rsid w:val="00380B24"/>
    <w:rsid w:val="0038531E"/>
    <w:rsid w:val="00391152"/>
    <w:rsid w:val="0039341F"/>
    <w:rsid w:val="003953C5"/>
    <w:rsid w:val="003A0CE5"/>
    <w:rsid w:val="003A2E01"/>
    <w:rsid w:val="003A335B"/>
    <w:rsid w:val="003A3425"/>
    <w:rsid w:val="003A4ED0"/>
    <w:rsid w:val="003A506E"/>
    <w:rsid w:val="003A6631"/>
    <w:rsid w:val="003A6EEB"/>
    <w:rsid w:val="003A73E9"/>
    <w:rsid w:val="003B0954"/>
    <w:rsid w:val="003B2ADC"/>
    <w:rsid w:val="003C2538"/>
    <w:rsid w:val="003D485F"/>
    <w:rsid w:val="003D5328"/>
    <w:rsid w:val="003D7611"/>
    <w:rsid w:val="003E0417"/>
    <w:rsid w:val="003E5CCF"/>
    <w:rsid w:val="003F038B"/>
    <w:rsid w:val="003F1305"/>
    <w:rsid w:val="003F2170"/>
    <w:rsid w:val="003F4C68"/>
    <w:rsid w:val="003F7937"/>
    <w:rsid w:val="004019E7"/>
    <w:rsid w:val="00406CD3"/>
    <w:rsid w:val="00407172"/>
    <w:rsid w:val="0041278C"/>
    <w:rsid w:val="00414789"/>
    <w:rsid w:val="004167CA"/>
    <w:rsid w:val="00417683"/>
    <w:rsid w:val="004218E9"/>
    <w:rsid w:val="004234B8"/>
    <w:rsid w:val="0042442D"/>
    <w:rsid w:val="0042455B"/>
    <w:rsid w:val="00426673"/>
    <w:rsid w:val="00433CD5"/>
    <w:rsid w:val="00442532"/>
    <w:rsid w:val="00454457"/>
    <w:rsid w:val="004607F7"/>
    <w:rsid w:val="00462605"/>
    <w:rsid w:val="00480D04"/>
    <w:rsid w:val="0048229E"/>
    <w:rsid w:val="00487CED"/>
    <w:rsid w:val="00491281"/>
    <w:rsid w:val="00492737"/>
    <w:rsid w:val="0049438B"/>
    <w:rsid w:val="004A2698"/>
    <w:rsid w:val="004A27C7"/>
    <w:rsid w:val="004A4DA1"/>
    <w:rsid w:val="004A708D"/>
    <w:rsid w:val="004B16E5"/>
    <w:rsid w:val="004C6577"/>
    <w:rsid w:val="004C74DF"/>
    <w:rsid w:val="004D44A1"/>
    <w:rsid w:val="004D4729"/>
    <w:rsid w:val="004E5297"/>
    <w:rsid w:val="004E56C3"/>
    <w:rsid w:val="004F5C4B"/>
    <w:rsid w:val="004F687D"/>
    <w:rsid w:val="00511F93"/>
    <w:rsid w:val="00513A6A"/>
    <w:rsid w:val="00515A1D"/>
    <w:rsid w:val="00523ECE"/>
    <w:rsid w:val="00527180"/>
    <w:rsid w:val="0053773D"/>
    <w:rsid w:val="00543788"/>
    <w:rsid w:val="00547C67"/>
    <w:rsid w:val="005528DF"/>
    <w:rsid w:val="00556B7A"/>
    <w:rsid w:val="005611F7"/>
    <w:rsid w:val="005625CC"/>
    <w:rsid w:val="0056546F"/>
    <w:rsid w:val="00576329"/>
    <w:rsid w:val="00585186"/>
    <w:rsid w:val="00587A32"/>
    <w:rsid w:val="00597F09"/>
    <w:rsid w:val="005A3E13"/>
    <w:rsid w:val="005A7948"/>
    <w:rsid w:val="005B3350"/>
    <w:rsid w:val="005B3353"/>
    <w:rsid w:val="005B7D30"/>
    <w:rsid w:val="005C5AB0"/>
    <w:rsid w:val="005D5B1B"/>
    <w:rsid w:val="005E14AB"/>
    <w:rsid w:val="005E2F5F"/>
    <w:rsid w:val="005E4952"/>
    <w:rsid w:val="005E54D5"/>
    <w:rsid w:val="005E65F4"/>
    <w:rsid w:val="005E7D0E"/>
    <w:rsid w:val="005F0D98"/>
    <w:rsid w:val="005F3FED"/>
    <w:rsid w:val="005F4A14"/>
    <w:rsid w:val="006046C9"/>
    <w:rsid w:val="00607EBF"/>
    <w:rsid w:val="00620B90"/>
    <w:rsid w:val="00621943"/>
    <w:rsid w:val="00623E75"/>
    <w:rsid w:val="00624B5C"/>
    <w:rsid w:val="006250DE"/>
    <w:rsid w:val="00631BF9"/>
    <w:rsid w:val="006356AF"/>
    <w:rsid w:val="00636697"/>
    <w:rsid w:val="00650370"/>
    <w:rsid w:val="0065177D"/>
    <w:rsid w:val="00652699"/>
    <w:rsid w:val="006548BF"/>
    <w:rsid w:val="00654CFE"/>
    <w:rsid w:val="00660504"/>
    <w:rsid w:val="006609B8"/>
    <w:rsid w:val="0066387A"/>
    <w:rsid w:val="00671C05"/>
    <w:rsid w:val="00676356"/>
    <w:rsid w:val="00676D6F"/>
    <w:rsid w:val="00690895"/>
    <w:rsid w:val="00694B9C"/>
    <w:rsid w:val="006A30DD"/>
    <w:rsid w:val="006A4C6F"/>
    <w:rsid w:val="006A60DB"/>
    <w:rsid w:val="006A772F"/>
    <w:rsid w:val="006C0E5D"/>
    <w:rsid w:val="006C42E2"/>
    <w:rsid w:val="006C696D"/>
    <w:rsid w:val="006E219F"/>
    <w:rsid w:val="006E2D9E"/>
    <w:rsid w:val="006E3C85"/>
    <w:rsid w:val="006E469A"/>
    <w:rsid w:val="006F5C30"/>
    <w:rsid w:val="006F6D81"/>
    <w:rsid w:val="006F74B4"/>
    <w:rsid w:val="006F7AAD"/>
    <w:rsid w:val="00705325"/>
    <w:rsid w:val="0071410F"/>
    <w:rsid w:val="00715B6A"/>
    <w:rsid w:val="007210EC"/>
    <w:rsid w:val="0073304B"/>
    <w:rsid w:val="00733789"/>
    <w:rsid w:val="00733BF8"/>
    <w:rsid w:val="00734D35"/>
    <w:rsid w:val="00736609"/>
    <w:rsid w:val="0074235F"/>
    <w:rsid w:val="00742398"/>
    <w:rsid w:val="00743516"/>
    <w:rsid w:val="00745ECE"/>
    <w:rsid w:val="00746020"/>
    <w:rsid w:val="007508CC"/>
    <w:rsid w:val="00755DE5"/>
    <w:rsid w:val="00760405"/>
    <w:rsid w:val="00761F87"/>
    <w:rsid w:val="00763270"/>
    <w:rsid w:val="0077212B"/>
    <w:rsid w:val="00775835"/>
    <w:rsid w:val="0078076F"/>
    <w:rsid w:val="00783B45"/>
    <w:rsid w:val="00793469"/>
    <w:rsid w:val="007A4E86"/>
    <w:rsid w:val="007B1C8A"/>
    <w:rsid w:val="007B245C"/>
    <w:rsid w:val="007B6555"/>
    <w:rsid w:val="007C0665"/>
    <w:rsid w:val="007C141B"/>
    <w:rsid w:val="007C2097"/>
    <w:rsid w:val="007C505B"/>
    <w:rsid w:val="007C78FC"/>
    <w:rsid w:val="007D15DA"/>
    <w:rsid w:val="007E7EF3"/>
    <w:rsid w:val="00804D7A"/>
    <w:rsid w:val="00805FA4"/>
    <w:rsid w:val="0080777F"/>
    <w:rsid w:val="00816DAC"/>
    <w:rsid w:val="0082083E"/>
    <w:rsid w:val="0082762E"/>
    <w:rsid w:val="0083290E"/>
    <w:rsid w:val="00833A35"/>
    <w:rsid w:val="00834B94"/>
    <w:rsid w:val="008357BB"/>
    <w:rsid w:val="00843FF2"/>
    <w:rsid w:val="008453AB"/>
    <w:rsid w:val="00850DB5"/>
    <w:rsid w:val="00854EEA"/>
    <w:rsid w:val="008551DA"/>
    <w:rsid w:val="008573BA"/>
    <w:rsid w:val="008577F2"/>
    <w:rsid w:val="0086036A"/>
    <w:rsid w:val="0086101E"/>
    <w:rsid w:val="008629B5"/>
    <w:rsid w:val="00862A19"/>
    <w:rsid w:val="00863674"/>
    <w:rsid w:val="00866FC7"/>
    <w:rsid w:val="00873171"/>
    <w:rsid w:val="008739AF"/>
    <w:rsid w:val="00881D25"/>
    <w:rsid w:val="008867BE"/>
    <w:rsid w:val="008909B5"/>
    <w:rsid w:val="008A1133"/>
    <w:rsid w:val="008A3181"/>
    <w:rsid w:val="008A65AB"/>
    <w:rsid w:val="008B0472"/>
    <w:rsid w:val="008B1A22"/>
    <w:rsid w:val="008B1AAD"/>
    <w:rsid w:val="008D193F"/>
    <w:rsid w:val="008D6A3D"/>
    <w:rsid w:val="008D7908"/>
    <w:rsid w:val="008E6496"/>
    <w:rsid w:val="008E70AB"/>
    <w:rsid w:val="008F173C"/>
    <w:rsid w:val="00902F5E"/>
    <w:rsid w:val="00905A0D"/>
    <w:rsid w:val="00905C2C"/>
    <w:rsid w:val="009116DE"/>
    <w:rsid w:val="00913CB9"/>
    <w:rsid w:val="00915853"/>
    <w:rsid w:val="009242CD"/>
    <w:rsid w:val="00931BC8"/>
    <w:rsid w:val="009328EA"/>
    <w:rsid w:val="00933A89"/>
    <w:rsid w:val="00946CCD"/>
    <w:rsid w:val="009526D7"/>
    <w:rsid w:val="00955BB3"/>
    <w:rsid w:val="00960A70"/>
    <w:rsid w:val="00961DAA"/>
    <w:rsid w:val="009662CA"/>
    <w:rsid w:val="00974808"/>
    <w:rsid w:val="00974CFB"/>
    <w:rsid w:val="00977A3E"/>
    <w:rsid w:val="009845C1"/>
    <w:rsid w:val="009A38AD"/>
    <w:rsid w:val="009B06FC"/>
    <w:rsid w:val="009B1A44"/>
    <w:rsid w:val="009C3D43"/>
    <w:rsid w:val="009C4A8E"/>
    <w:rsid w:val="009C7E92"/>
    <w:rsid w:val="009D2F3A"/>
    <w:rsid w:val="009D681B"/>
    <w:rsid w:val="009E030F"/>
    <w:rsid w:val="009E5765"/>
    <w:rsid w:val="009E5A5B"/>
    <w:rsid w:val="009E5A84"/>
    <w:rsid w:val="009F09F3"/>
    <w:rsid w:val="009F5CB0"/>
    <w:rsid w:val="009F6177"/>
    <w:rsid w:val="009F79ED"/>
    <w:rsid w:val="00A11667"/>
    <w:rsid w:val="00A13072"/>
    <w:rsid w:val="00A138A1"/>
    <w:rsid w:val="00A142C7"/>
    <w:rsid w:val="00A148A1"/>
    <w:rsid w:val="00A20DD7"/>
    <w:rsid w:val="00A23319"/>
    <w:rsid w:val="00A2450B"/>
    <w:rsid w:val="00A31764"/>
    <w:rsid w:val="00A348E1"/>
    <w:rsid w:val="00A35697"/>
    <w:rsid w:val="00A36C09"/>
    <w:rsid w:val="00A37C9F"/>
    <w:rsid w:val="00A40FB5"/>
    <w:rsid w:val="00A42092"/>
    <w:rsid w:val="00A42493"/>
    <w:rsid w:val="00A45DF1"/>
    <w:rsid w:val="00A469FE"/>
    <w:rsid w:val="00A51AA5"/>
    <w:rsid w:val="00A53E0F"/>
    <w:rsid w:val="00A70123"/>
    <w:rsid w:val="00A70663"/>
    <w:rsid w:val="00A71718"/>
    <w:rsid w:val="00A71AA1"/>
    <w:rsid w:val="00A73750"/>
    <w:rsid w:val="00A73BFE"/>
    <w:rsid w:val="00A73F34"/>
    <w:rsid w:val="00A74438"/>
    <w:rsid w:val="00A76B07"/>
    <w:rsid w:val="00A81B98"/>
    <w:rsid w:val="00A81BFE"/>
    <w:rsid w:val="00A82AA5"/>
    <w:rsid w:val="00A82B43"/>
    <w:rsid w:val="00A851BF"/>
    <w:rsid w:val="00A90305"/>
    <w:rsid w:val="00A948D4"/>
    <w:rsid w:val="00A94CBF"/>
    <w:rsid w:val="00A97494"/>
    <w:rsid w:val="00AA17C1"/>
    <w:rsid w:val="00AA63A3"/>
    <w:rsid w:val="00AA74AB"/>
    <w:rsid w:val="00AB0FFE"/>
    <w:rsid w:val="00AB5EB7"/>
    <w:rsid w:val="00AB712D"/>
    <w:rsid w:val="00AC2A3E"/>
    <w:rsid w:val="00AC3CC8"/>
    <w:rsid w:val="00AC5499"/>
    <w:rsid w:val="00AD32F9"/>
    <w:rsid w:val="00AD4CCE"/>
    <w:rsid w:val="00AD4D97"/>
    <w:rsid w:val="00AD7403"/>
    <w:rsid w:val="00AE1177"/>
    <w:rsid w:val="00AE15C5"/>
    <w:rsid w:val="00AE2453"/>
    <w:rsid w:val="00AE4A93"/>
    <w:rsid w:val="00AF02AA"/>
    <w:rsid w:val="00AF2FDE"/>
    <w:rsid w:val="00AF4AE2"/>
    <w:rsid w:val="00B00115"/>
    <w:rsid w:val="00B05DFC"/>
    <w:rsid w:val="00B11D7A"/>
    <w:rsid w:val="00B13158"/>
    <w:rsid w:val="00B13907"/>
    <w:rsid w:val="00B22EC6"/>
    <w:rsid w:val="00B2572E"/>
    <w:rsid w:val="00B27119"/>
    <w:rsid w:val="00B36EEA"/>
    <w:rsid w:val="00B40EC9"/>
    <w:rsid w:val="00B44F01"/>
    <w:rsid w:val="00B452CA"/>
    <w:rsid w:val="00B571FA"/>
    <w:rsid w:val="00B6433A"/>
    <w:rsid w:val="00B64FC2"/>
    <w:rsid w:val="00B76B0F"/>
    <w:rsid w:val="00B82CC7"/>
    <w:rsid w:val="00B865DB"/>
    <w:rsid w:val="00B94A56"/>
    <w:rsid w:val="00BA4B55"/>
    <w:rsid w:val="00BC5500"/>
    <w:rsid w:val="00BD2DEA"/>
    <w:rsid w:val="00BE648C"/>
    <w:rsid w:val="00BE6CA3"/>
    <w:rsid w:val="00BF13F4"/>
    <w:rsid w:val="00BF4C0B"/>
    <w:rsid w:val="00BF58A7"/>
    <w:rsid w:val="00BF765A"/>
    <w:rsid w:val="00C02228"/>
    <w:rsid w:val="00C11C9C"/>
    <w:rsid w:val="00C12C93"/>
    <w:rsid w:val="00C13C93"/>
    <w:rsid w:val="00C14DA6"/>
    <w:rsid w:val="00C1575A"/>
    <w:rsid w:val="00C325F5"/>
    <w:rsid w:val="00C35ED7"/>
    <w:rsid w:val="00C3612B"/>
    <w:rsid w:val="00C3742B"/>
    <w:rsid w:val="00C43FB6"/>
    <w:rsid w:val="00C44506"/>
    <w:rsid w:val="00C457E8"/>
    <w:rsid w:val="00C45BFC"/>
    <w:rsid w:val="00C567C5"/>
    <w:rsid w:val="00C5712F"/>
    <w:rsid w:val="00C609B9"/>
    <w:rsid w:val="00C61D15"/>
    <w:rsid w:val="00C67327"/>
    <w:rsid w:val="00C91A58"/>
    <w:rsid w:val="00CA28AD"/>
    <w:rsid w:val="00CA6FC7"/>
    <w:rsid w:val="00CA73A9"/>
    <w:rsid w:val="00CD384B"/>
    <w:rsid w:val="00CD52EF"/>
    <w:rsid w:val="00CE2386"/>
    <w:rsid w:val="00CE415D"/>
    <w:rsid w:val="00CE42B4"/>
    <w:rsid w:val="00CE7347"/>
    <w:rsid w:val="00CF2450"/>
    <w:rsid w:val="00CF4ED9"/>
    <w:rsid w:val="00CF7687"/>
    <w:rsid w:val="00CF7A07"/>
    <w:rsid w:val="00D00045"/>
    <w:rsid w:val="00D05557"/>
    <w:rsid w:val="00D109F0"/>
    <w:rsid w:val="00D216A1"/>
    <w:rsid w:val="00D2497D"/>
    <w:rsid w:val="00D324FA"/>
    <w:rsid w:val="00D37487"/>
    <w:rsid w:val="00D424FF"/>
    <w:rsid w:val="00D42E6D"/>
    <w:rsid w:val="00D5274F"/>
    <w:rsid w:val="00D5308B"/>
    <w:rsid w:val="00D557DD"/>
    <w:rsid w:val="00D60761"/>
    <w:rsid w:val="00D61117"/>
    <w:rsid w:val="00D718BD"/>
    <w:rsid w:val="00D77712"/>
    <w:rsid w:val="00D8050E"/>
    <w:rsid w:val="00D83DEF"/>
    <w:rsid w:val="00D92FB5"/>
    <w:rsid w:val="00DA2B4A"/>
    <w:rsid w:val="00DA2EE0"/>
    <w:rsid w:val="00DA4009"/>
    <w:rsid w:val="00DA53DC"/>
    <w:rsid w:val="00DB78E4"/>
    <w:rsid w:val="00DC7986"/>
    <w:rsid w:val="00DD43DD"/>
    <w:rsid w:val="00DD723A"/>
    <w:rsid w:val="00DE1FBF"/>
    <w:rsid w:val="00DE5263"/>
    <w:rsid w:val="00DE6902"/>
    <w:rsid w:val="00DF05A1"/>
    <w:rsid w:val="00E11C79"/>
    <w:rsid w:val="00E2774E"/>
    <w:rsid w:val="00E32408"/>
    <w:rsid w:val="00E324EC"/>
    <w:rsid w:val="00E344E0"/>
    <w:rsid w:val="00E3543E"/>
    <w:rsid w:val="00E429A6"/>
    <w:rsid w:val="00E43101"/>
    <w:rsid w:val="00E47070"/>
    <w:rsid w:val="00E51DD6"/>
    <w:rsid w:val="00E52BBD"/>
    <w:rsid w:val="00E61F54"/>
    <w:rsid w:val="00E77CDC"/>
    <w:rsid w:val="00E80F6E"/>
    <w:rsid w:val="00E831DE"/>
    <w:rsid w:val="00E845D4"/>
    <w:rsid w:val="00EA2518"/>
    <w:rsid w:val="00EA259F"/>
    <w:rsid w:val="00EA380A"/>
    <w:rsid w:val="00EA6125"/>
    <w:rsid w:val="00EB1650"/>
    <w:rsid w:val="00EB20C7"/>
    <w:rsid w:val="00EB2C98"/>
    <w:rsid w:val="00EB38A5"/>
    <w:rsid w:val="00EB3DCF"/>
    <w:rsid w:val="00EB3F3D"/>
    <w:rsid w:val="00EB5011"/>
    <w:rsid w:val="00EB6D9E"/>
    <w:rsid w:val="00EC22CC"/>
    <w:rsid w:val="00EC2430"/>
    <w:rsid w:val="00EC36F7"/>
    <w:rsid w:val="00EC58D3"/>
    <w:rsid w:val="00EC63C8"/>
    <w:rsid w:val="00EC6E21"/>
    <w:rsid w:val="00ED07C0"/>
    <w:rsid w:val="00ED1185"/>
    <w:rsid w:val="00ED1F94"/>
    <w:rsid w:val="00ED30E8"/>
    <w:rsid w:val="00ED3D2A"/>
    <w:rsid w:val="00ED6B69"/>
    <w:rsid w:val="00ED77E4"/>
    <w:rsid w:val="00EE085E"/>
    <w:rsid w:val="00EE2211"/>
    <w:rsid w:val="00EE34F4"/>
    <w:rsid w:val="00EE4D6A"/>
    <w:rsid w:val="00EF22A4"/>
    <w:rsid w:val="00F003A3"/>
    <w:rsid w:val="00F00C50"/>
    <w:rsid w:val="00F01B64"/>
    <w:rsid w:val="00F025BC"/>
    <w:rsid w:val="00F060FC"/>
    <w:rsid w:val="00F12B14"/>
    <w:rsid w:val="00F13A29"/>
    <w:rsid w:val="00F14429"/>
    <w:rsid w:val="00F14443"/>
    <w:rsid w:val="00F1472B"/>
    <w:rsid w:val="00F20BBD"/>
    <w:rsid w:val="00F26658"/>
    <w:rsid w:val="00F33FDB"/>
    <w:rsid w:val="00F34A73"/>
    <w:rsid w:val="00F3688F"/>
    <w:rsid w:val="00F36C98"/>
    <w:rsid w:val="00F37BB2"/>
    <w:rsid w:val="00F43983"/>
    <w:rsid w:val="00F44CDF"/>
    <w:rsid w:val="00F46FE5"/>
    <w:rsid w:val="00F5027E"/>
    <w:rsid w:val="00F510C3"/>
    <w:rsid w:val="00F51750"/>
    <w:rsid w:val="00F54EA0"/>
    <w:rsid w:val="00F71F8D"/>
    <w:rsid w:val="00F81965"/>
    <w:rsid w:val="00F827C5"/>
    <w:rsid w:val="00F87CC7"/>
    <w:rsid w:val="00F92844"/>
    <w:rsid w:val="00F96812"/>
    <w:rsid w:val="00F96EE9"/>
    <w:rsid w:val="00F97508"/>
    <w:rsid w:val="00FA07F3"/>
    <w:rsid w:val="00FA0C43"/>
    <w:rsid w:val="00FA1E3E"/>
    <w:rsid w:val="00FB40DA"/>
    <w:rsid w:val="00FB4231"/>
    <w:rsid w:val="00FC1D31"/>
    <w:rsid w:val="00FC30F8"/>
    <w:rsid w:val="00FC4FBC"/>
    <w:rsid w:val="00FC5C38"/>
    <w:rsid w:val="00FE0298"/>
    <w:rsid w:val="00FE285D"/>
    <w:rsid w:val="00FE5DB0"/>
    <w:rsid w:val="00FE63A1"/>
    <w:rsid w:val="00FE642F"/>
    <w:rsid w:val="00FF554E"/>
    <w:rsid w:val="00FF6FCF"/>
    <w:rsid w:val="084711BD"/>
    <w:rsid w:val="0C101541"/>
    <w:rsid w:val="29505BF4"/>
    <w:rsid w:val="2A502D52"/>
    <w:rsid w:val="3E640311"/>
    <w:rsid w:val="4B0A59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Bullet point,List Paragraph niveau 1,sous titre 2,En tête 1,Liste 1,style11,Graph &amp; Table tite,Table/Figure Heading,Bullets,Paragraphe  revu,Numbered Paragraph,Main numbered paragraph,References,Numbered 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Bullet point Car,List Paragraph niveau 1 Car,sous titre 2 Car,En tête 1 Car,Liste 1 Car,style11 Car,Graph &amp; Table tite Car,Table/Figure Heading Car,Bullets Car,Paragraphe  revu Car,Numbered Paragraph Car,References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156EE3"/>
    <w:rPr>
      <w:color w:val="0563C1" w:themeColor="hyperlink"/>
      <w:u w:val="single"/>
    </w:rPr>
  </w:style>
  <w:style w:type="character" w:styleId="Mentionnonrsolue">
    <w:name w:val="Unresolved Mention"/>
    <w:basedOn w:val="Policepardfaut"/>
    <w:uiPriority w:val="99"/>
    <w:semiHidden/>
    <w:unhideWhenUsed/>
    <w:rsid w:val="00156EE3"/>
    <w:rPr>
      <w:color w:val="605E5C"/>
      <w:shd w:val="clear" w:color="auto" w:fill="E1DFDD"/>
    </w:rPr>
  </w:style>
  <w:style w:type="paragraph" w:styleId="NormalWeb">
    <w:name w:val="Normal (Web)"/>
    <w:basedOn w:val="Normal"/>
    <w:uiPriority w:val="99"/>
    <w:semiHidden/>
    <w:unhideWhenUsed/>
    <w:rsid w:val="000D72DA"/>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AE1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541">
      <w:bodyDiv w:val="1"/>
      <w:marLeft w:val="0"/>
      <w:marRight w:val="0"/>
      <w:marTop w:val="0"/>
      <w:marBottom w:val="0"/>
      <w:divBdr>
        <w:top w:val="none" w:sz="0" w:space="0" w:color="auto"/>
        <w:left w:val="none" w:sz="0" w:space="0" w:color="auto"/>
        <w:bottom w:val="none" w:sz="0" w:space="0" w:color="auto"/>
        <w:right w:val="none" w:sz="0" w:space="0" w:color="auto"/>
      </w:divBdr>
    </w:div>
    <w:div w:id="288780226">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13597965">
      <w:bodyDiv w:val="1"/>
      <w:marLeft w:val="0"/>
      <w:marRight w:val="0"/>
      <w:marTop w:val="0"/>
      <w:marBottom w:val="0"/>
      <w:divBdr>
        <w:top w:val="none" w:sz="0" w:space="0" w:color="auto"/>
        <w:left w:val="none" w:sz="0" w:space="0" w:color="auto"/>
        <w:bottom w:val="none" w:sz="0" w:space="0" w:color="auto"/>
        <w:right w:val="none" w:sz="0" w:space="0" w:color="auto"/>
      </w:divBdr>
    </w:div>
    <w:div w:id="547834755">
      <w:bodyDiv w:val="1"/>
      <w:marLeft w:val="0"/>
      <w:marRight w:val="0"/>
      <w:marTop w:val="0"/>
      <w:marBottom w:val="0"/>
      <w:divBdr>
        <w:top w:val="none" w:sz="0" w:space="0" w:color="auto"/>
        <w:left w:val="none" w:sz="0" w:space="0" w:color="auto"/>
        <w:bottom w:val="none" w:sz="0" w:space="0" w:color="auto"/>
        <w:right w:val="none" w:sz="0" w:space="0" w:color="auto"/>
      </w:divBdr>
    </w:div>
    <w:div w:id="584270453">
      <w:bodyDiv w:val="1"/>
      <w:marLeft w:val="0"/>
      <w:marRight w:val="0"/>
      <w:marTop w:val="0"/>
      <w:marBottom w:val="0"/>
      <w:divBdr>
        <w:top w:val="none" w:sz="0" w:space="0" w:color="auto"/>
        <w:left w:val="none" w:sz="0" w:space="0" w:color="auto"/>
        <w:bottom w:val="none" w:sz="0" w:space="0" w:color="auto"/>
        <w:right w:val="none" w:sz="0" w:space="0" w:color="auto"/>
      </w:divBdr>
    </w:div>
    <w:div w:id="595480606">
      <w:bodyDiv w:val="1"/>
      <w:marLeft w:val="0"/>
      <w:marRight w:val="0"/>
      <w:marTop w:val="0"/>
      <w:marBottom w:val="0"/>
      <w:divBdr>
        <w:top w:val="none" w:sz="0" w:space="0" w:color="auto"/>
        <w:left w:val="none" w:sz="0" w:space="0" w:color="auto"/>
        <w:bottom w:val="none" w:sz="0" w:space="0" w:color="auto"/>
        <w:right w:val="none" w:sz="0" w:space="0" w:color="auto"/>
      </w:divBdr>
    </w:div>
    <w:div w:id="702293248">
      <w:bodyDiv w:val="1"/>
      <w:marLeft w:val="0"/>
      <w:marRight w:val="0"/>
      <w:marTop w:val="0"/>
      <w:marBottom w:val="0"/>
      <w:divBdr>
        <w:top w:val="none" w:sz="0" w:space="0" w:color="auto"/>
        <w:left w:val="none" w:sz="0" w:space="0" w:color="auto"/>
        <w:bottom w:val="none" w:sz="0" w:space="0" w:color="auto"/>
        <w:right w:val="none" w:sz="0" w:space="0" w:color="auto"/>
      </w:divBdr>
    </w:div>
    <w:div w:id="1025015046">
      <w:bodyDiv w:val="1"/>
      <w:marLeft w:val="0"/>
      <w:marRight w:val="0"/>
      <w:marTop w:val="0"/>
      <w:marBottom w:val="0"/>
      <w:divBdr>
        <w:top w:val="none" w:sz="0" w:space="0" w:color="auto"/>
        <w:left w:val="none" w:sz="0" w:space="0" w:color="auto"/>
        <w:bottom w:val="none" w:sz="0" w:space="0" w:color="auto"/>
        <w:right w:val="none" w:sz="0" w:space="0" w:color="auto"/>
      </w:divBdr>
    </w:div>
    <w:div w:id="1406226210">
      <w:bodyDiv w:val="1"/>
      <w:marLeft w:val="0"/>
      <w:marRight w:val="0"/>
      <w:marTop w:val="0"/>
      <w:marBottom w:val="0"/>
      <w:divBdr>
        <w:top w:val="none" w:sz="0" w:space="0" w:color="auto"/>
        <w:left w:val="none" w:sz="0" w:space="0" w:color="auto"/>
        <w:bottom w:val="none" w:sz="0" w:space="0" w:color="auto"/>
        <w:right w:val="none" w:sz="0" w:space="0" w:color="auto"/>
      </w:divBdr>
    </w:div>
    <w:div w:id="1605839827">
      <w:bodyDiv w:val="1"/>
      <w:marLeft w:val="0"/>
      <w:marRight w:val="0"/>
      <w:marTop w:val="0"/>
      <w:marBottom w:val="0"/>
      <w:divBdr>
        <w:top w:val="none" w:sz="0" w:space="0" w:color="auto"/>
        <w:left w:val="none" w:sz="0" w:space="0" w:color="auto"/>
        <w:bottom w:val="none" w:sz="0" w:space="0" w:color="auto"/>
        <w:right w:val="none" w:sz="0" w:space="0" w:color="auto"/>
      </w:divBdr>
    </w:div>
    <w:div w:id="1629168666">
      <w:bodyDiv w:val="1"/>
      <w:marLeft w:val="0"/>
      <w:marRight w:val="0"/>
      <w:marTop w:val="0"/>
      <w:marBottom w:val="0"/>
      <w:divBdr>
        <w:top w:val="none" w:sz="0" w:space="0" w:color="auto"/>
        <w:left w:val="none" w:sz="0" w:space="0" w:color="auto"/>
        <w:bottom w:val="none" w:sz="0" w:space="0" w:color="auto"/>
        <w:right w:val="none" w:sz="0" w:space="0" w:color="auto"/>
      </w:divBdr>
    </w:div>
    <w:div w:id="1922442281">
      <w:bodyDiv w:val="1"/>
      <w:marLeft w:val="0"/>
      <w:marRight w:val="0"/>
      <w:marTop w:val="0"/>
      <w:marBottom w:val="0"/>
      <w:divBdr>
        <w:top w:val="none" w:sz="0" w:space="0" w:color="auto"/>
        <w:left w:val="none" w:sz="0" w:space="0" w:color="auto"/>
        <w:bottom w:val="none" w:sz="0" w:space="0" w:color="auto"/>
        <w:right w:val="none" w:sz="0" w:space="0" w:color="auto"/>
      </w:divBdr>
    </w:div>
    <w:div w:id="2130933672">
      <w:bodyDiv w:val="1"/>
      <w:marLeft w:val="0"/>
      <w:marRight w:val="0"/>
      <w:marTop w:val="0"/>
      <w:marBottom w:val="0"/>
      <w:divBdr>
        <w:top w:val="none" w:sz="0" w:space="0" w:color="auto"/>
        <w:left w:val="none" w:sz="0" w:space="0" w:color="auto"/>
        <w:bottom w:val="none" w:sz="0" w:space="0" w:color="auto"/>
        <w:right w:val="none" w:sz="0" w:space="0" w:color="auto"/>
      </w:divBdr>
    </w:div>
    <w:div w:id="21391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5F89A53FC26438C12D3B0E6AE3539" ma:contentTypeVersion="12" ma:contentTypeDescription="Create a new document." ma:contentTypeScope="" ma:versionID="f19c7ec5e70a2d7b1aaf8087e552b7a7">
  <xsd:schema xmlns:xsd="http://www.w3.org/2001/XMLSchema" xmlns:xs="http://www.w3.org/2001/XMLSchema" xmlns:p="http://schemas.microsoft.com/office/2006/metadata/properties" xmlns:ns2="b610b3e2-9218-4b5f-aa42-ae42b433a612" xmlns:ns3="4d8e5188-369a-4cb2-b081-5715404a7824" targetNamespace="http://schemas.microsoft.com/office/2006/metadata/properties" ma:root="true" ma:fieldsID="4ed801a434d475e5de27c73d4e7dceb5" ns2:_="" ns3:_="">
    <xsd:import namespace="b610b3e2-9218-4b5f-aa42-ae42b433a612"/>
    <xsd:import namespace="4d8e5188-369a-4cb2-b081-5715404a78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b3e2-9218-4b5f-aa42-ae42b433a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8e5188-369a-4cb2-b081-5715404a78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1c1d8a-2b53-4986-8a2d-c27f7b3e4b6c}" ma:internalName="TaxCatchAll" ma:showField="CatchAllData" ma:web="4d8e5188-369a-4cb2-b081-5715404a7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b3e2-9218-4b5f-aa42-ae42b433a612">
      <Terms xmlns="http://schemas.microsoft.com/office/infopath/2007/PartnerControls"/>
    </lcf76f155ced4ddcb4097134ff3c332f>
    <TaxCatchAll xmlns="4d8e5188-369a-4cb2-b081-5715404a7824" xsi:nil="true"/>
  </documentManagement>
</p:properties>
</file>

<file path=customXml/itemProps1.xml><?xml version="1.0" encoding="utf-8"?>
<ds:datastoreItem xmlns:ds="http://schemas.openxmlformats.org/officeDocument/2006/customXml" ds:itemID="{C5162BBC-579B-49AC-BB47-4C5D6DF1E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b3e2-9218-4b5f-aa42-ae42b433a612"/>
    <ds:schemaRef ds:uri="4d8e5188-369a-4cb2-b081-5715404a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4397C-1179-4D64-9388-8C68649CBD6E}">
  <ds:schemaRefs>
    <ds:schemaRef ds:uri="http://schemas.microsoft.com/sharepoint/v3/contenttype/forms"/>
  </ds:schemaRefs>
</ds:datastoreItem>
</file>

<file path=customXml/itemProps3.xml><?xml version="1.0" encoding="utf-8"?>
<ds:datastoreItem xmlns:ds="http://schemas.openxmlformats.org/officeDocument/2006/customXml" ds:itemID="{98098F0B-D2DB-42F2-9278-9AA1D69907AB}">
  <ds:schemaRefs>
    <ds:schemaRef ds:uri="http://schemas.microsoft.com/office/2006/metadata/properties"/>
    <ds:schemaRef ds:uri="http://schemas.microsoft.com/office/infopath/2007/PartnerControls"/>
    <ds:schemaRef ds:uri="b610b3e2-9218-4b5f-aa42-ae42b433a612"/>
    <ds:schemaRef ds:uri="4d8e5188-369a-4cb2-b081-5715404a782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1545</Words>
  <Characters>8330</Characters>
  <Application>Microsoft Office Word</Application>
  <DocSecurity>0</DocSecurity>
  <Lines>166</Lines>
  <Paragraphs>71</Paragraphs>
  <ScaleCrop>false</ScaleCrop>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2026-04-28T10:30:00Z</dcterms:created>
  <dcterms:modified xsi:type="dcterms:W3CDTF">2026-04-28T10:30:00Z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0x010100B555F89A53FC26438C12D3B0E6AE3539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