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C46BB1">
      <w:pPr>
        <w:jc w:val="center"/>
        <w:rPr>
          <w:rFonts w:ascii="Verdana" w:hAnsi="Verdana"/>
          <w:b/>
          <w:bCs/>
          <w:sz w:val="2"/>
          <w:szCs w:val="2"/>
        </w:rPr>
      </w:pPr>
    </w:p>
    <w:tbl>
      <w:tblPr>
        <w:tblStyle w:val="TableGrid"/>
        <w:tblW w:w="0" w:type="auto"/>
        <w:tblLook w:val="04A0" w:firstRow="1" w:lastRow="0" w:firstColumn="1" w:lastColumn="0" w:noHBand="0" w:noVBand="1"/>
      </w:tblPr>
      <w:tblGrid>
        <w:gridCol w:w="7225"/>
        <w:gridCol w:w="1837"/>
      </w:tblGrid>
      <w:tr w:rsidR="00EC22CC" w14:paraId="51109D41" w14:textId="77777777" w:rsidTr="0E5E68CC">
        <w:tc>
          <w:tcPr>
            <w:tcW w:w="9062" w:type="dxa"/>
            <w:gridSpan w:val="2"/>
          </w:tcPr>
          <w:p w14:paraId="6FC76F95" w14:textId="4D353FDB" w:rsidR="00EC22CC" w:rsidRDefault="00473567" w:rsidP="00C46BB1">
            <w:pPr>
              <w:jc w:val="center"/>
              <w:rPr>
                <w:rFonts w:ascii="Verdana" w:hAnsi="Verdana"/>
                <w:b/>
                <w:bCs/>
                <w:sz w:val="20"/>
                <w:szCs w:val="20"/>
              </w:rPr>
            </w:pPr>
            <w:r>
              <w:rPr>
                <w:rFonts w:ascii="Verdana" w:hAnsi="Verdana"/>
                <w:b/>
                <w:bCs/>
                <w:sz w:val="20"/>
                <w:szCs w:val="20"/>
              </w:rPr>
              <w:t>Unité de communication</w:t>
            </w:r>
          </w:p>
        </w:tc>
      </w:tr>
      <w:tr w:rsidR="00EC22CC" w14:paraId="7F1B63D2" w14:textId="77777777" w:rsidTr="0E5E68CC">
        <w:tc>
          <w:tcPr>
            <w:tcW w:w="7225" w:type="dxa"/>
          </w:tcPr>
          <w:p w14:paraId="056D9B10" w14:textId="104ECC51" w:rsidR="00EC22CC" w:rsidRPr="002A096E" w:rsidRDefault="00473567" w:rsidP="00C46BB1">
            <w:pPr>
              <w:rPr>
                <w:rFonts w:ascii="Verdana" w:hAnsi="Verdana"/>
                <w:sz w:val="20"/>
                <w:szCs w:val="20"/>
              </w:rPr>
            </w:pPr>
            <w:r w:rsidRPr="0E5E68CC">
              <w:rPr>
                <w:rFonts w:ascii="Verdana" w:hAnsi="Verdana"/>
                <w:sz w:val="20"/>
                <w:szCs w:val="20"/>
              </w:rPr>
              <w:t xml:space="preserve">Comité des OPL </w:t>
            </w:r>
            <w:r w:rsidR="00045468" w:rsidRPr="0E5E68CC">
              <w:rPr>
                <w:rFonts w:ascii="Verdana" w:hAnsi="Verdana"/>
                <w:sz w:val="20"/>
                <w:szCs w:val="20"/>
              </w:rPr>
              <w:t>0</w:t>
            </w:r>
            <w:r w:rsidR="002906AC" w:rsidRPr="0E5E68CC">
              <w:rPr>
                <w:rFonts w:ascii="Verdana" w:hAnsi="Verdana"/>
                <w:sz w:val="20"/>
                <w:szCs w:val="20"/>
              </w:rPr>
              <w:t>2/2</w:t>
            </w:r>
            <w:r w:rsidR="00EF3BCD" w:rsidRPr="0E5E68CC">
              <w:rPr>
                <w:rFonts w:ascii="Verdana" w:hAnsi="Verdana"/>
                <w:sz w:val="20"/>
                <w:szCs w:val="20"/>
              </w:rPr>
              <w:t>6</w:t>
            </w:r>
            <w:r w:rsidR="00045468" w:rsidRPr="0E5E68CC">
              <w:rPr>
                <w:rFonts w:ascii="Verdana" w:hAnsi="Verdana"/>
                <w:sz w:val="20"/>
                <w:szCs w:val="20"/>
              </w:rPr>
              <w:t xml:space="preserve"> </w:t>
            </w:r>
            <w:r>
              <w:softHyphen/>
            </w:r>
            <w:r w:rsidR="00045468" w:rsidRPr="0E5E68CC">
              <w:rPr>
                <w:rFonts w:ascii="Verdana" w:hAnsi="Verdana"/>
                <w:sz w:val="20"/>
                <w:szCs w:val="20"/>
              </w:rPr>
              <w:t xml:space="preserve">| </w:t>
            </w:r>
            <w:r w:rsidR="00EF3BCD" w:rsidRPr="0E5E68CC">
              <w:rPr>
                <w:rFonts w:ascii="Verdana" w:hAnsi="Verdana"/>
                <w:sz w:val="20"/>
                <w:szCs w:val="20"/>
              </w:rPr>
              <w:t xml:space="preserve">05-07 mai </w:t>
            </w:r>
            <w:r w:rsidR="002906AC" w:rsidRPr="0E5E68CC">
              <w:rPr>
                <w:rFonts w:ascii="Verdana" w:hAnsi="Verdana"/>
                <w:sz w:val="20"/>
                <w:szCs w:val="20"/>
              </w:rPr>
              <w:t>202</w:t>
            </w:r>
            <w:r w:rsidR="7CF1CEC5" w:rsidRPr="0E5E68CC">
              <w:rPr>
                <w:rFonts w:ascii="Verdana" w:hAnsi="Verdana"/>
                <w:sz w:val="20"/>
                <w:szCs w:val="20"/>
              </w:rPr>
              <w:t>6</w:t>
            </w:r>
          </w:p>
        </w:tc>
        <w:tc>
          <w:tcPr>
            <w:tcW w:w="1837" w:type="dxa"/>
          </w:tcPr>
          <w:p w14:paraId="58E25D1F" w14:textId="23166C86" w:rsidR="00EC22CC" w:rsidRPr="002A0933" w:rsidRDefault="002A096E" w:rsidP="00C46BB1">
            <w:pPr>
              <w:jc w:val="center"/>
              <w:rPr>
                <w:rFonts w:ascii="Verdana" w:hAnsi="Verdana"/>
                <w:sz w:val="20"/>
                <w:szCs w:val="20"/>
              </w:rPr>
            </w:pPr>
            <w:r w:rsidRPr="002A0933">
              <w:rPr>
                <w:rFonts w:ascii="Verdana" w:hAnsi="Verdana"/>
                <w:sz w:val="20"/>
                <w:szCs w:val="20"/>
              </w:rPr>
              <w:t xml:space="preserve">Point </w:t>
            </w:r>
            <w:r w:rsidR="00045468">
              <w:rPr>
                <w:rFonts w:ascii="Verdana" w:hAnsi="Verdana"/>
                <w:sz w:val="20"/>
                <w:szCs w:val="20"/>
              </w:rPr>
              <w:t>3.</w:t>
            </w:r>
            <w:r w:rsidR="00EF3BCD">
              <w:rPr>
                <w:rFonts w:ascii="Verdana" w:hAnsi="Verdana"/>
                <w:sz w:val="20"/>
                <w:szCs w:val="20"/>
              </w:rPr>
              <w:t>12</w:t>
            </w:r>
            <w:r w:rsidR="00045468">
              <w:rPr>
                <w:rFonts w:ascii="Verdana" w:hAnsi="Verdana"/>
                <w:sz w:val="20"/>
                <w:szCs w:val="20"/>
              </w:rPr>
              <w:t>.</w:t>
            </w:r>
          </w:p>
        </w:tc>
      </w:tr>
      <w:tr w:rsidR="00EC22CC" w14:paraId="537D1DE5" w14:textId="77777777" w:rsidTr="0E5E68CC">
        <w:tc>
          <w:tcPr>
            <w:tcW w:w="7225" w:type="dxa"/>
          </w:tcPr>
          <w:p w14:paraId="43DEF09E" w14:textId="17FAAB52" w:rsidR="00EC22CC" w:rsidRPr="00A37C9F" w:rsidRDefault="00A148A1" w:rsidP="00C46BB1">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73567">
              <w:rPr>
                <w:rFonts w:ascii="Verdana" w:hAnsi="Verdana"/>
                <w:sz w:val="20"/>
                <w:szCs w:val="20"/>
              </w:rPr>
              <w:t>Gilles Ribouet, responsable de la communication</w:t>
            </w:r>
          </w:p>
        </w:tc>
        <w:tc>
          <w:tcPr>
            <w:tcW w:w="1837" w:type="dxa"/>
          </w:tcPr>
          <w:p w14:paraId="5AC1AFAB" w14:textId="1F3B021C" w:rsidR="00EC22CC" w:rsidRPr="002A0933" w:rsidRDefault="00EF3BCD" w:rsidP="00C46BB1">
            <w:pPr>
              <w:jc w:val="center"/>
              <w:rPr>
                <w:rFonts w:ascii="Verdana" w:hAnsi="Verdana"/>
                <w:sz w:val="20"/>
                <w:szCs w:val="20"/>
              </w:rPr>
            </w:pPr>
            <w:r>
              <w:rPr>
                <w:rFonts w:ascii="Verdana" w:hAnsi="Verdana"/>
                <w:sz w:val="20"/>
                <w:szCs w:val="20"/>
              </w:rPr>
              <w:t>Décision</w:t>
            </w:r>
          </w:p>
        </w:tc>
      </w:tr>
      <w:tr w:rsidR="00A90305" w14:paraId="6896DB30" w14:textId="77777777" w:rsidTr="0E5E68CC">
        <w:tc>
          <w:tcPr>
            <w:tcW w:w="9062" w:type="dxa"/>
            <w:gridSpan w:val="2"/>
          </w:tcPr>
          <w:p w14:paraId="0495241B" w14:textId="3A01058F" w:rsidR="00A90305" w:rsidRDefault="00A90305" w:rsidP="00C46BB1">
            <w:pPr>
              <w:rPr>
                <w:rFonts w:ascii="Verdana" w:hAnsi="Verdana"/>
                <w:sz w:val="20"/>
                <w:szCs w:val="20"/>
              </w:rPr>
            </w:pPr>
            <w:r w:rsidRPr="0E5E68CC">
              <w:rPr>
                <w:rFonts w:ascii="Verdana" w:hAnsi="Verdana"/>
                <w:i/>
                <w:iCs/>
                <w:sz w:val="20"/>
                <w:szCs w:val="20"/>
              </w:rPr>
              <w:t xml:space="preserve">Version </w:t>
            </w:r>
            <w:r w:rsidR="002906AC" w:rsidRPr="0E5E68CC">
              <w:rPr>
                <w:rFonts w:ascii="Verdana" w:hAnsi="Verdana"/>
                <w:i/>
                <w:iCs/>
                <w:sz w:val="20"/>
                <w:szCs w:val="20"/>
              </w:rPr>
              <w:t xml:space="preserve">du </w:t>
            </w:r>
            <w:r w:rsidR="00EF3BCD" w:rsidRPr="0E5E68CC">
              <w:rPr>
                <w:rFonts w:ascii="Verdana" w:hAnsi="Verdana"/>
                <w:i/>
                <w:iCs/>
                <w:sz w:val="20"/>
                <w:szCs w:val="20"/>
              </w:rPr>
              <w:t>22 avril</w:t>
            </w:r>
            <w:r w:rsidR="00A757F4" w:rsidRPr="0E5E68CC">
              <w:rPr>
                <w:rFonts w:ascii="Verdana" w:hAnsi="Verdana"/>
                <w:i/>
                <w:iCs/>
                <w:sz w:val="20"/>
                <w:szCs w:val="20"/>
              </w:rPr>
              <w:t xml:space="preserve"> 202</w:t>
            </w:r>
            <w:r w:rsidR="4AF892EF" w:rsidRPr="0E5E68CC">
              <w:rPr>
                <w:rFonts w:ascii="Verdana" w:hAnsi="Verdana"/>
                <w:i/>
                <w:iCs/>
                <w:sz w:val="20"/>
                <w:szCs w:val="20"/>
              </w:rPr>
              <w:t>6</w:t>
            </w:r>
          </w:p>
        </w:tc>
      </w:tr>
    </w:tbl>
    <w:p w14:paraId="1611BCC4" w14:textId="77777777" w:rsidR="00854EEA" w:rsidRPr="00DB4056" w:rsidRDefault="00854EEA" w:rsidP="00C46BB1">
      <w:pPr>
        <w:pStyle w:val="Paragraphe"/>
        <w:rPr>
          <w:sz w:val="2"/>
          <w:szCs w:val="2"/>
        </w:rPr>
      </w:pPr>
      <w:bookmarkStart w:id="0" w:name="_Hlk24535240"/>
    </w:p>
    <w:p w14:paraId="678F0DFC" w14:textId="3923B394" w:rsidR="00854EEA" w:rsidRPr="0008468B" w:rsidRDefault="00955BB3" w:rsidP="00C46BB1">
      <w:pPr>
        <w:pStyle w:val="Titrepartie"/>
        <w:contextualSpacing w:val="0"/>
      </w:pPr>
      <w:r w:rsidRPr="0008468B">
        <w:t>Résumé</w:t>
      </w:r>
    </w:p>
    <w:p w14:paraId="32D1D0AC" w14:textId="77777777" w:rsidR="000A44A6" w:rsidRDefault="00595504" w:rsidP="00092C2B">
      <w:pPr>
        <w:jc w:val="both"/>
        <w:rPr>
          <w:rFonts w:ascii="Verdana" w:hAnsi="Verdana"/>
          <w:sz w:val="20"/>
          <w:szCs w:val="20"/>
        </w:rPr>
      </w:pPr>
      <w:r w:rsidRPr="00595504">
        <w:rPr>
          <w:rFonts w:ascii="Verdana" w:hAnsi="Verdana"/>
          <w:sz w:val="20"/>
          <w:szCs w:val="20"/>
        </w:rPr>
        <w:t xml:space="preserve">Cette fiche présente les activités mises en œuvre ou supervisées par l’unité de communication du Secrétariat général en lien avec chacun </w:t>
      </w:r>
      <w:r w:rsidR="00092C2B">
        <w:rPr>
          <w:rFonts w:ascii="Verdana" w:hAnsi="Verdana"/>
          <w:sz w:val="20"/>
          <w:szCs w:val="20"/>
        </w:rPr>
        <w:t>des</w:t>
      </w:r>
      <w:r w:rsidRPr="00595504">
        <w:rPr>
          <w:rFonts w:ascii="Verdana" w:hAnsi="Verdana"/>
          <w:sz w:val="20"/>
          <w:szCs w:val="20"/>
        </w:rPr>
        <w:t xml:space="preserve"> objectifs spécifiques</w:t>
      </w:r>
      <w:r w:rsidR="00092C2B">
        <w:rPr>
          <w:rFonts w:ascii="Verdana" w:hAnsi="Verdana"/>
          <w:sz w:val="20"/>
          <w:szCs w:val="20"/>
        </w:rPr>
        <w:t xml:space="preserve"> de la stratégie de communication et visibilité 2025-2029, à savoir : </w:t>
      </w:r>
    </w:p>
    <w:p w14:paraId="1C23CAD7" w14:textId="49112C00" w:rsidR="003C76FF" w:rsidRPr="000A44A6" w:rsidRDefault="00FA6620" w:rsidP="000A44A6">
      <w:pPr>
        <w:pStyle w:val="ListParagraph"/>
        <w:numPr>
          <w:ilvl w:val="0"/>
          <w:numId w:val="21"/>
        </w:numPr>
        <w:jc w:val="both"/>
        <w:rPr>
          <w:rFonts w:ascii="Verdana" w:hAnsi="Verdana"/>
          <w:sz w:val="20"/>
          <w:szCs w:val="20"/>
        </w:rPr>
      </w:pPr>
      <w:r w:rsidRPr="000A44A6">
        <w:rPr>
          <w:rFonts w:ascii="Verdana" w:hAnsi="Verdana"/>
          <w:sz w:val="20"/>
          <w:szCs w:val="20"/>
        </w:rPr>
        <w:t>La visibilité de la COI augmente de +10% dans les médias de la région d’ici 2029</w:t>
      </w:r>
    </w:p>
    <w:p w14:paraId="025ED7B6" w14:textId="40814DA6" w:rsidR="00FA6620" w:rsidRDefault="003D30A4" w:rsidP="00304955">
      <w:pPr>
        <w:pStyle w:val="Paragraphe"/>
        <w:numPr>
          <w:ilvl w:val="0"/>
          <w:numId w:val="21"/>
        </w:numPr>
        <w:ind w:left="714" w:hanging="357"/>
        <w:contextualSpacing/>
      </w:pPr>
      <w:r>
        <w:t>Un minimum de 3 évènements régionaux marquants sont organisée chaque année d’ici 2029</w:t>
      </w:r>
    </w:p>
    <w:p w14:paraId="21E38B8B" w14:textId="67E1F32E" w:rsidR="003D30A4" w:rsidRDefault="003D30A4" w:rsidP="00304955">
      <w:pPr>
        <w:pStyle w:val="Paragraphe"/>
        <w:numPr>
          <w:ilvl w:val="0"/>
          <w:numId w:val="21"/>
        </w:numPr>
        <w:ind w:left="714" w:hanging="357"/>
        <w:contextualSpacing/>
      </w:pPr>
      <w:r>
        <w:t>La compréhension de la COI, de sa mission et de ses actions s’améliore au sein des groupes cibles</w:t>
      </w:r>
    </w:p>
    <w:p w14:paraId="11E2AF43" w14:textId="37CD1BAE" w:rsidR="003D30A4" w:rsidRDefault="003D30A4" w:rsidP="00304955">
      <w:pPr>
        <w:pStyle w:val="Paragraphe"/>
        <w:numPr>
          <w:ilvl w:val="0"/>
          <w:numId w:val="21"/>
        </w:numPr>
        <w:ind w:left="714" w:hanging="357"/>
        <w:contextualSpacing/>
      </w:pPr>
      <w:r>
        <w:t>L’engagement moyen sur les plateformes digitales de la COI enregistre une hausse de +10% chaque année</w:t>
      </w:r>
    </w:p>
    <w:p w14:paraId="21DB6A94" w14:textId="6B26056B" w:rsidR="003D30A4" w:rsidRDefault="003D30A4" w:rsidP="00C46BB1">
      <w:pPr>
        <w:pStyle w:val="Paragraphe"/>
        <w:numPr>
          <w:ilvl w:val="0"/>
          <w:numId w:val="21"/>
        </w:numPr>
      </w:pPr>
      <w:r>
        <w:t>Le sentiment d’appartenance et la circulation de l’information au sein de la COI sont améliorés</w:t>
      </w:r>
    </w:p>
    <w:p w14:paraId="6CD0EB70" w14:textId="77777777" w:rsidR="000E5684" w:rsidRPr="000E5684" w:rsidRDefault="000E5684" w:rsidP="00C46BB1">
      <w:pPr>
        <w:pStyle w:val="Paragraphe"/>
        <w:rPr>
          <w:sz w:val="8"/>
          <w:szCs w:val="8"/>
        </w:rPr>
      </w:pPr>
    </w:p>
    <w:p w14:paraId="68009DDB" w14:textId="06AAE9C2" w:rsidR="0008468B" w:rsidRPr="0008468B" w:rsidRDefault="00955BB3" w:rsidP="00C46BB1">
      <w:pPr>
        <w:pStyle w:val="Titrepartie"/>
        <w:contextualSpacing w:val="0"/>
      </w:pPr>
      <w:r w:rsidRPr="0008468B">
        <w:t>Etat d’avancement</w:t>
      </w:r>
    </w:p>
    <w:p w14:paraId="786A0F32" w14:textId="77777777" w:rsidR="00570988" w:rsidRDefault="00570988" w:rsidP="00C46BB1">
      <w:pPr>
        <w:pStyle w:val="Sous-partie2"/>
        <w:contextualSpacing w:val="0"/>
      </w:pPr>
      <w:r>
        <w:t>Unité communication : équipe et moyens</w:t>
      </w:r>
    </w:p>
    <w:p w14:paraId="5F485B75" w14:textId="69F21972" w:rsidR="002B72DB" w:rsidRPr="00FE1901" w:rsidRDefault="002B72DB" w:rsidP="00C46BB1">
      <w:pPr>
        <w:pStyle w:val="ListParagraph"/>
        <w:numPr>
          <w:ilvl w:val="2"/>
          <w:numId w:val="3"/>
        </w:numPr>
        <w:contextualSpacing w:val="0"/>
        <w:rPr>
          <w:b/>
          <w:bCs/>
        </w:rPr>
      </w:pPr>
      <w:r w:rsidRPr="00FE1901">
        <w:rPr>
          <w:b/>
          <w:bCs/>
        </w:rPr>
        <w:t>Ressources humaines</w:t>
      </w:r>
    </w:p>
    <w:p w14:paraId="5EBBB27C" w14:textId="77777777" w:rsidR="006817FC" w:rsidRDefault="00D22938" w:rsidP="00C46BB1">
      <w:pPr>
        <w:pStyle w:val="Paragraphe"/>
      </w:pPr>
      <w:r>
        <w:t xml:space="preserve">Les recrutements lancés en 2025 ont été complétés avec la prise de fonction de l’Archiviste – spécialiste en gestion documentaire en </w:t>
      </w:r>
      <w:r w:rsidR="006817FC">
        <w:t xml:space="preserve">novembre 2025 et du responsable de communication en mars 2026. </w:t>
      </w:r>
    </w:p>
    <w:p w14:paraId="4B3A4E86" w14:textId="77777777" w:rsidR="00061451" w:rsidRDefault="006817FC" w:rsidP="00C46BB1">
      <w:pPr>
        <w:pStyle w:val="Paragraphe"/>
      </w:pPr>
      <w:r>
        <w:t>Le recrutement d’une nouvelle VSI</w:t>
      </w:r>
      <w:r w:rsidR="00EA46C0">
        <w:t xml:space="preserve"> mise à disposition par France Volontaires La Réunion avec le soutien du Conseil départemental de La Réunion &amp; INTERREG est finalisé et le déploiement est prévu en juin 2026 directement à la suite de la mission de la VSI actuellement en poste, </w:t>
      </w:r>
      <w:r w:rsidR="00061451">
        <w:t xml:space="preserve">permettant ainsi une continuité. </w:t>
      </w:r>
    </w:p>
    <w:p w14:paraId="0B6CA9BB" w14:textId="543F1963" w:rsidR="00952B9D" w:rsidRDefault="2B6C4CE8" w:rsidP="00C46BB1">
      <w:pPr>
        <w:pStyle w:val="Paragraphe"/>
      </w:pPr>
      <w:r>
        <w:t>A ces fonctions auprès du Secrétariat général, s’ajoutent</w:t>
      </w:r>
      <w:r w:rsidR="4EA58EA9">
        <w:t xml:space="preserve"> </w:t>
      </w:r>
      <w:r w:rsidR="4D81E6C0">
        <w:t xml:space="preserve">3 chargés de communication à temps plein pour le projet RECOS, le </w:t>
      </w:r>
      <w:r w:rsidR="4719F990">
        <w:t xml:space="preserve">projet SSIP (et donc le </w:t>
      </w:r>
      <w:r w:rsidR="4D81E6C0">
        <w:t xml:space="preserve">CDC One Health OI / Réseau SEGA </w:t>
      </w:r>
      <w:r w:rsidR="78F38CDD">
        <w:t xml:space="preserve">- </w:t>
      </w:r>
      <w:r w:rsidR="4D81E6C0">
        <w:t>One Health</w:t>
      </w:r>
      <w:r w:rsidR="03BFE3AA">
        <w:t>)</w:t>
      </w:r>
      <w:r w:rsidR="4D81E6C0">
        <w:t xml:space="preserve"> et pour le</w:t>
      </w:r>
      <w:r w:rsidR="1B245488">
        <w:t>s</w:t>
      </w:r>
      <w:r w:rsidR="4D81E6C0">
        <w:t xml:space="preserve"> projet</w:t>
      </w:r>
      <w:r w:rsidR="1939EDB3">
        <w:t>s</w:t>
      </w:r>
      <w:r w:rsidR="4D81E6C0">
        <w:t xml:space="preserve"> </w:t>
      </w:r>
      <w:proofErr w:type="spellStart"/>
      <w:r w:rsidR="0E4D0A49">
        <w:t>ExPLOI</w:t>
      </w:r>
      <w:proofErr w:type="spellEnd"/>
      <w:r w:rsidR="0E4D0A49">
        <w:t xml:space="preserve"> /</w:t>
      </w:r>
      <w:r w:rsidR="5D777C94">
        <w:t xml:space="preserve"> ISLANDS</w:t>
      </w:r>
      <w:r w:rsidR="4EA58EA9">
        <w:t xml:space="preserve">. </w:t>
      </w:r>
      <w:r w:rsidR="6088992B">
        <w:t xml:space="preserve">L’unité communication a également accueilli deux stagiaires sur l’année 2025 – début 2026. </w:t>
      </w:r>
      <w:r w:rsidR="77BB7CBB">
        <w:t xml:space="preserve"> </w:t>
      </w:r>
    </w:p>
    <w:p w14:paraId="5E06E1DB" w14:textId="3BED539F" w:rsidR="00D61BE7" w:rsidRDefault="006A3CD0" w:rsidP="000142B4">
      <w:pPr>
        <w:pStyle w:val="Paragraphe"/>
        <w:numPr>
          <w:ilvl w:val="0"/>
          <w:numId w:val="27"/>
        </w:numPr>
        <w:pBdr>
          <w:top w:val="single" w:sz="4" w:space="1" w:color="auto"/>
          <w:left w:val="single" w:sz="4" w:space="4" w:color="auto"/>
          <w:bottom w:val="single" w:sz="4" w:space="1" w:color="auto"/>
          <w:right w:val="single" w:sz="4" w:space="4" w:color="auto"/>
        </w:pBdr>
      </w:pPr>
      <w:r w:rsidRPr="006A3CD0">
        <w:rPr>
          <w:b/>
          <w:bCs/>
        </w:rPr>
        <w:t>PROPOSITION</w:t>
      </w:r>
      <w:r w:rsidR="001E1398" w:rsidRPr="006A3CD0">
        <w:rPr>
          <w:b/>
          <w:bCs/>
        </w:rPr>
        <w:t> :</w:t>
      </w:r>
      <w:r w:rsidR="001E1398">
        <w:t xml:space="preserve"> Tenant</w:t>
      </w:r>
      <w:r w:rsidR="00D61BE7">
        <w:t xml:space="preserve"> compte des renforcements</w:t>
      </w:r>
      <w:r w:rsidR="003D1C30">
        <w:t xml:space="preserve"> auprès de tous les services du Secrétariat général avec un agent administratif, il est proposé de</w:t>
      </w:r>
      <w:r w:rsidR="001A0568">
        <w:t xml:space="preserve"> soutenir l’unité communication avec un appui similaire. </w:t>
      </w:r>
      <w:r w:rsidR="002F0BC7">
        <w:t>L’appui envisagé porterait, entre autres sur,</w:t>
      </w:r>
      <w:r w:rsidR="004F1791">
        <w:t xml:space="preserve"> l’actualisation régulière des bases de données des médias et des prestataires</w:t>
      </w:r>
      <w:r w:rsidR="000C7B6B">
        <w:t xml:space="preserve"> et </w:t>
      </w:r>
      <w:r w:rsidR="004F1791">
        <w:t>d</w:t>
      </w:r>
      <w:r w:rsidR="000C7B6B">
        <w:t>e la liste de diffusion presse, la diffusion des informations</w:t>
      </w:r>
      <w:r w:rsidR="00CD36E4">
        <w:t xml:space="preserve"> externes et internes, l’établissement des projets de Newsletter, </w:t>
      </w:r>
      <w:r w:rsidR="00470EE5">
        <w:t xml:space="preserve">la préparation des missions et actions de communication (appui </w:t>
      </w:r>
      <w:r w:rsidR="002B5328">
        <w:t xml:space="preserve">et suivi </w:t>
      </w:r>
      <w:r w:rsidR="00470EE5">
        <w:t xml:space="preserve">logistique), </w:t>
      </w:r>
      <w:r w:rsidR="002B5328">
        <w:t>le suivi de production auprès des prestataires, l’organisation et la</w:t>
      </w:r>
      <w:r w:rsidR="0062523A">
        <w:t xml:space="preserve"> rédaction des </w:t>
      </w:r>
      <w:r w:rsidR="00C46BB1">
        <w:t>comptes-rendus</w:t>
      </w:r>
      <w:r w:rsidR="0062523A">
        <w:t xml:space="preserve"> des réunion communication, voire </w:t>
      </w:r>
      <w:r w:rsidR="00CD36E4">
        <w:t>la mise en ligne de contenus sur le site Internet et les réseaux sociaux</w:t>
      </w:r>
      <w:r w:rsidR="0062523A">
        <w:t xml:space="preserve"> dans le cadre d’une montée en compétences. Selon</w:t>
      </w:r>
      <w:r w:rsidR="00F42D1C">
        <w:t xml:space="preserve"> l’accord de principe et les possibilités budgétaires, il pourrait être envisagé de procéder à un recrutement ou de </w:t>
      </w:r>
      <w:r w:rsidR="00C37690">
        <w:t xml:space="preserve">privilégier un reclassement interne. </w:t>
      </w:r>
      <w:r w:rsidR="00CD36E4">
        <w:t xml:space="preserve"> </w:t>
      </w:r>
      <w:r w:rsidR="000C7B6B">
        <w:t xml:space="preserve"> </w:t>
      </w:r>
    </w:p>
    <w:p w14:paraId="7DF749DC" w14:textId="3E0B90D3" w:rsidR="002B72DB" w:rsidRPr="00FE1901" w:rsidRDefault="003F6530" w:rsidP="00C46BB1">
      <w:pPr>
        <w:pStyle w:val="ListParagraph"/>
        <w:numPr>
          <w:ilvl w:val="2"/>
          <w:numId w:val="3"/>
        </w:numPr>
        <w:contextualSpacing w:val="0"/>
        <w:rPr>
          <w:b/>
          <w:bCs/>
        </w:rPr>
      </w:pPr>
      <w:r w:rsidRPr="00FE1901">
        <w:rPr>
          <w:b/>
          <w:bCs/>
        </w:rPr>
        <w:t>Equipements</w:t>
      </w:r>
      <w:r w:rsidR="00C52FF7">
        <w:rPr>
          <w:b/>
          <w:bCs/>
        </w:rPr>
        <w:t xml:space="preserve"> et services d’appui</w:t>
      </w:r>
    </w:p>
    <w:p w14:paraId="0814A9B6" w14:textId="13BDCE06" w:rsidR="00956D73" w:rsidRDefault="00017EE2" w:rsidP="00956D73">
      <w:pPr>
        <w:pStyle w:val="Paragraphe"/>
      </w:pPr>
      <w:r>
        <w:t>La subvention Horizon 2030 a été mobilisée pour l’achat d’équipements</w:t>
      </w:r>
      <w:r w:rsidR="00492DF0">
        <w:t xml:space="preserve"> au bénéfice de l’unité communication. Le marché est en cours de finalisation, l’offre ayant été reçue le 20 avril 2026. Ces équipements concernent notamment un appareil photo / vidéo, un stabilisateur</w:t>
      </w:r>
      <w:r w:rsidR="008C5A3C">
        <w:t xml:space="preserve">, une batterie externe ou encore un </w:t>
      </w:r>
      <w:r w:rsidR="00F74873">
        <w:t>micro-cravate</w:t>
      </w:r>
      <w:r w:rsidR="008C5A3C">
        <w:t xml:space="preserve">. Un logiciel de gestion intégrée des réseaux sociaux a également été </w:t>
      </w:r>
      <w:r w:rsidR="00956D73">
        <w:t>acquis sous la forme d’un abonnement de deux ans</w:t>
      </w:r>
      <w:r w:rsidR="00F74873">
        <w:t xml:space="preserve"> (SWELLO)</w:t>
      </w:r>
      <w:r w:rsidR="1994F6D5">
        <w:t>, effectif depuis mars 2026</w:t>
      </w:r>
    </w:p>
    <w:p w14:paraId="47E06FE4" w14:textId="6B985841" w:rsidR="00891359" w:rsidRDefault="00891359" w:rsidP="00956D73">
      <w:pPr>
        <w:pStyle w:val="Paragraphe"/>
      </w:pPr>
      <w:r>
        <w:t>L’unité communication a également recours à des appuis externes</w:t>
      </w:r>
      <w:r w:rsidR="0090366B">
        <w:t>, notamment via un contrat-cadre avec une graphiste en appui à l’unité communication</w:t>
      </w:r>
      <w:r w:rsidR="00171391">
        <w:t xml:space="preserve"> (</w:t>
      </w:r>
      <w:r w:rsidR="0090366B">
        <w:t>avenant de durée au contrat en mars 2026) et via un service d’intelligence médiatique pour le suivi des retombées médiatiques et la gestion réputationnelle et des situations de crise</w:t>
      </w:r>
      <w:r w:rsidR="00CD5F0D">
        <w:t xml:space="preserve"> assuré par l’agence Blast Burson. Ces deux </w:t>
      </w:r>
      <w:r w:rsidR="00171391">
        <w:t xml:space="preserve">services sont pris en charge sous Horizon 2030. </w:t>
      </w:r>
    </w:p>
    <w:p w14:paraId="605132EF" w14:textId="68B67D2D" w:rsidR="003F6530" w:rsidRPr="00FE1901" w:rsidRDefault="003F6530" w:rsidP="00C46BB1">
      <w:pPr>
        <w:pStyle w:val="ListParagraph"/>
        <w:numPr>
          <w:ilvl w:val="2"/>
          <w:numId w:val="3"/>
        </w:numPr>
        <w:contextualSpacing w:val="0"/>
        <w:rPr>
          <w:b/>
          <w:bCs/>
        </w:rPr>
      </w:pPr>
      <w:r w:rsidRPr="00FE1901">
        <w:rPr>
          <w:b/>
          <w:bCs/>
        </w:rPr>
        <w:t>Formations</w:t>
      </w:r>
    </w:p>
    <w:p w14:paraId="067C11CE" w14:textId="2CAE2BD2" w:rsidR="002D2125" w:rsidRDefault="00591A53" w:rsidP="00C46BB1">
      <w:pPr>
        <w:pStyle w:val="Paragraphe"/>
      </w:pPr>
      <w:r>
        <w:t>Le renforcement de l’unité communication</w:t>
      </w:r>
      <w:r w:rsidR="00E53483">
        <w:t xml:space="preserve"> </w:t>
      </w:r>
      <w:r w:rsidR="00212936">
        <w:t>passe</w:t>
      </w:r>
      <w:r w:rsidR="00E53483">
        <w:t xml:space="preserve"> par des formations professionnalisantes permettant, d’une part, de consolider et approfondir les compétences techniques des communicants et, d’autre part, </w:t>
      </w:r>
      <w:r w:rsidR="00074C7D">
        <w:t xml:space="preserve">d’être à jour avec les évolutions du secteur. Parmi les formations envisagées figurent l’utilisation responsable de l’IA, </w:t>
      </w:r>
      <w:r w:rsidR="009E27B3">
        <w:t>l</w:t>
      </w:r>
      <w:r w:rsidR="00E80D5B">
        <w:t>a</w:t>
      </w:r>
      <w:r w:rsidR="009E27B3">
        <w:t xml:space="preserve"> gestion des réseaux sociaux, la prise de parole</w:t>
      </w:r>
      <w:r w:rsidR="004661D4">
        <w:t xml:space="preserve"> en public, les bases du graphisme et </w:t>
      </w:r>
      <w:r w:rsidR="00E46346">
        <w:t>la production de vidéo avec un smartphone</w:t>
      </w:r>
      <w:r w:rsidR="009E27B3">
        <w:t xml:space="preserve">. </w:t>
      </w:r>
    </w:p>
    <w:p w14:paraId="2968DD28" w14:textId="77777777" w:rsidR="00B1006D" w:rsidRDefault="00B95885" w:rsidP="00C46BB1">
      <w:pPr>
        <w:pStyle w:val="Paragraphe"/>
      </w:pPr>
      <w:r>
        <w:t>Le format de « formation en cascade » / « formation par les pairs » sera privilégié</w:t>
      </w:r>
      <w:r w:rsidR="00906EF4">
        <w:t xml:space="preserve">. Ainsi, la responsable adjointe de la communication </w:t>
      </w:r>
      <w:r w:rsidR="00212936">
        <w:t xml:space="preserve">a suivi </w:t>
      </w:r>
      <w:r w:rsidR="00906EF4">
        <w:t xml:space="preserve">une formation </w:t>
      </w:r>
      <w:r w:rsidR="00A440B5">
        <w:t>« </w:t>
      </w:r>
      <w:proofErr w:type="spellStart"/>
      <w:r w:rsidR="00A440B5">
        <w:t>Your</w:t>
      </w:r>
      <w:proofErr w:type="spellEnd"/>
      <w:r w:rsidR="00A440B5">
        <w:t xml:space="preserve"> Communication </w:t>
      </w:r>
      <w:proofErr w:type="spellStart"/>
      <w:r w:rsidR="00A440B5">
        <w:t>Strategy</w:t>
      </w:r>
      <w:proofErr w:type="spellEnd"/>
      <w:r w:rsidR="00A440B5">
        <w:t xml:space="preserve"> in the AI Era » assurée par des professionnels du secteur en novembre 2025. </w:t>
      </w:r>
      <w:r w:rsidR="00212936">
        <w:t>Les</w:t>
      </w:r>
      <w:r w:rsidR="00B1006D">
        <w:t xml:space="preserve"> techniques et compétences acquises sont partagées avec les communicants de la COI</w:t>
      </w:r>
      <w:r w:rsidR="003F1ECC">
        <w:t>.</w:t>
      </w:r>
    </w:p>
    <w:p w14:paraId="4810D931" w14:textId="0C5243E5" w:rsidR="00B95885" w:rsidRDefault="00B1006D" w:rsidP="00C46BB1">
      <w:pPr>
        <w:pStyle w:val="Paragraphe"/>
      </w:pPr>
      <w:r>
        <w:t>L’unité communication a également organisé deux sessions de Media Training au bénéfice des responsables du Secrétariat général</w:t>
      </w:r>
      <w:r w:rsidR="422D7B85">
        <w:t>,</w:t>
      </w:r>
      <w:r w:rsidR="00E948B4">
        <w:t xml:space="preserve"> </w:t>
      </w:r>
      <w:r>
        <w:t>chefs de projets / experts</w:t>
      </w:r>
      <w:r w:rsidR="03B8809C">
        <w:t>, et communicants</w:t>
      </w:r>
      <w:r w:rsidR="00E948B4">
        <w:t xml:space="preserve"> </w:t>
      </w:r>
      <w:r>
        <w:t xml:space="preserve">en janvier 2026. Ces deux sessions, financées par la subvention Horizon 2030, ont permis de renforcer les capacités de gestion et d’interactions avec les médias.  </w:t>
      </w:r>
      <w:r w:rsidR="003F1ECC">
        <w:t xml:space="preserve"> </w:t>
      </w:r>
    </w:p>
    <w:p w14:paraId="12EB0B38" w14:textId="5B26930F" w:rsidR="003F6530" w:rsidRPr="00FE1901" w:rsidRDefault="003F6530" w:rsidP="00C46BB1">
      <w:pPr>
        <w:pStyle w:val="ListParagraph"/>
        <w:numPr>
          <w:ilvl w:val="2"/>
          <w:numId w:val="3"/>
        </w:numPr>
        <w:contextualSpacing w:val="0"/>
        <w:rPr>
          <w:b/>
          <w:bCs/>
        </w:rPr>
      </w:pPr>
      <w:r w:rsidRPr="00FE1901">
        <w:rPr>
          <w:b/>
          <w:bCs/>
        </w:rPr>
        <w:t>Ressources</w:t>
      </w:r>
    </w:p>
    <w:p w14:paraId="6FC2BA3D" w14:textId="02EA4C75" w:rsidR="00C037F1" w:rsidRDefault="000A7A29" w:rsidP="00C46BB1">
      <w:pPr>
        <w:pStyle w:val="Paragraphe"/>
      </w:pPr>
      <w:r>
        <w:t xml:space="preserve">Le projet COI Horizon 2030 </w:t>
      </w:r>
      <w:r w:rsidR="005C1FF2">
        <w:t xml:space="preserve">constitue le première ressource au renforcement de l’unité communication et à la mise en œuvre d’activités institutionnelles. </w:t>
      </w:r>
      <w:r w:rsidR="00C037F1">
        <w:t xml:space="preserve">A cela s’ajoute la ligne budgétaire dédiée à l’unité communication dans le </w:t>
      </w:r>
      <w:r w:rsidR="003E7F8F">
        <w:t xml:space="preserve">budget de fonctionnement du Secrétariat général. </w:t>
      </w:r>
    </w:p>
    <w:p w14:paraId="2513C738" w14:textId="2027B36C" w:rsidR="003E7F8F" w:rsidRDefault="003E7F8F" w:rsidP="00C46BB1">
      <w:pPr>
        <w:pStyle w:val="Paragraphe"/>
      </w:pPr>
      <w:r>
        <w:t xml:space="preserve">Conformément à l’accord de méthode, il est à noter que le budget « statutaire » de l’unité communication est appelé à </w:t>
      </w:r>
      <w:r w:rsidR="001A4386">
        <w:t xml:space="preserve">croître sur les prochaines années avec la prise en charge graduelle de </w:t>
      </w:r>
      <w:r w:rsidR="00B1670C">
        <w:t xml:space="preserve">coût fixes annuels (logiciels SWELLO et </w:t>
      </w:r>
      <w:proofErr w:type="spellStart"/>
      <w:r w:rsidR="00B1670C">
        <w:t>CapCut</w:t>
      </w:r>
      <w:proofErr w:type="spellEnd"/>
      <w:r w:rsidR="00B1670C">
        <w:t xml:space="preserve"> Pro</w:t>
      </w:r>
      <w:r w:rsidR="00E80D5B">
        <w:t xml:space="preserve">, service d’intelligence média, appui en </w:t>
      </w:r>
      <w:proofErr w:type="spellStart"/>
      <w:r w:rsidR="00E80D5B">
        <w:t>graphic</w:t>
      </w:r>
      <w:proofErr w:type="spellEnd"/>
      <w:r w:rsidR="00E80D5B">
        <w:t xml:space="preserve"> design…). </w:t>
      </w:r>
    </w:p>
    <w:p w14:paraId="0E42CA00" w14:textId="22D3E9E9" w:rsidR="001D7DA7" w:rsidRDefault="001D7DA7" w:rsidP="006A3CD0">
      <w:pPr>
        <w:pStyle w:val="Paragraphe"/>
        <w:numPr>
          <w:ilvl w:val="0"/>
          <w:numId w:val="27"/>
        </w:numPr>
        <w:pBdr>
          <w:top w:val="single" w:sz="4" w:space="1" w:color="auto"/>
          <w:left w:val="single" w:sz="4" w:space="4" w:color="auto"/>
          <w:bottom w:val="single" w:sz="4" w:space="1" w:color="auto"/>
          <w:right w:val="single" w:sz="4" w:space="4" w:color="auto"/>
        </w:pBdr>
      </w:pPr>
      <w:r w:rsidRPr="006A3CD0">
        <w:rPr>
          <w:b/>
          <w:bCs/>
        </w:rPr>
        <w:t>A NOTER :</w:t>
      </w:r>
      <w:r>
        <w:t xml:space="preserve"> </w:t>
      </w:r>
      <w:r w:rsidR="000A41D7">
        <w:t>d’ici la fin de la subvention COI Horizon 2030 en mai 2028, il conviendra d’inclure dans la projection budgétaire pluriannuelle l</w:t>
      </w:r>
      <w:r w:rsidR="00FE0BC7">
        <w:t>a</w:t>
      </w:r>
      <w:r w:rsidR="000A41D7">
        <w:t xml:space="preserve"> prise en charge progressive des coûts</w:t>
      </w:r>
      <w:r w:rsidR="00332913">
        <w:t xml:space="preserve"> du renforcement des capacités de l’unité communication. </w:t>
      </w:r>
      <w:r w:rsidR="00F10F71">
        <w:t>L’estimation des coûts portent sur un</w:t>
      </w:r>
      <w:r w:rsidR="00EB4183">
        <w:t xml:space="preserve"> coût </w:t>
      </w:r>
      <w:r w:rsidR="004119FA">
        <w:t xml:space="preserve">additionnel </w:t>
      </w:r>
      <w:r w:rsidR="00EB4183">
        <w:t xml:space="preserve">annuel compris entre </w:t>
      </w:r>
      <w:r w:rsidR="00D91BC9">
        <w:t xml:space="preserve">3 500 € (logiciels et site Internet) à </w:t>
      </w:r>
      <w:r w:rsidR="00164BF2">
        <w:t xml:space="preserve">près de 40 </w:t>
      </w:r>
      <w:r w:rsidR="005C6771">
        <w:t>0</w:t>
      </w:r>
      <w:r w:rsidR="00164BF2">
        <w:t xml:space="preserve">00 € </w:t>
      </w:r>
      <w:r w:rsidR="00F41EE8">
        <w:t xml:space="preserve">(avec cofinancement des projets en cours) </w:t>
      </w:r>
      <w:r w:rsidR="00164BF2">
        <w:t xml:space="preserve">si l’on maintient le service d’intelligence média et un contrat-cadre </w:t>
      </w:r>
      <w:r w:rsidR="006A3CD0">
        <w:t xml:space="preserve">de prestation graphique. </w:t>
      </w:r>
    </w:p>
    <w:p w14:paraId="33354006" w14:textId="77777777" w:rsidR="004119FA" w:rsidRDefault="004119FA" w:rsidP="004119FA">
      <w:pPr>
        <w:pStyle w:val="ListParagraph"/>
        <w:ind w:left="1080"/>
        <w:contextualSpacing w:val="0"/>
        <w:rPr>
          <w:b/>
          <w:bCs/>
        </w:rPr>
      </w:pPr>
    </w:p>
    <w:p w14:paraId="3DC3FB30" w14:textId="77777777" w:rsidR="004119FA" w:rsidRDefault="004119FA" w:rsidP="004119FA">
      <w:pPr>
        <w:pStyle w:val="ListParagraph"/>
        <w:ind w:left="1080"/>
        <w:contextualSpacing w:val="0"/>
        <w:rPr>
          <w:b/>
          <w:bCs/>
        </w:rPr>
      </w:pPr>
    </w:p>
    <w:p w14:paraId="4536FC12" w14:textId="36C15DB8" w:rsidR="005D0AD9" w:rsidRDefault="005D0AD9" w:rsidP="00C46BB1">
      <w:pPr>
        <w:pStyle w:val="ListParagraph"/>
        <w:numPr>
          <w:ilvl w:val="2"/>
          <w:numId w:val="3"/>
        </w:numPr>
        <w:contextualSpacing w:val="0"/>
        <w:rPr>
          <w:b/>
          <w:bCs/>
        </w:rPr>
      </w:pPr>
      <w:r w:rsidRPr="00FE1901">
        <w:rPr>
          <w:b/>
          <w:bCs/>
        </w:rPr>
        <w:t xml:space="preserve">Centre de documentation </w:t>
      </w:r>
    </w:p>
    <w:p w14:paraId="2ECF4C85" w14:textId="18785744" w:rsidR="007B211A" w:rsidRDefault="0C19F5BD" w:rsidP="006109A9">
      <w:pPr>
        <w:pStyle w:val="Paragraphe"/>
      </w:pPr>
      <w:r>
        <w:t xml:space="preserve">. </w:t>
      </w:r>
      <w:r w:rsidR="3857C0F1">
        <w:t xml:space="preserve">Le Centre de documentation est appelé à jouer un rôle grandissant en faveur de la gestion des connaissances et de la capitalisation des acquis / résultats des projets. A cet égard, </w:t>
      </w:r>
      <w:r w:rsidR="24E5B61D">
        <w:t xml:space="preserve">deux principaux chantiers sont à prévoir : </w:t>
      </w:r>
    </w:p>
    <w:p w14:paraId="22953B3F" w14:textId="2D58525F" w:rsidR="00440A8F" w:rsidRDefault="00440A8F" w:rsidP="00275197">
      <w:pPr>
        <w:pStyle w:val="Paragraphe"/>
        <w:numPr>
          <w:ilvl w:val="0"/>
          <w:numId w:val="25"/>
        </w:numPr>
        <w:ind w:left="714" w:hanging="357"/>
        <w:contextualSpacing/>
      </w:pPr>
      <w:r>
        <w:t xml:space="preserve">La mise en place d’un système de gestion documentaire et des connaissances, en lien avec le service </w:t>
      </w:r>
      <w:r w:rsidR="005B19ED">
        <w:t xml:space="preserve">administratif. </w:t>
      </w:r>
    </w:p>
    <w:p w14:paraId="74E6FC13" w14:textId="7338A6A6" w:rsidR="005B19ED" w:rsidRDefault="005B19ED" w:rsidP="00275197">
      <w:pPr>
        <w:pStyle w:val="Paragraphe"/>
        <w:numPr>
          <w:ilvl w:val="0"/>
          <w:numId w:val="25"/>
        </w:numPr>
        <w:ind w:left="714" w:hanging="357"/>
      </w:pPr>
      <w:r>
        <w:t>L’amélioration des interfaces et outils d’archivage et d</w:t>
      </w:r>
      <w:r w:rsidR="001047F0">
        <w:t xml:space="preserve">e consultation documentaire (Zotero, </w:t>
      </w:r>
      <w:proofErr w:type="spellStart"/>
      <w:r w:rsidR="001047F0">
        <w:t>Zenodo</w:t>
      </w:r>
      <w:proofErr w:type="spellEnd"/>
      <w:r w:rsidR="001047F0">
        <w:t xml:space="preserve">). A cet égard, la poursuite de la numérisation des archives et la mise en application du plan de gestion des documents seront essentiels. </w:t>
      </w:r>
    </w:p>
    <w:p w14:paraId="3853C3C5" w14:textId="1613310D" w:rsidR="001047F0" w:rsidRDefault="649981C0" w:rsidP="37E1C4A6">
      <w:pPr>
        <w:pStyle w:val="Paragraphe"/>
        <w:rPr>
          <w:rFonts w:eastAsia="Verdana" w:cs="Verdana"/>
          <w:color w:val="000000" w:themeColor="text1"/>
        </w:rPr>
      </w:pPr>
      <w:r>
        <w:t xml:space="preserve">Pour atteindre ces objectif </w:t>
      </w:r>
      <w:r w:rsidR="7874E6B1">
        <w:t>l</w:t>
      </w:r>
      <w:r w:rsidR="796D4BC9">
        <w:t>’archiviste – spécialiste en gestion documentaire</w:t>
      </w:r>
      <w:r w:rsidR="1038A996">
        <w:t xml:space="preserve"> peut apporter un appui et</w:t>
      </w:r>
      <w:r w:rsidR="005F38DA">
        <w:t xml:space="preserve"> </w:t>
      </w:r>
      <w:r w:rsidR="796D4BC9">
        <w:t xml:space="preserve">pourra </w:t>
      </w:r>
      <w:r w:rsidR="14B01D5D">
        <w:t>mobiliser des</w:t>
      </w:r>
      <w:r w:rsidR="796D4BC9">
        <w:t xml:space="preserve"> ressources du projet COI Horizon 2030</w:t>
      </w:r>
      <w:r w:rsidR="0400DC8D">
        <w:t xml:space="preserve"> (sous-résultat 1.6.)</w:t>
      </w:r>
      <w:r w:rsidR="0826E051">
        <w:t xml:space="preserve"> </w:t>
      </w:r>
      <w:r w:rsidR="0826E051" w:rsidRPr="37E1C4A6">
        <w:rPr>
          <w:rFonts w:eastAsia="Verdana" w:cs="Verdana"/>
          <w:color w:val="000000" w:themeColor="text1"/>
        </w:rPr>
        <w:t>qui permettrait l’optimisation de la gestion des données et de documents des projets et du Secrétariat général. L’appui technique d’un prestataire pour la mise en place de système d’information plus performants (GED) qui doit apporter un double bénéfice en interne au niveau de la COI (Secrétariat général) et à l’échelle régionale et internationale. En substance, il s’agit d’optimiser la collecte, le stockage, la transformation, le traitement et la diffusion des données en s’appuyant sur des applications qui permettent de mieux les gérer et garantissent leur interopérabilité à long terme (</w:t>
      </w:r>
      <w:proofErr w:type="spellStart"/>
      <w:r w:rsidR="0826E051" w:rsidRPr="37E1C4A6">
        <w:rPr>
          <w:rFonts w:eastAsia="Verdana" w:cs="Verdana"/>
          <w:color w:val="000000" w:themeColor="text1"/>
        </w:rPr>
        <w:t>cf</w:t>
      </w:r>
      <w:proofErr w:type="spellEnd"/>
      <w:r w:rsidR="0826E051" w:rsidRPr="37E1C4A6">
        <w:rPr>
          <w:rFonts w:eastAsia="Verdana" w:cs="Verdana"/>
          <w:color w:val="000000" w:themeColor="text1"/>
        </w:rPr>
        <w:t xml:space="preserve"> la </w:t>
      </w:r>
      <w:r w:rsidR="005F38DA" w:rsidRPr="37E1C4A6">
        <w:rPr>
          <w:rFonts w:eastAsia="Verdana" w:cs="Verdana"/>
          <w:color w:val="000000" w:themeColor="text1"/>
        </w:rPr>
        <w:t>plateforme</w:t>
      </w:r>
      <w:r w:rsidR="0826E051" w:rsidRPr="37E1C4A6">
        <w:rPr>
          <w:rFonts w:eastAsia="Verdana" w:cs="Verdana"/>
          <w:color w:val="000000" w:themeColor="text1"/>
        </w:rPr>
        <w:t xml:space="preserve"> </w:t>
      </w:r>
      <w:proofErr w:type="spellStart"/>
      <w:r w:rsidR="0826E051" w:rsidRPr="37E1C4A6">
        <w:rPr>
          <w:rFonts w:eastAsia="Verdana" w:cs="Verdana"/>
          <w:color w:val="000000" w:themeColor="text1"/>
        </w:rPr>
        <w:t>Zenodo</w:t>
      </w:r>
      <w:proofErr w:type="spellEnd"/>
      <w:r w:rsidR="0826E051" w:rsidRPr="37E1C4A6">
        <w:rPr>
          <w:rFonts w:eastAsia="Verdana" w:cs="Verdana"/>
          <w:color w:val="000000" w:themeColor="text1"/>
        </w:rPr>
        <w:t>).</w:t>
      </w:r>
    </w:p>
    <w:p w14:paraId="2D009E69" w14:textId="6B3C96B8" w:rsidR="00C02471" w:rsidRDefault="00C02471" w:rsidP="37E1C4A6">
      <w:pPr>
        <w:pStyle w:val="Paragraphe"/>
      </w:pPr>
      <w:r>
        <w:rPr>
          <w:rFonts w:eastAsia="Verdana" w:cs="Verdana"/>
          <w:color w:val="000000" w:themeColor="text1"/>
        </w:rPr>
        <w:t xml:space="preserve">Dans un premier temps, le Centre de documentation pourra </w:t>
      </w:r>
      <w:r w:rsidR="00696970">
        <w:rPr>
          <w:rFonts w:eastAsia="Verdana" w:cs="Verdana"/>
          <w:color w:val="000000" w:themeColor="text1"/>
        </w:rPr>
        <w:t xml:space="preserve">capitaliser la plateforme de connaissances et capitalisation </w:t>
      </w:r>
      <w:r w:rsidR="00FE107A">
        <w:rPr>
          <w:rFonts w:eastAsia="Verdana" w:cs="Verdana"/>
          <w:color w:val="000000" w:themeColor="text1"/>
        </w:rPr>
        <w:t>prévue dans le cadre du projet RECOS et donnant lieu à une interface interactive de recherche documentaire en ligne</w:t>
      </w:r>
      <w:r w:rsidR="001D661D">
        <w:rPr>
          <w:rFonts w:eastAsia="Verdana" w:cs="Verdana"/>
          <w:color w:val="000000" w:themeColor="text1"/>
        </w:rPr>
        <w:t xml:space="preserve"> avec </w:t>
      </w:r>
      <w:proofErr w:type="spellStart"/>
      <w:r w:rsidR="001D661D">
        <w:rPr>
          <w:rFonts w:eastAsia="Verdana" w:cs="Verdana"/>
          <w:color w:val="000000" w:themeColor="text1"/>
        </w:rPr>
        <w:t>Zenodo</w:t>
      </w:r>
      <w:proofErr w:type="spellEnd"/>
      <w:r w:rsidR="001D661D">
        <w:rPr>
          <w:rFonts w:eastAsia="Verdana" w:cs="Verdana"/>
          <w:color w:val="000000" w:themeColor="text1"/>
        </w:rPr>
        <w:t xml:space="preserve">. </w:t>
      </w:r>
    </w:p>
    <w:p w14:paraId="0B5A5E87" w14:textId="77777777" w:rsidR="007A6300" w:rsidRPr="00FE1901" w:rsidRDefault="007A6300" w:rsidP="001047F0">
      <w:pPr>
        <w:pStyle w:val="Paragraphe"/>
      </w:pPr>
    </w:p>
    <w:p w14:paraId="50E123BC" w14:textId="4CC83EFD" w:rsidR="00570988" w:rsidRDefault="002B72DB" w:rsidP="00C46BB1">
      <w:pPr>
        <w:pStyle w:val="Sous-partie2"/>
        <w:contextualSpacing w:val="0"/>
      </w:pPr>
      <w:r>
        <w:t>Objectif spécifique 1 | La visibilité de la COI augmente de +10% dans les médias de la région d’ici 2029</w:t>
      </w:r>
    </w:p>
    <w:p w14:paraId="19141F5C" w14:textId="546ADD19" w:rsidR="00D67A9C" w:rsidRDefault="00052C6D" w:rsidP="00C46BB1">
      <w:pPr>
        <w:pStyle w:val="Paragraphe"/>
      </w:pPr>
      <w:r>
        <w:t xml:space="preserve">La COI maintient </w:t>
      </w:r>
      <w:r w:rsidR="003B1B0C">
        <w:t xml:space="preserve">une tendance haussière de </w:t>
      </w:r>
      <w:r>
        <w:t>sa visibilité médiatique dans la région et au-delà</w:t>
      </w:r>
      <w:r w:rsidR="008D41C7">
        <w:t xml:space="preserve"> </w:t>
      </w:r>
      <w:r w:rsidR="00D7477E">
        <w:t xml:space="preserve">grâce à </w:t>
      </w:r>
      <w:r w:rsidR="000D4AEE">
        <w:t>des relations presse ciblées, une communication régulière sur les activités et des contenus variés.</w:t>
      </w:r>
      <w:r w:rsidR="008D41C7">
        <w:t xml:space="preserve"> En 2025, le 5</w:t>
      </w:r>
      <w:r w:rsidR="008D41C7" w:rsidRPr="008D41C7">
        <w:rPr>
          <w:vertAlign w:val="superscript"/>
        </w:rPr>
        <w:t>e</w:t>
      </w:r>
      <w:r w:rsidR="008D41C7">
        <w:t xml:space="preserve"> Sommet de la COI a également marqué un</w:t>
      </w:r>
      <w:r w:rsidR="00D67A9C">
        <w:t xml:space="preserve"> pic de visibilité. </w:t>
      </w:r>
      <w:r w:rsidR="00A065EE">
        <w:t>Ci-dessous l’évolution des retombées médiatiques</w:t>
      </w:r>
      <w:r w:rsidR="00B1305B">
        <w:t xml:space="preserve"> sur la période 2022-2025 : </w:t>
      </w:r>
    </w:p>
    <w:p w14:paraId="7844FBFB" w14:textId="64D80294" w:rsidR="00B1305B" w:rsidRDefault="000A1310" w:rsidP="000A1310">
      <w:pPr>
        <w:pStyle w:val="Paragraphe"/>
        <w:jc w:val="center"/>
      </w:pPr>
      <w:r>
        <w:rPr>
          <w:noProof/>
        </w:rPr>
        <w:drawing>
          <wp:inline distT="0" distB="0" distL="0" distR="0" wp14:anchorId="4DE7E38C" wp14:editId="61B3A757">
            <wp:extent cx="4010025" cy="2400300"/>
            <wp:effectExtent l="0" t="0" r="9525" b="0"/>
            <wp:docPr id="665932194" name="Graphique 1">
              <a:extLst xmlns:a="http://schemas.openxmlformats.org/drawingml/2006/main">
                <a:ext uri="{FF2B5EF4-FFF2-40B4-BE49-F238E27FC236}">
                  <a16:creationId xmlns:a16="http://schemas.microsoft.com/office/drawing/2014/main" id="{DDBD689F-7CD6-9F31-410D-F83FE8552B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4E117A" w14:textId="6559F846" w:rsidR="00161043" w:rsidRDefault="00D67A9C" w:rsidP="00C46BB1">
      <w:pPr>
        <w:pStyle w:val="Paragraphe"/>
      </w:pPr>
      <w:r>
        <w:t>Pour</w:t>
      </w:r>
      <w:r w:rsidR="003403D6">
        <w:t xml:space="preserve"> renforcer l’intérêt des médias et les collaborations, il est envisagé d’organiser un « Media Challenge »</w:t>
      </w:r>
      <w:r w:rsidR="0044141A">
        <w:t xml:space="preserve"> sur 18 à 24 mois (2026-2027)</w:t>
      </w:r>
      <w:r w:rsidR="00D15E43">
        <w:t xml:space="preserve"> qui s’articulera autour de sessions d’information et de mini-concours thématiques. </w:t>
      </w:r>
      <w:r w:rsidR="001734AD">
        <w:t xml:space="preserve">La note conceptuelle de l’activité est en cours d’élaboration. </w:t>
      </w:r>
    </w:p>
    <w:p w14:paraId="2FBFF78C" w14:textId="7CD1B6EC" w:rsidR="00E51474" w:rsidRDefault="002B72DB" w:rsidP="00C46BB1">
      <w:pPr>
        <w:pStyle w:val="Sous-partie2"/>
        <w:contextualSpacing w:val="0"/>
      </w:pPr>
      <w:r>
        <w:t>Objectif spécifique 2 | Un minimum de 3 évènements régionaux marquants sont organisé</w:t>
      </w:r>
      <w:r w:rsidR="0044141A">
        <w:t>s</w:t>
      </w:r>
      <w:r>
        <w:t xml:space="preserve"> chaque année d’ici 2029</w:t>
      </w:r>
    </w:p>
    <w:p w14:paraId="411D139E" w14:textId="3D26D3B2" w:rsidR="00CC3015" w:rsidRDefault="00CC3015" w:rsidP="00C46BB1">
      <w:pPr>
        <w:pStyle w:val="Paragraphe"/>
      </w:pPr>
      <w:r>
        <w:t>Sur l’année 2025, l’unité communication a organisé</w:t>
      </w:r>
      <w:r w:rsidR="00063A17">
        <w:t xml:space="preserve"> ou </w:t>
      </w:r>
      <w:r w:rsidR="006B6371">
        <w:t>coorganisé</w:t>
      </w:r>
      <w:r>
        <w:t xml:space="preserve"> : </w:t>
      </w:r>
    </w:p>
    <w:tbl>
      <w:tblPr>
        <w:tblStyle w:val="TableGrid"/>
        <w:tblW w:w="0" w:type="auto"/>
        <w:tblLook w:val="04A0" w:firstRow="1" w:lastRow="0" w:firstColumn="1" w:lastColumn="0" w:noHBand="0" w:noVBand="1"/>
      </w:tblPr>
      <w:tblGrid>
        <w:gridCol w:w="2689"/>
        <w:gridCol w:w="6373"/>
      </w:tblGrid>
      <w:tr w:rsidR="00DF7EAA" w14:paraId="001F792D" w14:textId="77777777" w:rsidTr="00154D4F">
        <w:tc>
          <w:tcPr>
            <w:tcW w:w="2689" w:type="dxa"/>
            <w:shd w:val="clear" w:color="auto" w:fill="F2F2F2" w:themeFill="background1" w:themeFillShade="F2"/>
          </w:tcPr>
          <w:p w14:paraId="02B15015" w14:textId="2D098433" w:rsidR="00DF7EAA" w:rsidRDefault="00DF7EAA" w:rsidP="00C46BB1">
            <w:pPr>
              <w:pStyle w:val="Paragraphe"/>
            </w:pPr>
            <w:proofErr w:type="spellStart"/>
            <w:r>
              <w:t>Climate</w:t>
            </w:r>
            <w:proofErr w:type="spellEnd"/>
            <w:r>
              <w:t xml:space="preserve"> Show à Maurice</w:t>
            </w:r>
          </w:p>
        </w:tc>
        <w:tc>
          <w:tcPr>
            <w:tcW w:w="6373" w:type="dxa"/>
            <w:shd w:val="clear" w:color="auto" w:fill="F2F2F2" w:themeFill="background1" w:themeFillShade="F2"/>
          </w:tcPr>
          <w:p w14:paraId="689F528F" w14:textId="77777777" w:rsidR="00DF7EAA" w:rsidRDefault="00017B32" w:rsidP="00C46BB1">
            <w:pPr>
              <w:pStyle w:val="Paragraphe"/>
            </w:pPr>
            <w:r>
              <w:t xml:space="preserve">+1000 personnes ont participé aux sessions du </w:t>
            </w:r>
            <w:proofErr w:type="spellStart"/>
            <w:r>
              <w:t>Climate</w:t>
            </w:r>
            <w:proofErr w:type="spellEnd"/>
            <w:r>
              <w:t xml:space="preserve"> Show (principalement des étudiants et lycéens)</w:t>
            </w:r>
          </w:p>
          <w:p w14:paraId="5A71F22F" w14:textId="77777777" w:rsidR="00017B32" w:rsidRDefault="00017B32" w:rsidP="00C46BB1">
            <w:pPr>
              <w:pStyle w:val="Paragraphe"/>
            </w:pPr>
            <w:r>
              <w:t>85 invités ont répondu présent à la soirée de lancement</w:t>
            </w:r>
          </w:p>
          <w:p w14:paraId="6759EE7F" w14:textId="6E0B4542" w:rsidR="00017B32" w:rsidRDefault="00017B32" w:rsidP="00C46BB1">
            <w:pPr>
              <w:pStyle w:val="Paragraphe"/>
            </w:pPr>
            <w:r>
              <w:t xml:space="preserve">1 conférence de presse et une couverture médiatique importante (12 médias nationaux ont consacré des sujets sur le </w:t>
            </w:r>
            <w:proofErr w:type="spellStart"/>
            <w:r>
              <w:t>Climate</w:t>
            </w:r>
            <w:proofErr w:type="spellEnd"/>
            <w:r>
              <w:t xml:space="preserve"> Show)</w:t>
            </w:r>
          </w:p>
        </w:tc>
      </w:tr>
      <w:tr w:rsidR="00DF7EAA" w14:paraId="02131822" w14:textId="77777777" w:rsidTr="00C556B1">
        <w:tc>
          <w:tcPr>
            <w:tcW w:w="2689" w:type="dxa"/>
          </w:tcPr>
          <w:p w14:paraId="52786134" w14:textId="3A058A60" w:rsidR="00DF7EAA" w:rsidRDefault="00DF7EAA" w:rsidP="00C46BB1">
            <w:pPr>
              <w:pStyle w:val="Paragraphe"/>
            </w:pPr>
            <w:r>
              <w:t>Exposition photo « 40 ans de coopération en Indianocéanie » au Sommet à Madagascar puis installation à la mairie d’Antananarivo</w:t>
            </w:r>
          </w:p>
        </w:tc>
        <w:tc>
          <w:tcPr>
            <w:tcW w:w="6373" w:type="dxa"/>
          </w:tcPr>
          <w:p w14:paraId="38726283" w14:textId="77777777" w:rsidR="00DF7EAA" w:rsidRDefault="005233EC" w:rsidP="00C46BB1">
            <w:pPr>
              <w:pStyle w:val="Paragraphe"/>
            </w:pPr>
            <w:r>
              <w:t>+/- 500 personnes ont visité l’exposition installé dans le hall lors du Sommet</w:t>
            </w:r>
          </w:p>
          <w:p w14:paraId="70FE0B68" w14:textId="77777777" w:rsidR="005233EC" w:rsidRDefault="00686A8A" w:rsidP="00C46BB1">
            <w:pPr>
              <w:pStyle w:val="Paragraphe"/>
            </w:pPr>
            <w:r>
              <w:t xml:space="preserve">+250 visiteurs </w:t>
            </w:r>
            <w:r w:rsidR="00F645F0">
              <w:t xml:space="preserve">pour la totalité de l’exposition à la mairie et env. 100 visiteurs supplémentaires pour une partie de l’expo. </w:t>
            </w:r>
          </w:p>
          <w:p w14:paraId="6F35E806" w14:textId="282DA5C8" w:rsidR="00F645F0" w:rsidRDefault="00F645F0" w:rsidP="00C46BB1">
            <w:pPr>
              <w:pStyle w:val="Paragraphe"/>
            </w:pPr>
            <w:r>
              <w:t xml:space="preserve">Profils divers : officiels, </w:t>
            </w:r>
            <w:r w:rsidR="002C0754">
              <w:t xml:space="preserve">agents de la mairie, écoliers, </w:t>
            </w:r>
            <w:r w:rsidR="0095582F">
              <w:t>des passants, des publics institutionnels</w:t>
            </w:r>
          </w:p>
        </w:tc>
      </w:tr>
      <w:tr w:rsidR="00DF7EAA" w14:paraId="6089F601" w14:textId="77777777" w:rsidTr="00154D4F">
        <w:tc>
          <w:tcPr>
            <w:tcW w:w="2689" w:type="dxa"/>
            <w:shd w:val="clear" w:color="auto" w:fill="F2F2F2" w:themeFill="background1" w:themeFillShade="F2"/>
          </w:tcPr>
          <w:p w14:paraId="1057D6D2" w14:textId="5B6F91A9" w:rsidR="00DF7EAA" w:rsidRDefault="00C76811" w:rsidP="00C46BB1">
            <w:pPr>
              <w:pStyle w:val="Paragraphe"/>
            </w:pPr>
            <w:r>
              <w:t>Festival du Livre de Trou d’eau douce</w:t>
            </w:r>
          </w:p>
        </w:tc>
        <w:tc>
          <w:tcPr>
            <w:tcW w:w="6373" w:type="dxa"/>
            <w:shd w:val="clear" w:color="auto" w:fill="F2F2F2" w:themeFill="background1" w:themeFillShade="F2"/>
          </w:tcPr>
          <w:p w14:paraId="6382F805" w14:textId="77777777" w:rsidR="00DF7EAA" w:rsidRDefault="0095582F" w:rsidP="00C46BB1">
            <w:pPr>
              <w:pStyle w:val="Paragraphe"/>
            </w:pPr>
            <w:r>
              <w:t>Maitrise de cérémonie pour la remise du prix Indianocéanie</w:t>
            </w:r>
          </w:p>
          <w:p w14:paraId="7D1D14C5" w14:textId="77777777" w:rsidR="0095582F" w:rsidRDefault="0095582F" w:rsidP="00C46BB1">
            <w:pPr>
              <w:pStyle w:val="Paragraphe"/>
            </w:pPr>
            <w:r>
              <w:t>Appui à la communication sur le prix Indianocéanie et le Festival du Livre (programmation)</w:t>
            </w:r>
          </w:p>
          <w:p w14:paraId="3B336766" w14:textId="77777777" w:rsidR="0095582F" w:rsidRDefault="0095582F" w:rsidP="00C46BB1">
            <w:pPr>
              <w:pStyle w:val="Paragraphe"/>
            </w:pPr>
            <w:r>
              <w:t>Participation à la conférence de presse à l’IFM (6 médias présents)</w:t>
            </w:r>
          </w:p>
          <w:p w14:paraId="0BCBC6BA" w14:textId="77777777" w:rsidR="0095582F" w:rsidRDefault="001617D2" w:rsidP="00C46BB1">
            <w:pPr>
              <w:pStyle w:val="Paragraphe"/>
            </w:pPr>
            <w:r>
              <w:t>Etablissement, avec le DI-5, du programme des activités sur le stand de la COI</w:t>
            </w:r>
          </w:p>
          <w:p w14:paraId="14D8E9B1" w14:textId="5F6B4772" w:rsidR="001617D2" w:rsidRDefault="001617D2" w:rsidP="00C46BB1">
            <w:pPr>
              <w:pStyle w:val="Paragraphe"/>
            </w:pPr>
            <w:r>
              <w:t xml:space="preserve">Accueil de </w:t>
            </w:r>
            <w:r w:rsidR="00786425">
              <w:t xml:space="preserve">+240 </w:t>
            </w:r>
            <w:r>
              <w:t xml:space="preserve">personnes </w:t>
            </w:r>
          </w:p>
        </w:tc>
      </w:tr>
    </w:tbl>
    <w:p w14:paraId="2A50E580" w14:textId="77777777" w:rsidR="00DF7EAA" w:rsidRDefault="00DF7EAA" w:rsidP="00C46BB1">
      <w:pPr>
        <w:pStyle w:val="Paragraphe"/>
      </w:pPr>
    </w:p>
    <w:p w14:paraId="38FC8721" w14:textId="220544C5" w:rsidR="00164317" w:rsidRDefault="00BC73DD" w:rsidP="00C46BB1">
      <w:pPr>
        <w:pStyle w:val="Paragraphe"/>
      </w:pPr>
      <w:r>
        <w:t>En out</w:t>
      </w:r>
      <w:r w:rsidR="004514A8">
        <w:t>r</w:t>
      </w:r>
      <w:r>
        <w:t>e, l’unité communication a apporté</w:t>
      </w:r>
      <w:r w:rsidR="00767223">
        <w:t xml:space="preserve"> des appuis aux évènements suivants : </w:t>
      </w:r>
    </w:p>
    <w:tbl>
      <w:tblPr>
        <w:tblStyle w:val="TableGrid"/>
        <w:tblW w:w="0" w:type="auto"/>
        <w:tblLook w:val="04A0" w:firstRow="1" w:lastRow="0" w:firstColumn="1" w:lastColumn="0" w:noHBand="0" w:noVBand="1"/>
      </w:tblPr>
      <w:tblGrid>
        <w:gridCol w:w="4106"/>
        <w:gridCol w:w="4956"/>
      </w:tblGrid>
      <w:tr w:rsidR="007C12F2" w14:paraId="2B5FA319" w14:textId="77777777" w:rsidTr="007467EA">
        <w:tc>
          <w:tcPr>
            <w:tcW w:w="4106" w:type="dxa"/>
            <w:shd w:val="clear" w:color="auto" w:fill="F2F2F2" w:themeFill="background1" w:themeFillShade="F2"/>
            <w:vAlign w:val="center"/>
          </w:tcPr>
          <w:p w14:paraId="6267B5C6" w14:textId="682098B4" w:rsidR="007C12F2" w:rsidRDefault="007C12F2" w:rsidP="007467EA">
            <w:pPr>
              <w:pStyle w:val="Paragraphe"/>
              <w:jc w:val="left"/>
            </w:pPr>
            <w:r>
              <w:t>Préparation et valorisation des escales du Plastic Odyssey (</w:t>
            </w:r>
            <w:proofErr w:type="spellStart"/>
            <w:r>
              <w:t>ExPLOI</w:t>
            </w:r>
            <w:proofErr w:type="spellEnd"/>
            <w:r>
              <w:t>)</w:t>
            </w:r>
          </w:p>
        </w:tc>
        <w:tc>
          <w:tcPr>
            <w:tcW w:w="4956" w:type="dxa"/>
            <w:shd w:val="clear" w:color="auto" w:fill="F2F2F2" w:themeFill="background1" w:themeFillShade="F2"/>
            <w:vAlign w:val="center"/>
          </w:tcPr>
          <w:p w14:paraId="3FB55A8D" w14:textId="458F1C63" w:rsidR="007C12F2" w:rsidRDefault="007C12F2" w:rsidP="007467EA">
            <w:pPr>
              <w:pStyle w:val="Paragraphe"/>
              <w:jc w:val="left"/>
            </w:pPr>
            <w:r>
              <w:t xml:space="preserve">Appui à la valorisation sur les canaux de la COI </w:t>
            </w:r>
          </w:p>
        </w:tc>
      </w:tr>
      <w:tr w:rsidR="007C12F2" w14:paraId="004F8714" w14:textId="77777777" w:rsidTr="00786425">
        <w:tc>
          <w:tcPr>
            <w:tcW w:w="4106" w:type="dxa"/>
            <w:shd w:val="clear" w:color="auto" w:fill="FFFFFF" w:themeFill="background1"/>
            <w:vAlign w:val="center"/>
          </w:tcPr>
          <w:p w14:paraId="09D7C8AF" w14:textId="158453A5" w:rsidR="007C12F2" w:rsidRDefault="007C12F2" w:rsidP="007467EA">
            <w:pPr>
              <w:pStyle w:val="Paragraphe"/>
              <w:jc w:val="left"/>
            </w:pPr>
            <w:r>
              <w:t>Exercice régional MASEPOLREX25 (Kenya)</w:t>
            </w:r>
          </w:p>
        </w:tc>
        <w:tc>
          <w:tcPr>
            <w:tcW w:w="4956" w:type="dxa"/>
            <w:shd w:val="clear" w:color="auto" w:fill="FFFFFF" w:themeFill="background1"/>
            <w:vAlign w:val="center"/>
          </w:tcPr>
          <w:p w14:paraId="363A9414" w14:textId="01B6F334" w:rsidR="007C12F2" w:rsidRDefault="007C12F2" w:rsidP="007467EA">
            <w:pPr>
              <w:pStyle w:val="Paragraphe"/>
              <w:jc w:val="left"/>
            </w:pPr>
            <w:r>
              <w:t xml:space="preserve">Relations presse et réalisation de contenus multimédias et rédactionnels, communication digitale, révision d’un texte publié dans le magazine international « The Conversation » par Pr. Sullivan d’Oxford, suivi de réalisation d’une vidéo valorisée sur les réseaux COI </w:t>
            </w:r>
          </w:p>
        </w:tc>
      </w:tr>
      <w:tr w:rsidR="007C12F2" w14:paraId="76D144A1" w14:textId="77777777" w:rsidTr="007467EA">
        <w:tc>
          <w:tcPr>
            <w:tcW w:w="4106" w:type="dxa"/>
            <w:shd w:val="clear" w:color="auto" w:fill="F2F2F2" w:themeFill="background1" w:themeFillShade="F2"/>
            <w:vAlign w:val="center"/>
          </w:tcPr>
          <w:p w14:paraId="287EED24" w14:textId="5B768215" w:rsidR="007C12F2" w:rsidRDefault="007C12F2" w:rsidP="007467EA">
            <w:pPr>
              <w:pStyle w:val="Paragraphe"/>
              <w:jc w:val="left"/>
            </w:pPr>
            <w:r>
              <w:t>Exposition photo « Parce que chaque voix compte » en itinérance à Madagascar</w:t>
            </w:r>
          </w:p>
        </w:tc>
        <w:tc>
          <w:tcPr>
            <w:tcW w:w="4956" w:type="dxa"/>
            <w:shd w:val="clear" w:color="auto" w:fill="F2F2F2" w:themeFill="background1" w:themeFillShade="F2"/>
            <w:vAlign w:val="center"/>
          </w:tcPr>
          <w:p w14:paraId="285C4509" w14:textId="47BB3D02" w:rsidR="007C12F2" w:rsidRDefault="007C12F2" w:rsidP="007467EA">
            <w:pPr>
              <w:pStyle w:val="Paragraphe"/>
              <w:jc w:val="left"/>
            </w:pPr>
            <w:r>
              <w:t xml:space="preserve">Lancement à Antananarivo et itinérance de l’exposition de janvier à mai 2025 touchant au moins 2554 personnes (dont 60% de public scolaire). Activités associées : conférences-débats, ateliers photo… </w:t>
            </w:r>
          </w:p>
        </w:tc>
      </w:tr>
      <w:tr w:rsidR="007C12F2" w14:paraId="255202F3" w14:textId="77777777" w:rsidTr="00786425">
        <w:tc>
          <w:tcPr>
            <w:tcW w:w="4106" w:type="dxa"/>
            <w:shd w:val="clear" w:color="auto" w:fill="FFFFFF" w:themeFill="background1"/>
            <w:vAlign w:val="center"/>
          </w:tcPr>
          <w:p w14:paraId="795C2C32" w14:textId="133FCCBA" w:rsidR="007C12F2" w:rsidRPr="004514A8" w:rsidRDefault="007C12F2" w:rsidP="007467EA">
            <w:pPr>
              <w:pStyle w:val="Paragraphe"/>
              <w:jc w:val="left"/>
            </w:pPr>
            <w:r>
              <w:t>Rencontre-action Vers des ICC sûres et inclusives en Indianocéanie (projet ICC)</w:t>
            </w:r>
          </w:p>
        </w:tc>
        <w:tc>
          <w:tcPr>
            <w:tcW w:w="4956" w:type="dxa"/>
            <w:shd w:val="clear" w:color="auto" w:fill="FFFFFF" w:themeFill="background1"/>
            <w:vAlign w:val="center"/>
          </w:tcPr>
          <w:p w14:paraId="6018751F" w14:textId="45012EC6" w:rsidR="007C12F2" w:rsidRDefault="007C12F2" w:rsidP="007467EA">
            <w:pPr>
              <w:pStyle w:val="Paragraphe"/>
              <w:jc w:val="left"/>
            </w:pPr>
            <w:r>
              <w:t>Communication digitale, création de visuels (affiche, réseaux sociaux), suivi avec le prestataire en charge des relations presses + prestataire en charge des vidéos témoignages</w:t>
            </w:r>
          </w:p>
        </w:tc>
      </w:tr>
      <w:tr w:rsidR="007C12F2" w14:paraId="7E4567DF" w14:textId="77777777" w:rsidTr="007467EA">
        <w:tc>
          <w:tcPr>
            <w:tcW w:w="4106" w:type="dxa"/>
            <w:shd w:val="clear" w:color="auto" w:fill="F2F2F2" w:themeFill="background1" w:themeFillShade="F2"/>
            <w:vAlign w:val="center"/>
          </w:tcPr>
          <w:p w14:paraId="7C32D39E" w14:textId="77777777" w:rsidR="007C12F2" w:rsidRPr="004514A8" w:rsidRDefault="007C12F2" w:rsidP="007467EA">
            <w:pPr>
              <w:pStyle w:val="Paragraphe"/>
              <w:jc w:val="left"/>
            </w:pPr>
            <w:r w:rsidRPr="004514A8">
              <w:t>Regional Innovation Challenge (TWENex) diffusé sur le</w:t>
            </w:r>
            <w:r>
              <w:t>s chaines de télévision nationales des Etats membres</w:t>
            </w:r>
          </w:p>
          <w:p w14:paraId="0ECA2658" w14:textId="77777777" w:rsidR="007C12F2" w:rsidRDefault="007C12F2" w:rsidP="007467EA">
            <w:pPr>
              <w:pStyle w:val="Paragraphe"/>
              <w:jc w:val="left"/>
            </w:pPr>
          </w:p>
        </w:tc>
        <w:tc>
          <w:tcPr>
            <w:tcW w:w="4956" w:type="dxa"/>
            <w:shd w:val="clear" w:color="auto" w:fill="F2F2F2" w:themeFill="background1" w:themeFillShade="F2"/>
            <w:vAlign w:val="center"/>
          </w:tcPr>
          <w:p w14:paraId="7C2DA5FA" w14:textId="4CC3A00D" w:rsidR="007C12F2" w:rsidRDefault="007C12F2" w:rsidP="007467EA">
            <w:pPr>
              <w:pStyle w:val="Paragraphe"/>
              <w:jc w:val="left"/>
            </w:pPr>
            <w:r>
              <w:t>Appui à la valorisation sur les canaux de la COI et maitrise de cérémonie de la finale régionale retransmise sur la télévision nationale mauricienne puis d’autres chaines publiques des Etats membres</w:t>
            </w:r>
          </w:p>
        </w:tc>
      </w:tr>
      <w:tr w:rsidR="007C12F2" w14:paraId="736F9D12" w14:textId="77777777" w:rsidTr="007467EA">
        <w:tc>
          <w:tcPr>
            <w:tcW w:w="4106" w:type="dxa"/>
            <w:vAlign w:val="center"/>
          </w:tcPr>
          <w:p w14:paraId="47AEC02F" w14:textId="065D872E" w:rsidR="007C12F2" w:rsidRDefault="007C12F2" w:rsidP="0077745A">
            <w:pPr>
              <w:pStyle w:val="Paragraphe"/>
              <w:jc w:val="left"/>
            </w:pPr>
            <w:r w:rsidRPr="005800A5">
              <w:t xml:space="preserve">Regional Challenge for </w:t>
            </w:r>
            <w:proofErr w:type="spellStart"/>
            <w:r w:rsidRPr="005800A5">
              <w:t>Youth</w:t>
            </w:r>
            <w:proofErr w:type="spellEnd"/>
            <w:r w:rsidRPr="005800A5">
              <w:t xml:space="preserve"> Entrepreneurs + série de webinaire</w:t>
            </w:r>
            <w:r>
              <w:t>s</w:t>
            </w:r>
            <w:r w:rsidRPr="005800A5">
              <w:t xml:space="preserve"> t</w:t>
            </w:r>
            <w:r>
              <w:t>hématiques (axe transversal jeunesse)</w:t>
            </w:r>
          </w:p>
        </w:tc>
        <w:tc>
          <w:tcPr>
            <w:tcW w:w="4956" w:type="dxa"/>
            <w:vAlign w:val="center"/>
          </w:tcPr>
          <w:p w14:paraId="160FB3C0" w14:textId="5EE73E41" w:rsidR="007C12F2" w:rsidRDefault="007C12F2" w:rsidP="007467EA">
            <w:pPr>
              <w:pStyle w:val="Paragraphe"/>
              <w:jc w:val="left"/>
            </w:pPr>
            <w:r>
              <w:t>Appui à la communication</w:t>
            </w:r>
          </w:p>
        </w:tc>
      </w:tr>
      <w:tr w:rsidR="007C12F2" w14:paraId="111D8AAC" w14:textId="77777777" w:rsidTr="007467EA">
        <w:tc>
          <w:tcPr>
            <w:tcW w:w="4106" w:type="dxa"/>
            <w:shd w:val="clear" w:color="auto" w:fill="F2F2F2" w:themeFill="background1" w:themeFillShade="F2"/>
            <w:vAlign w:val="center"/>
          </w:tcPr>
          <w:p w14:paraId="15C5E6F4" w14:textId="77777777" w:rsidR="007C12F2" w:rsidRDefault="007C12F2" w:rsidP="007467EA">
            <w:pPr>
              <w:pStyle w:val="Paragraphe"/>
              <w:jc w:val="left"/>
            </w:pPr>
            <w:r>
              <w:t>4</w:t>
            </w:r>
            <w:r w:rsidRPr="005800A5">
              <w:rPr>
                <w:vertAlign w:val="superscript"/>
              </w:rPr>
              <w:t>ème</w:t>
            </w:r>
            <w:r>
              <w:t xml:space="preserve"> Dialogue régional intergénérationnel (COMESA et UA)</w:t>
            </w:r>
          </w:p>
          <w:p w14:paraId="1BE9B0F4" w14:textId="77777777" w:rsidR="007C12F2" w:rsidRDefault="007C12F2" w:rsidP="007467EA">
            <w:pPr>
              <w:pStyle w:val="Paragraphe"/>
              <w:jc w:val="left"/>
            </w:pPr>
          </w:p>
        </w:tc>
        <w:tc>
          <w:tcPr>
            <w:tcW w:w="4956" w:type="dxa"/>
            <w:shd w:val="clear" w:color="auto" w:fill="F2F2F2" w:themeFill="background1" w:themeFillShade="F2"/>
            <w:vAlign w:val="center"/>
          </w:tcPr>
          <w:p w14:paraId="6F364C64" w14:textId="32730558" w:rsidR="007C12F2" w:rsidRDefault="007C12F2" w:rsidP="007467EA">
            <w:pPr>
              <w:pStyle w:val="Paragraphe"/>
              <w:jc w:val="left"/>
            </w:pPr>
            <w:r>
              <w:t>Appui à la communication : réseaux sociaux, communiqué de presse et article</w:t>
            </w:r>
          </w:p>
        </w:tc>
      </w:tr>
      <w:tr w:rsidR="00360111" w14:paraId="3AE8D565" w14:textId="77777777" w:rsidTr="007467EA">
        <w:tc>
          <w:tcPr>
            <w:tcW w:w="4106" w:type="dxa"/>
            <w:shd w:val="clear" w:color="auto" w:fill="F2F2F2" w:themeFill="background1" w:themeFillShade="F2"/>
            <w:vAlign w:val="center"/>
          </w:tcPr>
          <w:p w14:paraId="47F9EF71" w14:textId="78607FC8" w:rsidR="00360111" w:rsidRDefault="00360111" w:rsidP="007467EA">
            <w:pPr>
              <w:pStyle w:val="Paragraphe"/>
              <w:jc w:val="left"/>
            </w:pPr>
            <w:r>
              <w:t>Concours vidéo « Quand la nature se fâche » dans le cadre du projet RDRM</w:t>
            </w:r>
          </w:p>
        </w:tc>
        <w:tc>
          <w:tcPr>
            <w:tcW w:w="4956" w:type="dxa"/>
            <w:shd w:val="clear" w:color="auto" w:fill="F2F2F2" w:themeFill="background1" w:themeFillShade="F2"/>
            <w:vAlign w:val="center"/>
          </w:tcPr>
          <w:p w14:paraId="5A639F73" w14:textId="1FA31D91" w:rsidR="00360111" w:rsidRDefault="00360111" w:rsidP="007467EA">
            <w:pPr>
              <w:pStyle w:val="Paragraphe"/>
              <w:jc w:val="left"/>
            </w:pPr>
            <w:r>
              <w:t xml:space="preserve">Révision et finalisation de la documentation du concours, appui au suivi des </w:t>
            </w:r>
            <w:r w:rsidR="0077745A">
              <w:t>candidatures et des évaluations, communication média et institutionnelle, suivi de la clôture de l’activité, communication digitale</w:t>
            </w:r>
          </w:p>
        </w:tc>
      </w:tr>
    </w:tbl>
    <w:p w14:paraId="559ACD52" w14:textId="4D17ABE1" w:rsidR="00164317" w:rsidRPr="00C966F0" w:rsidRDefault="00E76C2A" w:rsidP="00A87B16">
      <w:pPr>
        <w:pStyle w:val="Paragraphe"/>
        <w:contextualSpacing/>
      </w:pPr>
      <w:r w:rsidRPr="00C966F0">
        <w:t>Les appuis ou la supervision</w:t>
      </w:r>
      <w:r w:rsidR="00C966F0" w:rsidRPr="00C966F0">
        <w:t xml:space="preserve"> de l’unité de communication a également porté sur de nombreuses autres </w:t>
      </w:r>
      <w:r w:rsidR="005F6CE5" w:rsidRPr="00C966F0">
        <w:t xml:space="preserve">activités </w:t>
      </w:r>
      <w:r w:rsidR="005F6CE5">
        <w:t>:</w:t>
      </w:r>
      <w:r w:rsidR="00A8404C">
        <w:t xml:space="preserve"> Prix Indianocéanie, appels à projets ICC, etc</w:t>
      </w:r>
      <w:r w:rsidR="00C966F0" w:rsidRPr="00C966F0">
        <w:t xml:space="preserve">. </w:t>
      </w:r>
    </w:p>
    <w:p w14:paraId="5E1BC7DB" w14:textId="77777777" w:rsidR="00F60FB5" w:rsidRDefault="00F60FB5" w:rsidP="00F60FB5">
      <w:pPr>
        <w:pStyle w:val="Paragraphe"/>
        <w:ind w:left="1440"/>
        <w:contextualSpacing/>
      </w:pPr>
    </w:p>
    <w:p w14:paraId="54854EB5" w14:textId="41C39BD3" w:rsidR="002C56ED" w:rsidRPr="00A76B07" w:rsidRDefault="002B72DB" w:rsidP="00C46BB1">
      <w:pPr>
        <w:pStyle w:val="Sous-partie2"/>
        <w:contextualSpacing w:val="0"/>
      </w:pPr>
      <w:r>
        <w:t>Objectif spécifique 3 | La compréhension de la COI, de sa mission et de ses actions s’améliore au sein des groupes cibles</w:t>
      </w:r>
    </w:p>
    <w:p w14:paraId="7E8AFC27" w14:textId="1E6F4CA5" w:rsidR="00CE3DB5" w:rsidRDefault="00C849FE" w:rsidP="00C46BB1">
      <w:pPr>
        <w:pStyle w:val="Paragraphe"/>
      </w:pPr>
      <w:r>
        <w:t xml:space="preserve">L’unité communication a produit un ensemble de contenus et outils pour faciliter </w:t>
      </w:r>
      <w:r w:rsidR="007A0B69">
        <w:t xml:space="preserve">la compréhension de la COI et de ses missions, notamment : </w:t>
      </w:r>
    </w:p>
    <w:p w14:paraId="51992149" w14:textId="48C4817A" w:rsidR="00754899" w:rsidRDefault="007A0B69" w:rsidP="001C54EE">
      <w:pPr>
        <w:pStyle w:val="Paragraphe"/>
        <w:numPr>
          <w:ilvl w:val="0"/>
          <w:numId w:val="22"/>
        </w:numPr>
        <w:ind w:left="714" w:hanging="357"/>
        <w:contextualSpacing/>
      </w:pPr>
      <w:r>
        <w:t>Une brochure institutionnelle en français et anglais</w:t>
      </w:r>
      <w:r w:rsidR="006E0FFF">
        <w:t> ;</w:t>
      </w:r>
    </w:p>
    <w:p w14:paraId="44C698ED" w14:textId="1D3B644E" w:rsidR="007A0B69" w:rsidRDefault="00A976A7" w:rsidP="001C54EE">
      <w:pPr>
        <w:pStyle w:val="Paragraphe"/>
        <w:numPr>
          <w:ilvl w:val="0"/>
          <w:numId w:val="22"/>
        </w:numPr>
        <w:ind w:left="714" w:hanging="357"/>
        <w:contextualSpacing/>
      </w:pPr>
      <w:r>
        <w:t xml:space="preserve">Une brochure de synthèse du Plan de développement stratégique en </w:t>
      </w:r>
      <w:r w:rsidR="007155F5">
        <w:t>français ;</w:t>
      </w:r>
    </w:p>
    <w:p w14:paraId="4DEC16E5" w14:textId="5217F411" w:rsidR="00A976A7" w:rsidRDefault="00A976A7" w:rsidP="00D96D4B">
      <w:pPr>
        <w:pStyle w:val="Paragraphe"/>
        <w:numPr>
          <w:ilvl w:val="0"/>
          <w:numId w:val="22"/>
        </w:numPr>
        <w:ind w:left="714" w:hanging="357"/>
        <w:contextualSpacing/>
      </w:pPr>
      <w:r>
        <w:t>Des contenus explicatifs et vulgarisateurs sur le site Internet</w:t>
      </w:r>
      <w:r w:rsidR="00467E5D">
        <w:t xml:space="preserve"> et</w:t>
      </w:r>
      <w:r>
        <w:t xml:space="preserve"> les réseaux sociaux (ex : Qu’est-que la résilience ? </w:t>
      </w:r>
      <w:r w:rsidR="00467E5D">
        <w:t>Comprendre la coopération à travers l’action de la COI</w:t>
      </w:r>
      <w:r w:rsidR="002344FE">
        <w:t xml:space="preserve"> ? </w:t>
      </w:r>
      <w:r w:rsidR="00363660">
        <w:t>Idées reçues sur la COI, etc.)</w:t>
      </w:r>
      <w:r w:rsidR="006E0FFF">
        <w:t> ;</w:t>
      </w:r>
    </w:p>
    <w:p w14:paraId="3BF8A025" w14:textId="77B5837A" w:rsidR="00363660" w:rsidRDefault="00363660" w:rsidP="00D96D4B">
      <w:pPr>
        <w:pStyle w:val="Paragraphe"/>
        <w:numPr>
          <w:ilvl w:val="0"/>
          <w:numId w:val="22"/>
        </w:numPr>
        <w:ind w:left="714" w:hanging="357"/>
        <w:contextualSpacing/>
      </w:pPr>
      <w:r>
        <w:t xml:space="preserve">Une newsletter électronique diffusée à </w:t>
      </w:r>
      <w:r w:rsidR="009F704F">
        <w:t>+1200</w:t>
      </w:r>
      <w:r w:rsidR="00185159">
        <w:t xml:space="preserve"> abonnés</w:t>
      </w:r>
      <w:r w:rsidR="00E77A29">
        <w:t xml:space="preserve"> ; </w:t>
      </w:r>
    </w:p>
    <w:p w14:paraId="4CB9CD5E" w14:textId="58829792" w:rsidR="00E77A29" w:rsidRDefault="00E77A29" w:rsidP="00D96D4B">
      <w:pPr>
        <w:pStyle w:val="Paragraphe"/>
        <w:numPr>
          <w:ilvl w:val="0"/>
          <w:numId w:val="22"/>
        </w:numPr>
        <w:ind w:left="714" w:hanging="357"/>
        <w:contextualSpacing/>
      </w:pPr>
      <w:r>
        <w:t xml:space="preserve">Une publication spéciale à l’occasion du Sommet des chefs d’Etat et de gouvernement (également disponible en ligne) ; </w:t>
      </w:r>
    </w:p>
    <w:p w14:paraId="36D3593F" w14:textId="76062E75" w:rsidR="001D7073" w:rsidRDefault="00E77A29" w:rsidP="00D96D4B">
      <w:pPr>
        <w:pStyle w:val="Paragraphe"/>
        <w:numPr>
          <w:ilvl w:val="0"/>
          <w:numId w:val="22"/>
        </w:numPr>
        <w:contextualSpacing/>
      </w:pPr>
      <w:r>
        <w:t>Le rapport pluriannuel 2021-2024 de la COI (également disponible en ligne)</w:t>
      </w:r>
      <w:r w:rsidR="009F704F">
        <w:t xml:space="preserve"> et le rapport annuel 2025 (en cours de finalisation)</w:t>
      </w:r>
      <w:r w:rsidR="001D7073">
        <w:t xml:space="preserve"> ; </w:t>
      </w:r>
    </w:p>
    <w:p w14:paraId="5A607B9A" w14:textId="4D5D4275" w:rsidR="00E77A29" w:rsidRDefault="001D7073" w:rsidP="007A0B69">
      <w:pPr>
        <w:pStyle w:val="Paragraphe"/>
        <w:numPr>
          <w:ilvl w:val="0"/>
          <w:numId w:val="22"/>
        </w:numPr>
      </w:pPr>
      <w:r>
        <w:t>Des tribunes ou contenus publiés dans les médias de la région</w:t>
      </w:r>
      <w:r w:rsidR="00E77A29">
        <w:t xml:space="preserve">. </w:t>
      </w:r>
    </w:p>
    <w:p w14:paraId="0C55E1DA" w14:textId="4BB403E2" w:rsidR="00B26DFA" w:rsidRPr="00A56F94" w:rsidRDefault="003E5FCE" w:rsidP="00C46BB1">
      <w:pPr>
        <w:pStyle w:val="Paragraphe"/>
        <w:rPr>
          <w:sz w:val="2"/>
          <w:szCs w:val="2"/>
        </w:rPr>
      </w:pPr>
      <w:r>
        <w:t xml:space="preserve"> </w:t>
      </w:r>
    </w:p>
    <w:p w14:paraId="3DD61723" w14:textId="4CA68E12" w:rsidR="001644FE" w:rsidRDefault="001644FE" w:rsidP="00E9111D">
      <w:pPr>
        <w:pStyle w:val="Paragraphe"/>
        <w:numPr>
          <w:ilvl w:val="0"/>
          <w:numId w:val="26"/>
        </w:numPr>
        <w:pBdr>
          <w:top w:val="single" w:sz="4" w:space="1" w:color="auto"/>
          <w:left w:val="single" w:sz="4" w:space="4" w:color="auto"/>
          <w:bottom w:val="single" w:sz="4" w:space="1" w:color="auto"/>
          <w:right w:val="single" w:sz="4" w:space="4" w:color="auto"/>
        </w:pBdr>
      </w:pPr>
      <w:r w:rsidRPr="007C22B1">
        <w:rPr>
          <w:b/>
          <w:bCs/>
        </w:rPr>
        <w:t>RECOMMANDATION :</w:t>
      </w:r>
      <w:r>
        <w:t xml:space="preserve"> Les activités des projets (</w:t>
      </w:r>
      <w:r w:rsidR="00764CBF">
        <w:t>ateliers, subventions, formations…) doivent idéalement intégrer une séquence de présentation de la COI</w:t>
      </w:r>
      <w:r w:rsidR="00C20C44">
        <w:t xml:space="preserve">. </w:t>
      </w:r>
    </w:p>
    <w:p w14:paraId="68241279" w14:textId="77777777" w:rsidR="00A56F94" w:rsidRDefault="00A56F94" w:rsidP="00A56F94">
      <w:pPr>
        <w:pStyle w:val="Sous-partie2"/>
        <w:numPr>
          <w:ilvl w:val="0"/>
          <w:numId w:val="0"/>
        </w:numPr>
        <w:ind w:left="1080"/>
        <w:contextualSpacing w:val="0"/>
      </w:pPr>
    </w:p>
    <w:p w14:paraId="4EC58EA2" w14:textId="7BE054D9" w:rsidR="00511866" w:rsidRDefault="002B72DB" w:rsidP="00C46BB1">
      <w:pPr>
        <w:pStyle w:val="Sous-partie2"/>
        <w:contextualSpacing w:val="0"/>
      </w:pPr>
      <w:r>
        <w:t>Objectif spécifique 4 | L’engagement moyen sur les plateformes digitales de la COI enregistre une hausse de +10% chaque année</w:t>
      </w:r>
    </w:p>
    <w:p w14:paraId="495876F7" w14:textId="11FC9AC1" w:rsidR="0027709F" w:rsidRDefault="006C5425" w:rsidP="00C46BB1">
      <w:pPr>
        <w:pStyle w:val="Paragraphe"/>
      </w:pPr>
      <w:r>
        <w:t xml:space="preserve">La communication digitale est un axe fort de la stratégie de communication et visibilité </w:t>
      </w:r>
      <w:r w:rsidR="001A42B6">
        <w:t xml:space="preserve">puisqu’il permet d’optimiser le ratio coût-bénéfice tout en touchant des publics cibles variés selon les plateformes et les pays. </w:t>
      </w:r>
      <w:r w:rsidR="009A1743">
        <w:t xml:space="preserve">L’unité communication gère au quotidien le </w:t>
      </w:r>
      <w:r w:rsidR="001A42B6">
        <w:t xml:space="preserve">site Internet et </w:t>
      </w:r>
      <w:r w:rsidR="009031CC">
        <w:t xml:space="preserve">5 plateformes de réseau social (Facebook, Instagram, LinkedIn, X, </w:t>
      </w:r>
      <w:proofErr w:type="spellStart"/>
      <w:r w:rsidR="009031CC">
        <w:t>Youtube</w:t>
      </w:r>
      <w:proofErr w:type="spellEnd"/>
      <w:r w:rsidR="009031CC">
        <w:t xml:space="preserve">). </w:t>
      </w:r>
    </w:p>
    <w:p w14:paraId="4C71D1A2" w14:textId="743DFAF6" w:rsidR="006D0051" w:rsidRPr="0016319F" w:rsidRDefault="0016319F" w:rsidP="0016319F">
      <w:pPr>
        <w:pStyle w:val="ListParagraph"/>
        <w:numPr>
          <w:ilvl w:val="2"/>
          <w:numId w:val="3"/>
        </w:numPr>
        <w:rPr>
          <w:b/>
          <w:bCs/>
        </w:rPr>
      </w:pPr>
      <w:r w:rsidRPr="0016319F">
        <w:rPr>
          <w:b/>
          <w:bCs/>
        </w:rPr>
        <w:t>Site Internet</w:t>
      </w:r>
    </w:p>
    <w:p w14:paraId="25C7A424" w14:textId="13110176" w:rsidR="00C271E8" w:rsidRDefault="5182502F" w:rsidP="00C271E8">
      <w:pPr>
        <w:pStyle w:val="Paragraphe"/>
      </w:pPr>
      <w:r w:rsidRPr="37E1C4A6">
        <w:rPr>
          <w:b/>
          <w:bCs/>
        </w:rPr>
        <w:t xml:space="preserve">Le site Internet comptabilise </w:t>
      </w:r>
      <w:r w:rsidR="3C7F94A0" w:rsidRPr="37E1C4A6">
        <w:rPr>
          <w:b/>
          <w:bCs/>
        </w:rPr>
        <w:t>86 000</w:t>
      </w:r>
      <w:r w:rsidRPr="37E1C4A6">
        <w:rPr>
          <w:b/>
          <w:bCs/>
        </w:rPr>
        <w:t xml:space="preserve"> utilisateurs actifs</w:t>
      </w:r>
      <w:r>
        <w:t xml:space="preserve"> sur l’année 2025 soit une </w:t>
      </w:r>
      <w:r w:rsidRPr="37E1C4A6">
        <w:rPr>
          <w:b/>
          <w:bCs/>
        </w:rPr>
        <w:t xml:space="preserve">augmentation </w:t>
      </w:r>
      <w:r w:rsidRPr="00944DDC">
        <w:rPr>
          <w:b/>
          <w:bCs/>
        </w:rPr>
        <w:t>de +</w:t>
      </w:r>
      <w:r w:rsidR="47E5FA3C" w:rsidRPr="00944DDC">
        <w:rPr>
          <w:b/>
          <w:bCs/>
        </w:rPr>
        <w:t>12</w:t>
      </w:r>
      <w:r w:rsidRPr="00944DDC">
        <w:rPr>
          <w:b/>
          <w:bCs/>
        </w:rPr>
        <w:t>%</w:t>
      </w:r>
      <w:r>
        <w:t xml:space="preserve"> par rapport à 2024. 5</w:t>
      </w:r>
      <w:r w:rsidR="6D0BC404">
        <w:t>0</w:t>
      </w:r>
      <w:r>
        <w:t xml:space="preserve">% des utilisateurs proviennent de recherches organiques démontrant un intérêt pour la COI, </w:t>
      </w:r>
      <w:r w:rsidR="1AD260F5">
        <w:t>34</w:t>
      </w:r>
      <w:r>
        <w:t xml:space="preserve">% via des </w:t>
      </w:r>
      <w:proofErr w:type="spellStart"/>
      <w:r>
        <w:t>urls</w:t>
      </w:r>
      <w:proofErr w:type="spellEnd"/>
      <w:r>
        <w:t xml:space="preserve"> partagés (newsletter, communiqués…) et 1</w:t>
      </w:r>
      <w:r w:rsidR="6A6020F5">
        <w:t>5</w:t>
      </w:r>
      <w:r>
        <w:t>% à travers les réseaux sociaux.</w:t>
      </w:r>
    </w:p>
    <w:p w14:paraId="76F0D204" w14:textId="77777777" w:rsidR="00C271E8" w:rsidRPr="004340F7" w:rsidRDefault="5182502F" w:rsidP="00C271E8">
      <w:pPr>
        <w:rPr>
          <w:rFonts w:ascii="Verdana" w:hAnsi="Verdana"/>
          <w:sz w:val="20"/>
          <w:szCs w:val="20"/>
        </w:rPr>
      </w:pPr>
      <w:r w:rsidRPr="004340F7">
        <w:rPr>
          <w:rFonts w:ascii="Verdana" w:hAnsi="Verdana"/>
          <w:sz w:val="20"/>
          <w:szCs w:val="20"/>
        </w:rPr>
        <w:t xml:space="preserve">Les profils des utilisateurs sont globalement les mêmes : </w:t>
      </w:r>
    </w:p>
    <w:tbl>
      <w:tblPr>
        <w:tblW w:w="0" w:type="auto"/>
        <w:tblLook w:val="06A0" w:firstRow="1" w:lastRow="0" w:firstColumn="1" w:lastColumn="0" w:noHBand="1" w:noVBand="1"/>
      </w:tblPr>
      <w:tblGrid>
        <w:gridCol w:w="1693"/>
        <w:gridCol w:w="2268"/>
        <w:gridCol w:w="2268"/>
        <w:gridCol w:w="993"/>
      </w:tblGrid>
      <w:tr w:rsidR="37E1C4A6" w14:paraId="66A89FB6" w14:textId="77777777" w:rsidTr="0099154B">
        <w:trPr>
          <w:trHeight w:val="285"/>
        </w:trPr>
        <w:tc>
          <w:tcPr>
            <w:tcW w:w="1693" w:type="dxa"/>
            <w:tcBorders>
              <w:top w:val="single" w:sz="6" w:space="0" w:color="8ED973"/>
              <w:left w:val="single" w:sz="6" w:space="0" w:color="8ED973"/>
              <w:bottom w:val="single" w:sz="6" w:space="0" w:color="8ED973"/>
              <w:right w:val="nil"/>
            </w:tcBorders>
            <w:tcMar>
              <w:top w:w="15" w:type="dxa"/>
              <w:left w:w="15" w:type="dxa"/>
              <w:right w:w="15" w:type="dxa"/>
            </w:tcMar>
            <w:vAlign w:val="bottom"/>
          </w:tcPr>
          <w:p w14:paraId="13E083EA" w14:textId="39FDC1F4"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Pays</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5085B51D" w14:textId="5270C654"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Utilisateurs actifs 2024</w:t>
            </w:r>
          </w:p>
        </w:tc>
        <w:tc>
          <w:tcPr>
            <w:tcW w:w="2268" w:type="dxa"/>
            <w:tcBorders>
              <w:top w:val="nil"/>
              <w:left w:val="nil"/>
              <w:bottom w:val="nil"/>
              <w:right w:val="nil"/>
            </w:tcBorders>
            <w:tcMar>
              <w:top w:w="15" w:type="dxa"/>
              <w:left w:w="15" w:type="dxa"/>
              <w:right w:w="15" w:type="dxa"/>
            </w:tcMar>
            <w:vAlign w:val="bottom"/>
          </w:tcPr>
          <w:p w14:paraId="66120675" w14:textId="7559B722"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Utilisateurs actifs 2025</w:t>
            </w:r>
          </w:p>
        </w:tc>
        <w:tc>
          <w:tcPr>
            <w:tcW w:w="993" w:type="dxa"/>
            <w:tcBorders>
              <w:top w:val="nil"/>
              <w:left w:val="nil"/>
              <w:bottom w:val="nil"/>
              <w:right w:val="nil"/>
            </w:tcBorders>
            <w:tcMar>
              <w:top w:w="15" w:type="dxa"/>
              <w:left w:w="15" w:type="dxa"/>
              <w:right w:w="15" w:type="dxa"/>
            </w:tcMar>
            <w:vAlign w:val="bottom"/>
          </w:tcPr>
          <w:p w14:paraId="5021F301" w14:textId="5B4A338C"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Evolution</w:t>
            </w:r>
          </w:p>
        </w:tc>
      </w:tr>
      <w:tr w:rsidR="37E1C4A6" w14:paraId="608E651E" w14:textId="77777777" w:rsidTr="0099154B">
        <w:trPr>
          <w:trHeight w:val="285"/>
        </w:trPr>
        <w:tc>
          <w:tcPr>
            <w:tcW w:w="1693" w:type="dxa"/>
            <w:tcBorders>
              <w:top w:val="single" w:sz="6" w:space="0" w:color="8ED973"/>
              <w:left w:val="single" w:sz="6" w:space="0" w:color="8ED973"/>
              <w:bottom w:val="single" w:sz="6" w:space="0" w:color="8ED973"/>
              <w:right w:val="nil"/>
            </w:tcBorders>
            <w:shd w:val="clear" w:color="auto" w:fill="DAF2D0"/>
            <w:tcMar>
              <w:top w:w="15" w:type="dxa"/>
              <w:left w:w="15" w:type="dxa"/>
              <w:right w:w="15" w:type="dxa"/>
            </w:tcMar>
            <w:vAlign w:val="bottom"/>
          </w:tcPr>
          <w:p w14:paraId="09F407EA" w14:textId="18CF982A"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Madagascar</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5036DA2F" w14:textId="6E2C850F"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18941</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67273EC8" w14:textId="7D62D22A"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24103</w:t>
            </w:r>
          </w:p>
        </w:tc>
        <w:tc>
          <w:tcPr>
            <w:tcW w:w="993" w:type="dxa"/>
            <w:tcBorders>
              <w:top w:val="nil"/>
              <w:left w:val="nil"/>
              <w:bottom w:val="nil"/>
              <w:right w:val="nil"/>
            </w:tcBorders>
            <w:tcMar>
              <w:top w:w="15" w:type="dxa"/>
              <w:left w:w="15" w:type="dxa"/>
              <w:right w:w="15" w:type="dxa"/>
            </w:tcMar>
            <w:vAlign w:val="bottom"/>
          </w:tcPr>
          <w:p w14:paraId="7FFC0A74" w14:textId="470A4299"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27%</w:t>
            </w:r>
          </w:p>
        </w:tc>
      </w:tr>
      <w:tr w:rsidR="37E1C4A6" w14:paraId="4BEE775C" w14:textId="77777777" w:rsidTr="0099154B">
        <w:trPr>
          <w:trHeight w:val="285"/>
        </w:trPr>
        <w:tc>
          <w:tcPr>
            <w:tcW w:w="1693" w:type="dxa"/>
            <w:tcBorders>
              <w:top w:val="single" w:sz="6" w:space="0" w:color="8ED973"/>
              <w:left w:val="single" w:sz="6" w:space="0" w:color="8ED973"/>
              <w:bottom w:val="single" w:sz="6" w:space="0" w:color="8ED973"/>
              <w:right w:val="nil"/>
            </w:tcBorders>
            <w:tcMar>
              <w:top w:w="15" w:type="dxa"/>
              <w:left w:w="15" w:type="dxa"/>
              <w:right w:w="15" w:type="dxa"/>
            </w:tcMar>
            <w:vAlign w:val="bottom"/>
          </w:tcPr>
          <w:p w14:paraId="6E34DE85" w14:textId="7D2B2E5C"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Mauri</w:t>
            </w:r>
            <w:r w:rsidR="00CA4597">
              <w:rPr>
                <w:rFonts w:ascii="Aptos Narrow" w:eastAsia="Aptos Narrow" w:hAnsi="Aptos Narrow" w:cs="Aptos Narrow"/>
                <w:color w:val="000000" w:themeColor="text1"/>
              </w:rPr>
              <w:t>ce</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544C4CB5" w14:textId="3EEEA408"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10796</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23E594DE" w14:textId="4B690179"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11542</w:t>
            </w:r>
          </w:p>
        </w:tc>
        <w:tc>
          <w:tcPr>
            <w:tcW w:w="993" w:type="dxa"/>
            <w:tcBorders>
              <w:top w:val="nil"/>
              <w:left w:val="nil"/>
              <w:bottom w:val="nil"/>
              <w:right w:val="nil"/>
            </w:tcBorders>
            <w:tcMar>
              <w:top w:w="15" w:type="dxa"/>
              <w:left w:w="15" w:type="dxa"/>
              <w:right w:w="15" w:type="dxa"/>
            </w:tcMar>
            <w:vAlign w:val="bottom"/>
          </w:tcPr>
          <w:p w14:paraId="740306FA" w14:textId="719A7161"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7%</w:t>
            </w:r>
          </w:p>
        </w:tc>
      </w:tr>
      <w:tr w:rsidR="37E1C4A6" w14:paraId="468A870A" w14:textId="77777777" w:rsidTr="0099154B">
        <w:trPr>
          <w:trHeight w:val="285"/>
        </w:trPr>
        <w:tc>
          <w:tcPr>
            <w:tcW w:w="1693" w:type="dxa"/>
            <w:tcBorders>
              <w:top w:val="single" w:sz="6" w:space="0" w:color="8ED973"/>
              <w:left w:val="single" w:sz="6" w:space="0" w:color="8ED973"/>
              <w:bottom w:val="single" w:sz="6" w:space="0" w:color="8ED973"/>
              <w:right w:val="nil"/>
            </w:tcBorders>
            <w:shd w:val="clear" w:color="auto" w:fill="DAF2D0"/>
            <w:tcMar>
              <w:top w:w="15" w:type="dxa"/>
              <w:left w:w="15" w:type="dxa"/>
              <w:right w:w="15" w:type="dxa"/>
            </w:tcMar>
            <w:vAlign w:val="bottom"/>
          </w:tcPr>
          <w:p w14:paraId="34FFCA5C" w14:textId="469A83D5"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France</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0ACE536E" w14:textId="777A88EF"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9890</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64CDE060" w14:textId="605E238B"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11091</w:t>
            </w:r>
          </w:p>
        </w:tc>
        <w:tc>
          <w:tcPr>
            <w:tcW w:w="993" w:type="dxa"/>
            <w:tcBorders>
              <w:top w:val="nil"/>
              <w:left w:val="nil"/>
              <w:bottom w:val="nil"/>
              <w:right w:val="nil"/>
            </w:tcBorders>
            <w:tcMar>
              <w:top w:w="15" w:type="dxa"/>
              <w:left w:w="15" w:type="dxa"/>
              <w:right w:w="15" w:type="dxa"/>
            </w:tcMar>
            <w:vAlign w:val="bottom"/>
          </w:tcPr>
          <w:p w14:paraId="0CB89849" w14:textId="45C10EE4"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12%</w:t>
            </w:r>
          </w:p>
        </w:tc>
      </w:tr>
      <w:tr w:rsidR="37E1C4A6" w14:paraId="5A499C41" w14:textId="77777777" w:rsidTr="0099154B">
        <w:trPr>
          <w:trHeight w:val="285"/>
        </w:trPr>
        <w:tc>
          <w:tcPr>
            <w:tcW w:w="1693" w:type="dxa"/>
            <w:tcBorders>
              <w:top w:val="single" w:sz="6" w:space="0" w:color="8ED973"/>
              <w:left w:val="single" w:sz="6" w:space="0" w:color="8ED973"/>
              <w:bottom w:val="single" w:sz="6" w:space="0" w:color="8ED973"/>
              <w:right w:val="nil"/>
            </w:tcBorders>
            <w:tcMar>
              <w:top w:w="15" w:type="dxa"/>
              <w:left w:w="15" w:type="dxa"/>
              <w:right w:w="15" w:type="dxa"/>
            </w:tcMar>
            <w:vAlign w:val="bottom"/>
          </w:tcPr>
          <w:p w14:paraId="5EB60E4F" w14:textId="64493D29" w:rsidR="37E1C4A6" w:rsidRDefault="00CA4597" w:rsidP="00BD2A6F">
            <w:pPr>
              <w:spacing w:after="0"/>
              <w:rPr>
                <w:rFonts w:ascii="Aptos Narrow" w:eastAsia="Aptos Narrow" w:hAnsi="Aptos Narrow" w:cs="Aptos Narrow"/>
                <w:color w:val="000000" w:themeColor="text1"/>
              </w:rPr>
            </w:pPr>
            <w:r>
              <w:rPr>
                <w:rFonts w:ascii="Aptos Narrow" w:eastAsia="Aptos Narrow" w:hAnsi="Aptos Narrow" w:cs="Aptos Narrow"/>
                <w:color w:val="000000" w:themeColor="text1"/>
              </w:rPr>
              <w:t>États-Unis</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1F4175EA" w14:textId="4E3DA905"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4523</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7DB9E2B9" w14:textId="536BB35F"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7597</w:t>
            </w:r>
          </w:p>
        </w:tc>
        <w:tc>
          <w:tcPr>
            <w:tcW w:w="993" w:type="dxa"/>
            <w:tcBorders>
              <w:top w:val="nil"/>
              <w:left w:val="nil"/>
              <w:bottom w:val="nil"/>
              <w:right w:val="nil"/>
            </w:tcBorders>
            <w:tcMar>
              <w:top w:w="15" w:type="dxa"/>
              <w:left w:w="15" w:type="dxa"/>
              <w:right w:w="15" w:type="dxa"/>
            </w:tcMar>
            <w:vAlign w:val="bottom"/>
          </w:tcPr>
          <w:p w14:paraId="5F083DB2" w14:textId="3920D5FE"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68%</w:t>
            </w:r>
          </w:p>
        </w:tc>
      </w:tr>
      <w:tr w:rsidR="37E1C4A6" w14:paraId="2DE34A35" w14:textId="77777777" w:rsidTr="0099154B">
        <w:trPr>
          <w:trHeight w:val="285"/>
        </w:trPr>
        <w:tc>
          <w:tcPr>
            <w:tcW w:w="1693" w:type="dxa"/>
            <w:tcBorders>
              <w:top w:val="single" w:sz="6" w:space="0" w:color="8ED973"/>
              <w:left w:val="single" w:sz="6" w:space="0" w:color="8ED973"/>
              <w:bottom w:val="single" w:sz="6" w:space="0" w:color="8ED973"/>
              <w:right w:val="nil"/>
            </w:tcBorders>
            <w:shd w:val="clear" w:color="auto" w:fill="DAF2D0"/>
            <w:tcMar>
              <w:top w:w="15" w:type="dxa"/>
              <w:left w:w="15" w:type="dxa"/>
              <w:right w:w="15" w:type="dxa"/>
            </w:tcMar>
            <w:vAlign w:val="bottom"/>
          </w:tcPr>
          <w:p w14:paraId="61C44D8C" w14:textId="268846C0"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Réunion</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6FD1349A" w14:textId="4A3118CE"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3521</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333763DD" w14:textId="20C09F55"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4844</w:t>
            </w:r>
          </w:p>
        </w:tc>
        <w:tc>
          <w:tcPr>
            <w:tcW w:w="993" w:type="dxa"/>
            <w:tcBorders>
              <w:top w:val="nil"/>
              <w:left w:val="nil"/>
              <w:bottom w:val="nil"/>
              <w:right w:val="nil"/>
            </w:tcBorders>
            <w:tcMar>
              <w:top w:w="15" w:type="dxa"/>
              <w:left w:w="15" w:type="dxa"/>
              <w:right w:w="15" w:type="dxa"/>
            </w:tcMar>
            <w:vAlign w:val="bottom"/>
          </w:tcPr>
          <w:p w14:paraId="375A3717" w14:textId="62CF3B48"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38%</w:t>
            </w:r>
          </w:p>
        </w:tc>
      </w:tr>
      <w:tr w:rsidR="37E1C4A6" w14:paraId="5713BB09" w14:textId="77777777" w:rsidTr="0099154B">
        <w:trPr>
          <w:trHeight w:val="285"/>
        </w:trPr>
        <w:tc>
          <w:tcPr>
            <w:tcW w:w="1693" w:type="dxa"/>
            <w:tcBorders>
              <w:top w:val="single" w:sz="6" w:space="0" w:color="8ED973"/>
              <w:left w:val="single" w:sz="6" w:space="0" w:color="8ED973"/>
              <w:bottom w:val="single" w:sz="6" w:space="0" w:color="8ED973"/>
              <w:right w:val="nil"/>
            </w:tcBorders>
            <w:tcMar>
              <w:top w:w="15" w:type="dxa"/>
              <w:left w:w="15" w:type="dxa"/>
              <w:right w:w="15" w:type="dxa"/>
            </w:tcMar>
            <w:vAlign w:val="bottom"/>
          </w:tcPr>
          <w:p w14:paraId="3BE371F1" w14:textId="392D7F05" w:rsidR="37E1C4A6" w:rsidRDefault="00CA4597"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Comores</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121A3837" w14:textId="0C7247E4"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4962</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43D18704" w14:textId="0A3887DB"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4353</w:t>
            </w:r>
          </w:p>
        </w:tc>
        <w:tc>
          <w:tcPr>
            <w:tcW w:w="993" w:type="dxa"/>
            <w:tcBorders>
              <w:top w:val="nil"/>
              <w:left w:val="nil"/>
              <w:bottom w:val="nil"/>
              <w:right w:val="nil"/>
            </w:tcBorders>
            <w:tcMar>
              <w:top w:w="15" w:type="dxa"/>
              <w:left w:w="15" w:type="dxa"/>
              <w:right w:w="15" w:type="dxa"/>
            </w:tcMar>
            <w:vAlign w:val="bottom"/>
          </w:tcPr>
          <w:p w14:paraId="56B12104" w14:textId="394AF239" w:rsidR="37E1C4A6" w:rsidRDefault="37E1C4A6" w:rsidP="0099154B">
            <w:pPr>
              <w:spacing w:after="0"/>
              <w:jc w:val="center"/>
              <w:rPr>
                <w:rFonts w:ascii="Aptos Narrow" w:eastAsia="Aptos Narrow" w:hAnsi="Aptos Narrow" w:cs="Aptos Narrow"/>
                <w:color w:val="FF0000"/>
              </w:rPr>
            </w:pPr>
            <w:r w:rsidRPr="37E1C4A6">
              <w:rPr>
                <w:rFonts w:ascii="Aptos Narrow" w:eastAsia="Aptos Narrow" w:hAnsi="Aptos Narrow" w:cs="Aptos Narrow"/>
                <w:color w:val="FF0000"/>
              </w:rPr>
              <w:t>-12%</w:t>
            </w:r>
          </w:p>
        </w:tc>
      </w:tr>
      <w:tr w:rsidR="37E1C4A6" w14:paraId="7519D587" w14:textId="77777777" w:rsidTr="0099154B">
        <w:trPr>
          <w:trHeight w:val="285"/>
        </w:trPr>
        <w:tc>
          <w:tcPr>
            <w:tcW w:w="1693" w:type="dxa"/>
            <w:tcBorders>
              <w:top w:val="single" w:sz="6" w:space="0" w:color="8ED973"/>
              <w:left w:val="single" w:sz="6" w:space="0" w:color="8ED973"/>
              <w:bottom w:val="single" w:sz="6" w:space="0" w:color="8ED973"/>
              <w:right w:val="nil"/>
            </w:tcBorders>
            <w:shd w:val="clear" w:color="auto" w:fill="DAF2D0"/>
            <w:tcMar>
              <w:top w:w="15" w:type="dxa"/>
              <w:left w:w="15" w:type="dxa"/>
              <w:right w:w="15" w:type="dxa"/>
            </w:tcMar>
            <w:vAlign w:val="bottom"/>
          </w:tcPr>
          <w:p w14:paraId="0C73C307" w14:textId="2DF27C9B"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Chin</w:t>
            </w:r>
            <w:r w:rsidR="00CA4597">
              <w:rPr>
                <w:rFonts w:ascii="Aptos Narrow" w:eastAsia="Aptos Narrow" w:hAnsi="Aptos Narrow" w:cs="Aptos Narrow"/>
                <w:color w:val="000000" w:themeColor="text1"/>
              </w:rPr>
              <w:t>e</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1ED5CFBC" w14:textId="142B031D"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533</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22798619" w14:textId="6DBD4D54"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2987</w:t>
            </w:r>
          </w:p>
        </w:tc>
        <w:tc>
          <w:tcPr>
            <w:tcW w:w="993" w:type="dxa"/>
            <w:tcBorders>
              <w:top w:val="nil"/>
              <w:left w:val="nil"/>
              <w:bottom w:val="nil"/>
              <w:right w:val="nil"/>
            </w:tcBorders>
            <w:tcMar>
              <w:top w:w="15" w:type="dxa"/>
              <w:left w:w="15" w:type="dxa"/>
              <w:right w:w="15" w:type="dxa"/>
            </w:tcMar>
            <w:vAlign w:val="bottom"/>
          </w:tcPr>
          <w:p w14:paraId="25BAC58E" w14:textId="4148AF4A"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460%</w:t>
            </w:r>
          </w:p>
        </w:tc>
      </w:tr>
      <w:tr w:rsidR="37E1C4A6" w14:paraId="23709AF9" w14:textId="77777777" w:rsidTr="0099154B">
        <w:trPr>
          <w:trHeight w:val="285"/>
        </w:trPr>
        <w:tc>
          <w:tcPr>
            <w:tcW w:w="1693" w:type="dxa"/>
            <w:tcBorders>
              <w:top w:val="single" w:sz="6" w:space="0" w:color="8ED973"/>
              <w:left w:val="single" w:sz="6" w:space="0" w:color="8ED973"/>
              <w:bottom w:val="single" w:sz="6" w:space="0" w:color="8ED973"/>
              <w:right w:val="nil"/>
            </w:tcBorders>
            <w:tcMar>
              <w:top w:w="15" w:type="dxa"/>
              <w:left w:w="15" w:type="dxa"/>
              <w:right w:w="15" w:type="dxa"/>
            </w:tcMar>
            <w:vAlign w:val="bottom"/>
          </w:tcPr>
          <w:p w14:paraId="1902A889" w14:textId="42393AD6" w:rsidR="37E1C4A6" w:rsidRDefault="00CA4597" w:rsidP="00BD2A6F">
            <w:pPr>
              <w:spacing w:after="0"/>
              <w:rPr>
                <w:rFonts w:ascii="Aptos Narrow" w:eastAsia="Aptos Narrow" w:hAnsi="Aptos Narrow" w:cs="Aptos Narrow"/>
                <w:color w:val="000000" w:themeColor="text1"/>
              </w:rPr>
            </w:pPr>
            <w:r>
              <w:rPr>
                <w:rFonts w:ascii="Aptos Narrow" w:eastAsia="Aptos Narrow" w:hAnsi="Aptos Narrow" w:cs="Aptos Narrow"/>
                <w:color w:val="000000" w:themeColor="text1"/>
              </w:rPr>
              <w:t>Allemagne</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49BF2713" w14:textId="71E38544"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959</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7534388B" w14:textId="35C2B1C6"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2571</w:t>
            </w:r>
          </w:p>
        </w:tc>
        <w:tc>
          <w:tcPr>
            <w:tcW w:w="993" w:type="dxa"/>
            <w:tcBorders>
              <w:top w:val="nil"/>
              <w:left w:val="nil"/>
              <w:bottom w:val="nil"/>
              <w:right w:val="nil"/>
            </w:tcBorders>
            <w:tcMar>
              <w:top w:w="15" w:type="dxa"/>
              <w:left w:w="15" w:type="dxa"/>
              <w:right w:w="15" w:type="dxa"/>
            </w:tcMar>
            <w:vAlign w:val="bottom"/>
          </w:tcPr>
          <w:p w14:paraId="6B31AFD4" w14:textId="78581D21"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168%</w:t>
            </w:r>
          </w:p>
        </w:tc>
      </w:tr>
      <w:tr w:rsidR="37E1C4A6" w14:paraId="51F46327" w14:textId="77777777" w:rsidTr="0099154B">
        <w:trPr>
          <w:trHeight w:val="285"/>
        </w:trPr>
        <w:tc>
          <w:tcPr>
            <w:tcW w:w="1693" w:type="dxa"/>
            <w:tcBorders>
              <w:top w:val="single" w:sz="6" w:space="0" w:color="8ED973"/>
              <w:left w:val="single" w:sz="6" w:space="0" w:color="8ED973"/>
              <w:bottom w:val="single" w:sz="6" w:space="0" w:color="8ED973"/>
              <w:right w:val="nil"/>
            </w:tcBorders>
            <w:shd w:val="clear" w:color="auto" w:fill="DAF2D0"/>
            <w:tcMar>
              <w:top w:w="15" w:type="dxa"/>
              <w:left w:w="15" w:type="dxa"/>
              <w:right w:w="15" w:type="dxa"/>
            </w:tcMar>
            <w:vAlign w:val="bottom"/>
          </w:tcPr>
          <w:p w14:paraId="0000EB94" w14:textId="7D4BA9DA"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India</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1AE2F15E" w14:textId="2488869A"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3226</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1A32B14D" w14:textId="6C17D37E"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1158</w:t>
            </w:r>
          </w:p>
        </w:tc>
        <w:tc>
          <w:tcPr>
            <w:tcW w:w="993" w:type="dxa"/>
            <w:tcBorders>
              <w:top w:val="nil"/>
              <w:left w:val="nil"/>
              <w:bottom w:val="nil"/>
              <w:right w:val="nil"/>
            </w:tcBorders>
            <w:tcMar>
              <w:top w:w="15" w:type="dxa"/>
              <w:left w:w="15" w:type="dxa"/>
              <w:right w:w="15" w:type="dxa"/>
            </w:tcMar>
            <w:vAlign w:val="bottom"/>
          </w:tcPr>
          <w:p w14:paraId="267A2F25" w14:textId="445262AA" w:rsidR="37E1C4A6" w:rsidRDefault="37E1C4A6" w:rsidP="0099154B">
            <w:pPr>
              <w:spacing w:after="0"/>
              <w:jc w:val="center"/>
              <w:rPr>
                <w:rFonts w:ascii="Aptos Narrow" w:eastAsia="Aptos Narrow" w:hAnsi="Aptos Narrow" w:cs="Aptos Narrow"/>
                <w:color w:val="FF0000"/>
              </w:rPr>
            </w:pPr>
            <w:r w:rsidRPr="37E1C4A6">
              <w:rPr>
                <w:rFonts w:ascii="Aptos Narrow" w:eastAsia="Aptos Narrow" w:hAnsi="Aptos Narrow" w:cs="Aptos Narrow"/>
                <w:color w:val="FF0000"/>
              </w:rPr>
              <w:t>-64%</w:t>
            </w:r>
          </w:p>
        </w:tc>
      </w:tr>
      <w:tr w:rsidR="37E1C4A6" w14:paraId="48C88903" w14:textId="77777777" w:rsidTr="0099154B">
        <w:trPr>
          <w:trHeight w:val="285"/>
        </w:trPr>
        <w:tc>
          <w:tcPr>
            <w:tcW w:w="1693" w:type="dxa"/>
            <w:tcBorders>
              <w:top w:val="single" w:sz="6" w:space="0" w:color="8ED973"/>
              <w:left w:val="single" w:sz="6" w:space="0" w:color="8ED973"/>
              <w:bottom w:val="single" w:sz="6" w:space="0" w:color="8ED973"/>
              <w:right w:val="nil"/>
            </w:tcBorders>
            <w:tcMar>
              <w:top w:w="15" w:type="dxa"/>
              <w:left w:w="15" w:type="dxa"/>
              <w:right w:w="15" w:type="dxa"/>
            </w:tcMar>
            <w:vAlign w:val="bottom"/>
          </w:tcPr>
          <w:p w14:paraId="0F827085" w14:textId="1CE19115"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Seychelles</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6668D296" w14:textId="772D835F"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903</w:t>
            </w:r>
          </w:p>
        </w:tc>
        <w:tc>
          <w:tcPr>
            <w:tcW w:w="2268" w:type="dxa"/>
            <w:tcBorders>
              <w:top w:val="single" w:sz="6" w:space="0" w:color="8ED973"/>
              <w:left w:val="nil"/>
              <w:bottom w:val="single" w:sz="6" w:space="0" w:color="8ED973"/>
              <w:right w:val="nil"/>
            </w:tcBorders>
            <w:tcMar>
              <w:top w:w="15" w:type="dxa"/>
              <w:left w:w="15" w:type="dxa"/>
              <w:right w:w="15" w:type="dxa"/>
            </w:tcMar>
            <w:vAlign w:val="bottom"/>
          </w:tcPr>
          <w:p w14:paraId="775FCC93" w14:textId="370C4711"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1104</w:t>
            </w:r>
          </w:p>
        </w:tc>
        <w:tc>
          <w:tcPr>
            <w:tcW w:w="993" w:type="dxa"/>
            <w:tcBorders>
              <w:top w:val="nil"/>
              <w:left w:val="nil"/>
              <w:bottom w:val="nil"/>
              <w:right w:val="nil"/>
            </w:tcBorders>
            <w:tcMar>
              <w:top w:w="15" w:type="dxa"/>
              <w:left w:w="15" w:type="dxa"/>
              <w:right w:w="15" w:type="dxa"/>
            </w:tcMar>
            <w:vAlign w:val="bottom"/>
          </w:tcPr>
          <w:p w14:paraId="25DDFBF8" w14:textId="306C1E0A"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22%</w:t>
            </w:r>
          </w:p>
        </w:tc>
      </w:tr>
      <w:tr w:rsidR="37E1C4A6" w14:paraId="709EC6EB" w14:textId="77777777" w:rsidTr="0099154B">
        <w:trPr>
          <w:trHeight w:val="285"/>
        </w:trPr>
        <w:tc>
          <w:tcPr>
            <w:tcW w:w="1693" w:type="dxa"/>
            <w:tcBorders>
              <w:top w:val="single" w:sz="6" w:space="0" w:color="8ED973"/>
              <w:left w:val="single" w:sz="6" w:space="0" w:color="8ED973"/>
              <w:bottom w:val="single" w:sz="6" w:space="0" w:color="8ED973"/>
              <w:right w:val="nil"/>
            </w:tcBorders>
            <w:shd w:val="clear" w:color="auto" w:fill="DAF2D0"/>
            <w:tcMar>
              <w:top w:w="15" w:type="dxa"/>
              <w:left w:w="15" w:type="dxa"/>
              <w:right w:w="15" w:type="dxa"/>
            </w:tcMar>
            <w:vAlign w:val="bottom"/>
          </w:tcPr>
          <w:p w14:paraId="640A1076" w14:textId="01FEF658"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Br</w:t>
            </w:r>
            <w:r w:rsidR="00CA4597">
              <w:rPr>
                <w:rFonts w:ascii="Aptos Narrow" w:eastAsia="Aptos Narrow" w:hAnsi="Aptos Narrow" w:cs="Aptos Narrow"/>
                <w:color w:val="000000" w:themeColor="text1"/>
              </w:rPr>
              <w:t>ésil</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4D716773" w14:textId="73F50A8A"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1026</w:t>
            </w:r>
          </w:p>
        </w:tc>
        <w:tc>
          <w:tcPr>
            <w:tcW w:w="2268" w:type="dxa"/>
            <w:tcBorders>
              <w:top w:val="single" w:sz="6" w:space="0" w:color="8ED973"/>
              <w:left w:val="nil"/>
              <w:bottom w:val="single" w:sz="6" w:space="0" w:color="8ED973"/>
              <w:right w:val="nil"/>
            </w:tcBorders>
            <w:shd w:val="clear" w:color="auto" w:fill="DAF2D0"/>
            <w:tcMar>
              <w:top w:w="15" w:type="dxa"/>
              <w:left w:w="15" w:type="dxa"/>
              <w:right w:w="15" w:type="dxa"/>
            </w:tcMar>
            <w:vAlign w:val="bottom"/>
          </w:tcPr>
          <w:p w14:paraId="0BAE41DA" w14:textId="11B172B5" w:rsidR="37E1C4A6" w:rsidRDefault="37E1C4A6" w:rsidP="00BD2A6F">
            <w:pPr>
              <w:spacing w:after="0"/>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1033</w:t>
            </w:r>
          </w:p>
        </w:tc>
        <w:tc>
          <w:tcPr>
            <w:tcW w:w="993" w:type="dxa"/>
            <w:tcBorders>
              <w:top w:val="nil"/>
              <w:left w:val="nil"/>
              <w:bottom w:val="nil"/>
              <w:right w:val="nil"/>
            </w:tcBorders>
            <w:tcMar>
              <w:top w:w="15" w:type="dxa"/>
              <w:left w:w="15" w:type="dxa"/>
              <w:right w:w="15" w:type="dxa"/>
            </w:tcMar>
            <w:vAlign w:val="bottom"/>
          </w:tcPr>
          <w:p w14:paraId="4E9A11F8" w14:textId="1FC1802B" w:rsidR="37E1C4A6" w:rsidRDefault="37E1C4A6" w:rsidP="0099154B">
            <w:pPr>
              <w:spacing w:after="0"/>
              <w:jc w:val="center"/>
              <w:rPr>
                <w:rFonts w:ascii="Aptos Narrow" w:eastAsia="Aptos Narrow" w:hAnsi="Aptos Narrow" w:cs="Aptos Narrow"/>
                <w:color w:val="000000" w:themeColor="text1"/>
              </w:rPr>
            </w:pPr>
            <w:r w:rsidRPr="37E1C4A6">
              <w:rPr>
                <w:rFonts w:ascii="Aptos Narrow" w:eastAsia="Aptos Narrow" w:hAnsi="Aptos Narrow" w:cs="Aptos Narrow"/>
                <w:color w:val="000000" w:themeColor="text1"/>
              </w:rPr>
              <w:t>1%</w:t>
            </w:r>
          </w:p>
        </w:tc>
      </w:tr>
    </w:tbl>
    <w:p w14:paraId="2CE18FBA" w14:textId="037A1A70" w:rsidR="5C0173DC" w:rsidRPr="006B4F27" w:rsidRDefault="5C0173DC" w:rsidP="006B4F27">
      <w:pPr>
        <w:pStyle w:val="ListParagraph"/>
        <w:numPr>
          <w:ilvl w:val="0"/>
          <w:numId w:val="26"/>
        </w:numPr>
        <w:jc w:val="both"/>
        <w:rPr>
          <w:rFonts w:ascii="Verdana" w:eastAsia="Aptos" w:hAnsi="Verdana" w:cs="Aptos"/>
          <w:color w:val="000000" w:themeColor="text1"/>
          <w:sz w:val="20"/>
          <w:szCs w:val="20"/>
        </w:rPr>
      </w:pPr>
      <w:r w:rsidRPr="006B4F27">
        <w:rPr>
          <w:rFonts w:ascii="Verdana" w:eastAsia="Aptos" w:hAnsi="Verdana" w:cs="Aptos"/>
          <w:color w:val="000000" w:themeColor="text1"/>
          <w:sz w:val="20"/>
          <w:szCs w:val="20"/>
        </w:rPr>
        <w:t xml:space="preserve">Baisse significative du public </w:t>
      </w:r>
      <w:r w:rsidR="001509B5" w:rsidRPr="006B4F27">
        <w:rPr>
          <w:rFonts w:ascii="Verdana" w:eastAsia="Aptos" w:hAnsi="Verdana" w:cs="Aptos"/>
          <w:color w:val="000000" w:themeColor="text1"/>
          <w:sz w:val="20"/>
          <w:szCs w:val="20"/>
        </w:rPr>
        <w:t>aux Comores et en Inde</w:t>
      </w:r>
      <w:r w:rsidRPr="006B4F27">
        <w:rPr>
          <w:rFonts w:ascii="Verdana" w:eastAsia="Aptos" w:hAnsi="Verdana" w:cs="Aptos"/>
          <w:color w:val="000000" w:themeColor="text1"/>
          <w:sz w:val="20"/>
          <w:szCs w:val="20"/>
        </w:rPr>
        <w:t xml:space="preserve">. </w:t>
      </w:r>
    </w:p>
    <w:p w14:paraId="18712802" w14:textId="3D87DFA7" w:rsidR="5C0173DC" w:rsidRDefault="5C0173DC" w:rsidP="006B4F27">
      <w:pPr>
        <w:pStyle w:val="ListParagraph"/>
        <w:numPr>
          <w:ilvl w:val="0"/>
          <w:numId w:val="26"/>
        </w:numPr>
        <w:jc w:val="both"/>
        <w:rPr>
          <w:rFonts w:ascii="Verdana" w:eastAsia="Aptos" w:hAnsi="Verdana" w:cs="Aptos"/>
          <w:color w:val="000000" w:themeColor="text1"/>
          <w:sz w:val="20"/>
          <w:szCs w:val="20"/>
        </w:rPr>
      </w:pPr>
      <w:r w:rsidRPr="006B4F27">
        <w:rPr>
          <w:rFonts w:ascii="Verdana" w:eastAsia="Aptos" w:hAnsi="Verdana" w:cs="Aptos"/>
          <w:color w:val="000000" w:themeColor="text1"/>
          <w:sz w:val="20"/>
          <w:szCs w:val="20"/>
        </w:rPr>
        <w:t>Augmentation massive du public au niveau international : Allemagne (+168%), Etats Unis (+68%) et Chine (+460%). L’augmentation des utilisateurs basés en Chine est potentiellement expliquée par l’accord renouvelé en juillet 2025 par la Chine.  Pour l'Allemagne, cette augmentation significative peut être expliqué par le groupe “</w:t>
      </w:r>
      <w:proofErr w:type="spellStart"/>
      <w:r w:rsidRPr="006B4F27">
        <w:rPr>
          <w:rFonts w:ascii="Verdana" w:eastAsia="Aptos" w:hAnsi="Verdana" w:cs="Aptos"/>
          <w:color w:val="000000" w:themeColor="text1"/>
          <w:sz w:val="20"/>
          <w:szCs w:val="20"/>
        </w:rPr>
        <w:t>Morékoma</w:t>
      </w:r>
      <w:proofErr w:type="spellEnd"/>
      <w:r w:rsidRPr="006B4F27">
        <w:rPr>
          <w:rFonts w:ascii="Verdana" w:eastAsia="Aptos" w:hAnsi="Verdana" w:cs="Aptos"/>
          <w:color w:val="000000" w:themeColor="text1"/>
          <w:sz w:val="20"/>
          <w:szCs w:val="20"/>
        </w:rPr>
        <w:t>” composé de quatre artistes de l’Indianocéanie qui a effectué une tournée en juin 2025 en Allemagne dans le cadre du projet ICC soutenu par l’AFD.</w:t>
      </w:r>
    </w:p>
    <w:p w14:paraId="4A6C863F" w14:textId="26F47815" w:rsidR="004A4E71" w:rsidRPr="006B4F27" w:rsidRDefault="004A4E71" w:rsidP="006B4F27">
      <w:pPr>
        <w:pStyle w:val="ListParagraph"/>
        <w:numPr>
          <w:ilvl w:val="0"/>
          <w:numId w:val="26"/>
        </w:numPr>
        <w:jc w:val="both"/>
        <w:rPr>
          <w:rFonts w:ascii="Verdana" w:eastAsia="Aptos" w:hAnsi="Verdana" w:cs="Aptos"/>
          <w:color w:val="000000" w:themeColor="text1"/>
          <w:sz w:val="20"/>
          <w:szCs w:val="20"/>
        </w:rPr>
      </w:pPr>
      <w:r>
        <w:rPr>
          <w:rFonts w:ascii="Verdana" w:eastAsia="Aptos" w:hAnsi="Verdana" w:cs="Aptos"/>
          <w:color w:val="000000" w:themeColor="text1"/>
          <w:sz w:val="20"/>
          <w:szCs w:val="20"/>
        </w:rPr>
        <w:t xml:space="preserve">Les pages les plus visitées concernent les opportunités (emplois, marchés) et concours, </w:t>
      </w:r>
      <w:r w:rsidR="00761910">
        <w:rPr>
          <w:rFonts w:ascii="Verdana" w:eastAsia="Aptos" w:hAnsi="Verdana" w:cs="Aptos"/>
          <w:color w:val="000000" w:themeColor="text1"/>
          <w:sz w:val="20"/>
          <w:szCs w:val="20"/>
        </w:rPr>
        <w:t>les contenus sur le 5</w:t>
      </w:r>
      <w:r w:rsidR="00761910" w:rsidRPr="00761910">
        <w:rPr>
          <w:rFonts w:ascii="Verdana" w:eastAsia="Aptos" w:hAnsi="Verdana" w:cs="Aptos"/>
          <w:color w:val="000000" w:themeColor="text1"/>
          <w:sz w:val="20"/>
          <w:szCs w:val="20"/>
          <w:vertAlign w:val="superscript"/>
        </w:rPr>
        <w:t>e</w:t>
      </w:r>
      <w:r w:rsidR="00761910">
        <w:rPr>
          <w:rFonts w:ascii="Verdana" w:eastAsia="Aptos" w:hAnsi="Verdana" w:cs="Aptos"/>
          <w:color w:val="000000" w:themeColor="text1"/>
          <w:sz w:val="20"/>
          <w:szCs w:val="20"/>
        </w:rPr>
        <w:t xml:space="preserve"> Sommet et</w:t>
      </w:r>
      <w:r w:rsidR="009A6C0E">
        <w:rPr>
          <w:rFonts w:ascii="Verdana" w:eastAsia="Aptos" w:hAnsi="Verdana" w:cs="Aptos"/>
          <w:color w:val="000000" w:themeColor="text1"/>
          <w:sz w:val="20"/>
          <w:szCs w:val="20"/>
        </w:rPr>
        <w:t xml:space="preserve"> la version anglaise de la page d’accueil. </w:t>
      </w:r>
    </w:p>
    <w:p w14:paraId="44CB52F9" w14:textId="5AA7182C" w:rsidR="00C271E8" w:rsidRDefault="00C54BA5" w:rsidP="006B4F27">
      <w:pPr>
        <w:pStyle w:val="Paragraphe"/>
      </w:pPr>
      <w:r w:rsidRPr="006B4F27">
        <w:t>Pour consolider ces résultats, il convient d’opérer une refonte du site Internet pour en améliorer l’expérience utilisateur, moderniser l’interface, optimiser sa visibilité numérique (SEO), accroître l’espace de stockage, entre autres. De même, il est prévu de disposer d’une version anglaise du site Internet optimisée avec la mise en place d’un plug-in automatique</w:t>
      </w:r>
      <w:r w:rsidR="004D0120" w:rsidRPr="006B4F27">
        <w:t>. La refonte du site Internet est en cours et devrait être finalisée d’ici la fin du premier semestre 2026. Les ressources de la subvention Horizon 2030 ont été mobilisées.</w:t>
      </w:r>
      <w:r w:rsidR="004D0120">
        <w:t xml:space="preserve"> </w:t>
      </w:r>
    </w:p>
    <w:p w14:paraId="40C128BD" w14:textId="45599B64" w:rsidR="0016319F" w:rsidRPr="0016319F" w:rsidRDefault="0016319F" w:rsidP="0016319F">
      <w:pPr>
        <w:pStyle w:val="ListParagraph"/>
        <w:numPr>
          <w:ilvl w:val="2"/>
          <w:numId w:val="3"/>
        </w:numPr>
        <w:rPr>
          <w:b/>
          <w:bCs/>
        </w:rPr>
      </w:pPr>
      <w:r w:rsidRPr="0016319F">
        <w:rPr>
          <w:b/>
          <w:bCs/>
        </w:rPr>
        <w:t xml:space="preserve">Réseaux sociaux </w:t>
      </w:r>
    </w:p>
    <w:p w14:paraId="5EBA5966" w14:textId="19F0940D" w:rsidR="4A61D004" w:rsidRDefault="009031CC" w:rsidP="0E5E68CC">
      <w:pPr>
        <w:pStyle w:val="Paragraphe"/>
      </w:pPr>
      <w:r>
        <w:t xml:space="preserve">De manière générale, on constate une </w:t>
      </w:r>
      <w:r w:rsidRPr="37E1C4A6">
        <w:rPr>
          <w:b/>
          <w:bCs/>
        </w:rPr>
        <w:t xml:space="preserve">hausse continue des </w:t>
      </w:r>
      <w:r w:rsidR="00103763" w:rsidRPr="37E1C4A6">
        <w:rPr>
          <w:b/>
          <w:bCs/>
        </w:rPr>
        <w:t>abonnés</w:t>
      </w:r>
      <w:r w:rsidR="00103763">
        <w:t xml:space="preserve"> sur chacun des comptes et des </w:t>
      </w:r>
      <w:r w:rsidR="008F0A76">
        <w:t>niveaux appréciables d’engagement</w:t>
      </w:r>
      <w:r w:rsidR="00F9630D">
        <w:t>.</w:t>
      </w:r>
      <w:r w:rsidR="002A68C8">
        <w:t xml:space="preserve"> </w:t>
      </w:r>
      <w:r w:rsidR="2B4E0532">
        <w:t xml:space="preserve">En 2025, la présence digitale de la COI s’est consolidée avec 702 publications diffusées sur LinkedIn, Facebook et Instagram, soit une moyenne de 58,5 </w:t>
      </w:r>
      <w:proofErr w:type="spellStart"/>
      <w:r w:rsidR="2B4E0532">
        <w:t>posts</w:t>
      </w:r>
      <w:proofErr w:type="spellEnd"/>
      <w:r w:rsidR="2B4E0532">
        <w:t xml:space="preserve"> par mois</w:t>
      </w:r>
      <w:r w:rsidR="74F601F9">
        <w:t>. Seules 10 publications ont fait l’objet d’une sponsorisation.</w:t>
      </w:r>
      <w:r w:rsidR="09B0A520">
        <w:t xml:space="preserve"> Cette stratégie éditoriale a permis d’atteindre 4,3 millions d’impressions et plus de 500 000 interactions, avec un taux d’engagement moyen de 12%.</w:t>
      </w:r>
    </w:p>
    <w:tbl>
      <w:tblPr>
        <w:tblStyle w:val="TableGrid"/>
        <w:tblW w:w="9220" w:type="dxa"/>
        <w:tblLook w:val="06A0" w:firstRow="1" w:lastRow="0" w:firstColumn="1" w:lastColumn="0" w:noHBand="1" w:noVBand="1"/>
      </w:tblPr>
      <w:tblGrid>
        <w:gridCol w:w="1510"/>
        <w:gridCol w:w="2055"/>
        <w:gridCol w:w="2260"/>
        <w:gridCol w:w="1690"/>
        <w:gridCol w:w="1705"/>
      </w:tblGrid>
      <w:tr w:rsidR="0E5E68CC" w14:paraId="7436A857" w14:textId="77777777" w:rsidTr="003D22BF">
        <w:trPr>
          <w:trHeight w:val="300"/>
        </w:trPr>
        <w:tc>
          <w:tcPr>
            <w:tcW w:w="1510" w:type="dxa"/>
          </w:tcPr>
          <w:p w14:paraId="49ECA203" w14:textId="175C8747" w:rsidR="57ADA3CB" w:rsidRDefault="57ADA3CB" w:rsidP="00BD2A6F">
            <w:pPr>
              <w:pStyle w:val="Paragraphe"/>
            </w:pPr>
            <w:r>
              <w:t>Réseau</w:t>
            </w:r>
          </w:p>
        </w:tc>
        <w:tc>
          <w:tcPr>
            <w:tcW w:w="2055" w:type="dxa"/>
          </w:tcPr>
          <w:p w14:paraId="5EBBC17E" w14:textId="6E9CAA90" w:rsidR="57ADA3CB" w:rsidRDefault="57ADA3CB" w:rsidP="00BD2A6F">
            <w:pPr>
              <w:pStyle w:val="Paragraphe"/>
            </w:pPr>
            <w:r>
              <w:t>Nombre d’abonnés</w:t>
            </w:r>
          </w:p>
        </w:tc>
        <w:tc>
          <w:tcPr>
            <w:tcW w:w="2260" w:type="dxa"/>
          </w:tcPr>
          <w:p w14:paraId="5BEFB9B5" w14:textId="070CAE33" w:rsidR="57ADA3CB" w:rsidRDefault="57ADA3CB" w:rsidP="00BD2A6F">
            <w:pPr>
              <w:pStyle w:val="Paragraphe"/>
            </w:pPr>
            <w:r>
              <w:t>Nombre de publications</w:t>
            </w:r>
          </w:p>
        </w:tc>
        <w:tc>
          <w:tcPr>
            <w:tcW w:w="1690" w:type="dxa"/>
          </w:tcPr>
          <w:p w14:paraId="3B0021E6" w14:textId="2E67FEAF" w:rsidR="498F81EB" w:rsidRDefault="498F81EB" w:rsidP="00BD2A6F">
            <w:pPr>
              <w:pStyle w:val="Paragraphe"/>
            </w:pPr>
            <w:r>
              <w:t>Impressions</w:t>
            </w:r>
          </w:p>
        </w:tc>
        <w:tc>
          <w:tcPr>
            <w:tcW w:w="1705" w:type="dxa"/>
          </w:tcPr>
          <w:p w14:paraId="3B764063" w14:textId="7554817B" w:rsidR="498F81EB" w:rsidRDefault="498F81EB" w:rsidP="00BD2A6F">
            <w:pPr>
              <w:pStyle w:val="Paragraphe"/>
            </w:pPr>
            <w:r>
              <w:t>Interactions</w:t>
            </w:r>
          </w:p>
        </w:tc>
      </w:tr>
      <w:tr w:rsidR="0E5E68CC" w14:paraId="66E3E8B0" w14:textId="77777777" w:rsidTr="00BD2A6F">
        <w:trPr>
          <w:trHeight w:val="300"/>
        </w:trPr>
        <w:tc>
          <w:tcPr>
            <w:tcW w:w="1510" w:type="dxa"/>
          </w:tcPr>
          <w:p w14:paraId="11BEBAB1" w14:textId="4927CC78" w:rsidR="57ADA3CB" w:rsidRDefault="57ADA3CB" w:rsidP="00BD2A6F">
            <w:pPr>
              <w:pStyle w:val="Paragraphe"/>
            </w:pPr>
            <w:r>
              <w:t>Facebook</w:t>
            </w:r>
          </w:p>
        </w:tc>
        <w:tc>
          <w:tcPr>
            <w:tcW w:w="2055" w:type="dxa"/>
          </w:tcPr>
          <w:p w14:paraId="6F543DA1" w14:textId="258C40FC" w:rsidR="57ADA3CB" w:rsidRDefault="71DA52C4" w:rsidP="00BD2A6F">
            <w:pPr>
              <w:pStyle w:val="Paragraphe"/>
            </w:pPr>
            <w:r>
              <w:t>21</w:t>
            </w:r>
            <w:r w:rsidR="12266250">
              <w:t xml:space="preserve"> </w:t>
            </w:r>
            <w:r>
              <w:t>002</w:t>
            </w:r>
          </w:p>
        </w:tc>
        <w:tc>
          <w:tcPr>
            <w:tcW w:w="2260" w:type="dxa"/>
          </w:tcPr>
          <w:p w14:paraId="6777286E" w14:textId="7D13D5E5" w:rsidR="0E5E68CC" w:rsidRDefault="0E5E68CC" w:rsidP="0E5E68CC">
            <w:pPr>
              <w:pStyle w:val="Paragraphe"/>
            </w:pPr>
            <w:r>
              <w:t>289</w:t>
            </w:r>
          </w:p>
        </w:tc>
        <w:tc>
          <w:tcPr>
            <w:tcW w:w="1690" w:type="dxa"/>
          </w:tcPr>
          <w:p w14:paraId="2BF4285D" w14:textId="71133B17" w:rsidR="62AB538F" w:rsidRDefault="59678336" w:rsidP="00BD2A6F">
            <w:pPr>
              <w:pStyle w:val="Paragraphe"/>
            </w:pPr>
            <w:r>
              <w:t>3</w:t>
            </w:r>
            <w:r w:rsidR="4DF333BF">
              <w:t xml:space="preserve"> </w:t>
            </w:r>
            <w:r w:rsidR="336459F9">
              <w:t>168</w:t>
            </w:r>
            <w:r w:rsidR="12A7D4D9">
              <w:t xml:space="preserve"> </w:t>
            </w:r>
            <w:r w:rsidR="336459F9">
              <w:t>033</w:t>
            </w:r>
          </w:p>
        </w:tc>
        <w:tc>
          <w:tcPr>
            <w:tcW w:w="1705" w:type="dxa"/>
          </w:tcPr>
          <w:p w14:paraId="44EC125A" w14:textId="5C6ACC2A" w:rsidR="0E5E68CC" w:rsidRDefault="395EEF0A" w:rsidP="00BD2A6F">
            <w:pPr>
              <w:pStyle w:val="Paragraphe"/>
            </w:pPr>
            <w:r>
              <w:t>134 373</w:t>
            </w:r>
          </w:p>
        </w:tc>
      </w:tr>
      <w:tr w:rsidR="0E5E68CC" w14:paraId="768F8117" w14:textId="77777777" w:rsidTr="00BD2A6F">
        <w:trPr>
          <w:trHeight w:val="300"/>
        </w:trPr>
        <w:tc>
          <w:tcPr>
            <w:tcW w:w="1510" w:type="dxa"/>
          </w:tcPr>
          <w:p w14:paraId="4DC251AA" w14:textId="04489D68" w:rsidR="57ADA3CB" w:rsidRDefault="00BD2A6F" w:rsidP="00BD2A6F">
            <w:pPr>
              <w:pStyle w:val="Paragraphe"/>
            </w:pPr>
            <w:r>
              <w:t>LinkedIn</w:t>
            </w:r>
          </w:p>
        </w:tc>
        <w:tc>
          <w:tcPr>
            <w:tcW w:w="2055" w:type="dxa"/>
          </w:tcPr>
          <w:p w14:paraId="7AEFE290" w14:textId="0341AEBA" w:rsidR="57ADA3CB" w:rsidRDefault="71DA52C4" w:rsidP="00BD2A6F">
            <w:pPr>
              <w:pStyle w:val="Paragraphe"/>
            </w:pPr>
            <w:r>
              <w:t>40</w:t>
            </w:r>
            <w:r w:rsidR="68D23F3C">
              <w:t xml:space="preserve"> </w:t>
            </w:r>
            <w:r>
              <w:t>022</w:t>
            </w:r>
          </w:p>
        </w:tc>
        <w:tc>
          <w:tcPr>
            <w:tcW w:w="2260" w:type="dxa"/>
          </w:tcPr>
          <w:p w14:paraId="4EB31782" w14:textId="7E6C67F3" w:rsidR="0E5E68CC" w:rsidRDefault="0E5E68CC" w:rsidP="0E5E68CC">
            <w:pPr>
              <w:pStyle w:val="Paragraphe"/>
            </w:pPr>
            <w:r>
              <w:t>287</w:t>
            </w:r>
          </w:p>
        </w:tc>
        <w:tc>
          <w:tcPr>
            <w:tcW w:w="1690" w:type="dxa"/>
          </w:tcPr>
          <w:p w14:paraId="418EBFE9" w14:textId="5761C9BE" w:rsidR="366D0638" w:rsidRDefault="49217CC5" w:rsidP="00BD2A6F">
            <w:pPr>
              <w:pStyle w:val="Paragraphe"/>
            </w:pPr>
            <w:r>
              <w:t xml:space="preserve">710 </w:t>
            </w:r>
            <w:r w:rsidR="55AE609A">
              <w:t>158</w:t>
            </w:r>
          </w:p>
        </w:tc>
        <w:tc>
          <w:tcPr>
            <w:tcW w:w="1705" w:type="dxa"/>
          </w:tcPr>
          <w:p w14:paraId="1AB824EB" w14:textId="79B1BB9B" w:rsidR="0E5E68CC" w:rsidRDefault="0BEF37FD" w:rsidP="00BD2A6F">
            <w:pPr>
              <w:pStyle w:val="Paragraphe"/>
            </w:pPr>
            <w:r>
              <w:t>366 997</w:t>
            </w:r>
          </w:p>
        </w:tc>
      </w:tr>
      <w:tr w:rsidR="0E5E68CC" w14:paraId="6FD3DE40" w14:textId="77777777" w:rsidTr="00BD2A6F">
        <w:trPr>
          <w:trHeight w:val="300"/>
        </w:trPr>
        <w:tc>
          <w:tcPr>
            <w:tcW w:w="1510" w:type="dxa"/>
          </w:tcPr>
          <w:p w14:paraId="7A18BE71" w14:textId="12E2AC7C" w:rsidR="57ADA3CB" w:rsidRDefault="57ADA3CB" w:rsidP="00BD2A6F">
            <w:pPr>
              <w:pStyle w:val="Paragraphe"/>
            </w:pPr>
            <w:r>
              <w:t>Instagram</w:t>
            </w:r>
          </w:p>
        </w:tc>
        <w:tc>
          <w:tcPr>
            <w:tcW w:w="2055" w:type="dxa"/>
          </w:tcPr>
          <w:p w14:paraId="21CB726A" w14:textId="4FDE8B60" w:rsidR="57ADA3CB" w:rsidRDefault="57ADA3CB" w:rsidP="00BD2A6F">
            <w:pPr>
              <w:pStyle w:val="Paragraphe"/>
            </w:pPr>
            <w:r>
              <w:t>991</w:t>
            </w:r>
          </w:p>
        </w:tc>
        <w:tc>
          <w:tcPr>
            <w:tcW w:w="2260" w:type="dxa"/>
          </w:tcPr>
          <w:p w14:paraId="1CCB31B5" w14:textId="100ED6CE" w:rsidR="0E5E68CC" w:rsidRDefault="0E5E68CC" w:rsidP="0E5E68CC">
            <w:pPr>
              <w:pStyle w:val="Paragraphe"/>
            </w:pPr>
            <w:r>
              <w:t>126</w:t>
            </w:r>
          </w:p>
        </w:tc>
        <w:tc>
          <w:tcPr>
            <w:tcW w:w="1690" w:type="dxa"/>
          </w:tcPr>
          <w:p w14:paraId="6218D7CE" w14:textId="09D85F7D" w:rsidR="11B2429C" w:rsidRDefault="0C372F6A" w:rsidP="00BD2A6F">
            <w:pPr>
              <w:pStyle w:val="Paragraphe"/>
            </w:pPr>
            <w:r>
              <w:t>451</w:t>
            </w:r>
            <w:r w:rsidR="27D71BBB">
              <w:t xml:space="preserve"> 195</w:t>
            </w:r>
          </w:p>
        </w:tc>
        <w:tc>
          <w:tcPr>
            <w:tcW w:w="1705" w:type="dxa"/>
          </w:tcPr>
          <w:p w14:paraId="44E5912F" w14:textId="0B515A24" w:rsidR="0E5E68CC" w:rsidRDefault="7E5BD335" w:rsidP="00BD2A6F">
            <w:pPr>
              <w:pStyle w:val="Paragraphe"/>
            </w:pPr>
            <w:r>
              <w:t>2 529</w:t>
            </w:r>
          </w:p>
        </w:tc>
      </w:tr>
      <w:tr w:rsidR="0E5E68CC" w14:paraId="4437FBAA" w14:textId="77777777" w:rsidTr="00BD2A6F">
        <w:trPr>
          <w:trHeight w:val="300"/>
        </w:trPr>
        <w:tc>
          <w:tcPr>
            <w:tcW w:w="1510" w:type="dxa"/>
          </w:tcPr>
          <w:p w14:paraId="1AA9364E" w14:textId="4DB95819" w:rsidR="57ADA3CB" w:rsidRPr="00BD2A6F" w:rsidRDefault="57ADA3CB" w:rsidP="00B65976">
            <w:pPr>
              <w:pStyle w:val="Paragraphe"/>
              <w:jc w:val="center"/>
              <w:rPr>
                <w:b/>
                <w:bCs/>
              </w:rPr>
            </w:pPr>
            <w:r w:rsidRPr="00BD2A6F">
              <w:rPr>
                <w:b/>
                <w:bCs/>
              </w:rPr>
              <w:t>Total</w:t>
            </w:r>
          </w:p>
        </w:tc>
        <w:tc>
          <w:tcPr>
            <w:tcW w:w="2055" w:type="dxa"/>
          </w:tcPr>
          <w:p w14:paraId="1E0AC258" w14:textId="62AF13AB" w:rsidR="57ADA3CB" w:rsidRPr="00BD2A6F" w:rsidRDefault="71DA52C4" w:rsidP="00B65976">
            <w:pPr>
              <w:pStyle w:val="Paragraphe"/>
              <w:jc w:val="center"/>
              <w:rPr>
                <w:b/>
                <w:bCs/>
              </w:rPr>
            </w:pPr>
            <w:r w:rsidRPr="00BD2A6F">
              <w:rPr>
                <w:b/>
                <w:bCs/>
              </w:rPr>
              <w:t>62</w:t>
            </w:r>
            <w:r w:rsidR="032BB2E7" w:rsidRPr="37E1C4A6">
              <w:rPr>
                <w:b/>
                <w:bCs/>
              </w:rPr>
              <w:t xml:space="preserve"> </w:t>
            </w:r>
            <w:r w:rsidRPr="00BD2A6F">
              <w:rPr>
                <w:b/>
                <w:bCs/>
              </w:rPr>
              <w:t>015</w:t>
            </w:r>
          </w:p>
        </w:tc>
        <w:tc>
          <w:tcPr>
            <w:tcW w:w="2260" w:type="dxa"/>
          </w:tcPr>
          <w:p w14:paraId="4854615E" w14:textId="016EC698" w:rsidR="0E5E68CC" w:rsidRPr="00BD2A6F" w:rsidRDefault="0E5E68CC" w:rsidP="00B65976">
            <w:pPr>
              <w:pStyle w:val="Paragraphe"/>
              <w:jc w:val="center"/>
              <w:rPr>
                <w:b/>
                <w:bCs/>
              </w:rPr>
            </w:pPr>
            <w:r w:rsidRPr="00BD2A6F">
              <w:rPr>
                <w:b/>
                <w:bCs/>
              </w:rPr>
              <w:t>702</w:t>
            </w:r>
          </w:p>
        </w:tc>
        <w:tc>
          <w:tcPr>
            <w:tcW w:w="1690" w:type="dxa"/>
          </w:tcPr>
          <w:p w14:paraId="6903322D" w14:textId="44DF49FD" w:rsidR="30B0A8A4" w:rsidRDefault="1E5314FF" w:rsidP="00B65976">
            <w:pPr>
              <w:pStyle w:val="Paragraphe"/>
              <w:jc w:val="center"/>
              <w:rPr>
                <w:b/>
                <w:bCs/>
              </w:rPr>
            </w:pPr>
            <w:r w:rsidRPr="37E1C4A6">
              <w:rPr>
                <w:b/>
                <w:bCs/>
              </w:rPr>
              <w:t>4 329 386</w:t>
            </w:r>
          </w:p>
        </w:tc>
        <w:tc>
          <w:tcPr>
            <w:tcW w:w="1705" w:type="dxa"/>
          </w:tcPr>
          <w:p w14:paraId="21B11894" w14:textId="7C679BFE" w:rsidR="0E5E68CC" w:rsidRDefault="08AFF78C" w:rsidP="00B65976">
            <w:pPr>
              <w:pStyle w:val="Paragraphe"/>
              <w:jc w:val="center"/>
              <w:rPr>
                <w:b/>
                <w:bCs/>
              </w:rPr>
            </w:pPr>
            <w:r w:rsidRPr="37E1C4A6">
              <w:rPr>
                <w:b/>
                <w:bCs/>
              </w:rPr>
              <w:t>503 899</w:t>
            </w:r>
          </w:p>
        </w:tc>
      </w:tr>
    </w:tbl>
    <w:p w14:paraId="717DA77A" w14:textId="70CBC196" w:rsidR="037DC6E7" w:rsidRDefault="037DC6E7" w:rsidP="37E1C4A6">
      <w:pPr>
        <w:pStyle w:val="Paragraphe"/>
      </w:pPr>
      <w:r>
        <w:t xml:space="preserve">LinkedIn se distingue comme le canal le plus performant, avec une croissance de 43 % de sa communauté et </w:t>
      </w:r>
      <w:r w:rsidR="3C4E303A">
        <w:t>un niveau d’engagement particulièrement soutenu, confirmant son rôle stratégique auprès des publics institutionnels et professionnels. Facebook poursuit une progression régulière et conserve une communauté fidèle, constituant un relais important de visibilité grand public. Instagram, bien que plus récent, enregistre la plus forte dynamique relative de croissance, ce qui confirme son potentiel de développement auprès de nouveaux publics.</w:t>
      </w:r>
    </w:p>
    <w:p w14:paraId="22620249" w14:textId="466E0A1A" w:rsidR="7E0A0F28" w:rsidRDefault="471BF073" w:rsidP="37E1C4A6">
      <w:pPr>
        <w:pStyle w:val="Paragraphe"/>
      </w:pPr>
      <w:r>
        <w:t xml:space="preserve">Note : La COI maintient également une présence sur X/Twitter, avec une activité plus limitée, assurant principalement une présence institutionnelle minimale et un relais ponctuel d’informations. En l’absence de compte Premium, les statistiques détaillées de performance ne sont toutefois pas </w:t>
      </w:r>
      <w:proofErr w:type="gramStart"/>
      <w:r>
        <w:t>accessibles .</w:t>
      </w:r>
      <w:proofErr w:type="gramEnd"/>
      <w:r>
        <w:t xml:space="preserve"> Cette limite devrait être levée grâce au déploiement de Swello, qui permettra un meilleur suivi analytique des publications.</w:t>
      </w:r>
    </w:p>
    <w:p w14:paraId="145F717C" w14:textId="607BEEF1" w:rsidR="008F0A76" w:rsidRDefault="008F0A76" w:rsidP="00C46BB1">
      <w:pPr>
        <w:pStyle w:val="Paragraphe"/>
      </w:pPr>
    </w:p>
    <w:p w14:paraId="2FCEA5EA" w14:textId="0238EF21" w:rsidR="00B64807" w:rsidRPr="00AC695E" w:rsidRDefault="002B72DB" w:rsidP="003A1CB2">
      <w:pPr>
        <w:pStyle w:val="Sous-partie2"/>
      </w:pPr>
      <w:r>
        <w:t>Objectif spécifique 5 | Le sentiment d’appartenance et la circulation de l’information au sein de la COI sont améliorés</w:t>
      </w:r>
    </w:p>
    <w:p w14:paraId="46614C38" w14:textId="77777777" w:rsidR="0055748C" w:rsidRDefault="002430A5" w:rsidP="00C46BB1">
      <w:p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La communication interne</w:t>
      </w:r>
      <w:r w:rsidR="00461824">
        <w:rPr>
          <w:rFonts w:ascii="Verdana" w:eastAsia="Aptos" w:hAnsi="Verdana" w:cs="Times New Roman"/>
          <w:kern w:val="2"/>
          <w:sz w:val="20"/>
          <w:szCs w:val="20"/>
          <w:lang w:val="fr-BE"/>
          <w14:ligatures w14:val="standardContextual"/>
        </w:rPr>
        <w:t xml:space="preserve"> s’améliore. Pour répondre aux besoins de circulation d’information, de disponibilité d’outils et</w:t>
      </w:r>
      <w:r w:rsidR="0055748C">
        <w:rPr>
          <w:rFonts w:ascii="Verdana" w:eastAsia="Aptos" w:hAnsi="Verdana" w:cs="Times New Roman"/>
          <w:kern w:val="2"/>
          <w:sz w:val="20"/>
          <w:szCs w:val="20"/>
          <w:lang w:val="fr-BE"/>
          <w14:ligatures w14:val="standardContextual"/>
        </w:rPr>
        <w:t xml:space="preserve"> de reconnaissance institutionnelle, l’unité communication a mis en place : </w:t>
      </w:r>
    </w:p>
    <w:p w14:paraId="0175CEBF" w14:textId="07F7726D" w:rsidR="009C6D0F" w:rsidRDefault="00657335" w:rsidP="0055748C">
      <w:pPr>
        <w:pStyle w:val="ListParagraph"/>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Une rubrique « Ressources »</w:t>
      </w:r>
      <w:r w:rsidR="008E37FE">
        <w:rPr>
          <w:rFonts w:ascii="Verdana" w:eastAsia="Aptos" w:hAnsi="Verdana" w:cs="Times New Roman"/>
          <w:kern w:val="2"/>
          <w:sz w:val="20"/>
          <w:szCs w:val="20"/>
          <w:lang w:val="fr-BE"/>
          <w14:ligatures w14:val="standardContextual"/>
        </w:rPr>
        <w:t xml:space="preserve"> sur le site Internet permettant</w:t>
      </w:r>
      <w:r w:rsidR="003A1CB2">
        <w:rPr>
          <w:rFonts w:ascii="Verdana" w:eastAsia="Aptos" w:hAnsi="Verdana" w:cs="Times New Roman"/>
          <w:kern w:val="2"/>
          <w:sz w:val="20"/>
          <w:szCs w:val="20"/>
          <w:lang w:val="fr-BE"/>
          <w14:ligatures w14:val="standardContextual"/>
        </w:rPr>
        <w:t xml:space="preserve"> aux collègues,</w:t>
      </w:r>
      <w:r w:rsidR="008E37FE">
        <w:rPr>
          <w:rFonts w:ascii="Verdana" w:eastAsia="Aptos" w:hAnsi="Verdana" w:cs="Times New Roman"/>
          <w:kern w:val="2"/>
          <w:sz w:val="20"/>
          <w:szCs w:val="20"/>
          <w:lang w:val="fr-BE"/>
          <w14:ligatures w14:val="standardContextual"/>
        </w:rPr>
        <w:t xml:space="preserve"> aux bénéficiaire</w:t>
      </w:r>
      <w:r w:rsidR="003A1CB2">
        <w:rPr>
          <w:rFonts w:ascii="Verdana" w:eastAsia="Aptos" w:hAnsi="Verdana" w:cs="Times New Roman"/>
          <w:kern w:val="2"/>
          <w:sz w:val="20"/>
          <w:szCs w:val="20"/>
          <w:lang w:val="fr-BE"/>
          <w14:ligatures w14:val="standardContextual"/>
        </w:rPr>
        <w:t xml:space="preserve">s </w:t>
      </w:r>
      <w:r w:rsidR="008E37FE">
        <w:rPr>
          <w:rFonts w:ascii="Verdana" w:eastAsia="Aptos" w:hAnsi="Verdana" w:cs="Times New Roman"/>
          <w:kern w:val="2"/>
          <w:sz w:val="20"/>
          <w:szCs w:val="20"/>
          <w:lang w:val="fr-BE"/>
          <w14:ligatures w14:val="standardContextual"/>
        </w:rPr>
        <w:t>et partenaires des activités d’accéder à la charte graphique de la COI ainsi qu’aux logos</w:t>
      </w:r>
      <w:r w:rsidR="009C6D0F">
        <w:rPr>
          <w:rFonts w:ascii="Verdana" w:eastAsia="Aptos" w:hAnsi="Verdana" w:cs="Times New Roman"/>
          <w:kern w:val="2"/>
          <w:sz w:val="20"/>
          <w:szCs w:val="20"/>
          <w:lang w:val="fr-BE"/>
          <w14:ligatures w14:val="standardContextual"/>
        </w:rPr>
        <w:t>. Ces ressources sont également partagées en interne et enrichie de modèle-type pour les PowerPoint, les lettres,</w:t>
      </w:r>
      <w:r w:rsidR="00950EA7">
        <w:rPr>
          <w:rFonts w:ascii="Verdana" w:eastAsia="Aptos" w:hAnsi="Verdana" w:cs="Times New Roman"/>
          <w:kern w:val="2"/>
          <w:sz w:val="20"/>
          <w:szCs w:val="20"/>
          <w:lang w:val="fr-BE"/>
          <w14:ligatures w14:val="standardContextual"/>
        </w:rPr>
        <w:t xml:space="preserve"> invitations</w:t>
      </w:r>
      <w:r w:rsidR="009C6D0F">
        <w:rPr>
          <w:rFonts w:ascii="Verdana" w:eastAsia="Aptos" w:hAnsi="Verdana" w:cs="Times New Roman"/>
          <w:kern w:val="2"/>
          <w:sz w:val="20"/>
          <w:szCs w:val="20"/>
          <w:lang w:val="fr-BE"/>
          <w14:ligatures w14:val="standardContextual"/>
        </w:rPr>
        <w:t xml:space="preserve"> etc. </w:t>
      </w:r>
    </w:p>
    <w:p w14:paraId="5DFAAF50" w14:textId="7364FC61" w:rsidR="00552E01" w:rsidRDefault="34A13588" w:rsidP="0055748C">
      <w:pPr>
        <w:pStyle w:val="ListParagraph"/>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 xml:space="preserve">Une mini-newsletter interne mensuelle diffusée sur le groupe </w:t>
      </w:r>
      <w:r w:rsidR="14ABAD4F">
        <w:rPr>
          <w:rFonts w:ascii="Verdana" w:eastAsia="Aptos" w:hAnsi="Verdana" w:cs="Times New Roman"/>
          <w:kern w:val="2"/>
          <w:sz w:val="20"/>
          <w:szCs w:val="20"/>
          <w:lang w:val="fr-BE"/>
          <w14:ligatures w14:val="standardContextual"/>
        </w:rPr>
        <w:t>WhatsApp</w:t>
      </w:r>
      <w:r>
        <w:rPr>
          <w:rFonts w:ascii="Verdana" w:eastAsia="Aptos" w:hAnsi="Verdana" w:cs="Times New Roman"/>
          <w:kern w:val="2"/>
          <w:sz w:val="20"/>
          <w:szCs w:val="20"/>
          <w:lang w:val="fr-BE"/>
          <w14:ligatures w14:val="standardContextual"/>
        </w:rPr>
        <w:t xml:space="preserve"> de la COI</w:t>
      </w:r>
      <w:r w:rsidR="37837E20">
        <w:rPr>
          <w:rFonts w:ascii="Verdana" w:eastAsia="Aptos" w:hAnsi="Verdana" w:cs="Times New Roman"/>
          <w:kern w:val="2"/>
          <w:sz w:val="20"/>
          <w:szCs w:val="20"/>
          <w:lang w:val="fr-BE"/>
          <w14:ligatures w14:val="standardContextual"/>
        </w:rPr>
        <w:t>, également partagée aux OPL</w:t>
      </w:r>
      <w:r>
        <w:rPr>
          <w:rFonts w:ascii="Verdana" w:eastAsia="Aptos" w:hAnsi="Verdana" w:cs="Times New Roman"/>
          <w:kern w:val="2"/>
          <w:sz w:val="20"/>
          <w:szCs w:val="20"/>
          <w:lang w:val="fr-BE"/>
          <w14:ligatures w14:val="standardContextual"/>
        </w:rPr>
        <w:t>.</w:t>
      </w:r>
    </w:p>
    <w:p w14:paraId="6474CB5F" w14:textId="77777777" w:rsidR="0048516F" w:rsidRDefault="00552E01" w:rsidP="0055748C">
      <w:pPr>
        <w:pStyle w:val="ListParagraph"/>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La production d’outils de visibilité (goodies) distribués aux équipes.</w:t>
      </w:r>
    </w:p>
    <w:p w14:paraId="74BF195C" w14:textId="4D86C972" w:rsidR="00EA5423" w:rsidRDefault="0048516F" w:rsidP="0055748C">
      <w:pPr>
        <w:pStyle w:val="ListParagraph"/>
        <w:numPr>
          <w:ilvl w:val="0"/>
          <w:numId w:val="22"/>
        </w:num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Des kits de visibilité pour les bureaux des OPL</w:t>
      </w:r>
      <w:r w:rsidR="00F66C5E">
        <w:rPr>
          <w:rFonts w:ascii="Verdana" w:eastAsia="Aptos" w:hAnsi="Verdana" w:cs="Times New Roman"/>
          <w:kern w:val="2"/>
          <w:sz w:val="20"/>
          <w:szCs w:val="20"/>
          <w:lang w:val="fr-BE"/>
          <w14:ligatures w14:val="standardContextual"/>
        </w:rPr>
        <w:t> : le marché est lancé et suivi en collaboration avec le SMC</w:t>
      </w:r>
      <w:r>
        <w:rPr>
          <w:rFonts w:ascii="Verdana" w:eastAsia="Aptos" w:hAnsi="Verdana" w:cs="Times New Roman"/>
          <w:kern w:val="2"/>
          <w:sz w:val="20"/>
          <w:szCs w:val="20"/>
          <w:lang w:val="fr-BE"/>
          <w14:ligatures w14:val="standardContextual"/>
        </w:rPr>
        <w:t xml:space="preserve">. </w:t>
      </w:r>
      <w:r w:rsidR="00EA5423">
        <w:rPr>
          <w:rFonts w:ascii="Verdana" w:eastAsia="Aptos" w:hAnsi="Verdana" w:cs="Times New Roman"/>
          <w:kern w:val="2"/>
          <w:sz w:val="20"/>
          <w:szCs w:val="20"/>
          <w:lang w:val="fr-BE"/>
          <w14:ligatures w14:val="standardContextual"/>
        </w:rPr>
        <w:t xml:space="preserve"> </w:t>
      </w:r>
    </w:p>
    <w:p w14:paraId="27699E22" w14:textId="496ABFF6" w:rsidR="0048516F" w:rsidRDefault="00552E01" w:rsidP="00552E01">
      <w:pPr>
        <w:spacing w:after="120" w:line="276" w:lineRule="auto"/>
        <w:jc w:val="both"/>
        <w:rPr>
          <w:rFonts w:ascii="Verdana" w:eastAsia="Aptos" w:hAnsi="Verdana" w:cs="Times New Roman"/>
          <w:kern w:val="2"/>
          <w:sz w:val="20"/>
          <w:szCs w:val="20"/>
          <w:lang w:val="fr-BE"/>
          <w14:ligatures w14:val="standardContextual"/>
        </w:rPr>
      </w:pPr>
      <w:r>
        <w:rPr>
          <w:rFonts w:ascii="Verdana" w:eastAsia="Aptos" w:hAnsi="Verdana" w:cs="Times New Roman"/>
          <w:kern w:val="2"/>
          <w:sz w:val="20"/>
          <w:szCs w:val="20"/>
          <w:lang w:val="fr-BE"/>
          <w14:ligatures w14:val="standardContextual"/>
        </w:rPr>
        <w:t>L’unité communication participe également aux sessions d’</w:t>
      </w:r>
      <w:r w:rsidR="00EB268A">
        <w:rPr>
          <w:rFonts w:ascii="Verdana" w:eastAsia="Aptos" w:hAnsi="Verdana" w:cs="Times New Roman"/>
          <w:kern w:val="2"/>
          <w:sz w:val="20"/>
          <w:szCs w:val="20"/>
          <w:lang w:val="fr-BE"/>
          <w14:ligatures w14:val="standardContextual"/>
        </w:rPr>
        <w:t xml:space="preserve">accueil des nouveaux arrivants </w:t>
      </w:r>
      <w:r>
        <w:rPr>
          <w:rFonts w:ascii="Verdana" w:eastAsia="Aptos" w:hAnsi="Verdana" w:cs="Times New Roman"/>
          <w:kern w:val="2"/>
          <w:sz w:val="20"/>
          <w:szCs w:val="20"/>
          <w:lang w:val="fr-BE"/>
          <w14:ligatures w14:val="standardContextual"/>
        </w:rPr>
        <w:t>organisées par les RH pour y présenter la COI</w:t>
      </w:r>
      <w:r w:rsidR="0028638A">
        <w:rPr>
          <w:rFonts w:ascii="Verdana" w:eastAsia="Aptos" w:hAnsi="Verdana" w:cs="Times New Roman"/>
          <w:kern w:val="2"/>
          <w:sz w:val="20"/>
          <w:szCs w:val="20"/>
          <w:lang w:val="fr-BE"/>
          <w14:ligatures w14:val="standardContextual"/>
        </w:rPr>
        <w:t xml:space="preserve"> (historique, missions, valeurs, actions). A cela s’ajoute</w:t>
      </w:r>
      <w:r w:rsidR="00950EA7">
        <w:rPr>
          <w:rFonts w:ascii="Verdana" w:eastAsia="Aptos" w:hAnsi="Verdana" w:cs="Times New Roman"/>
          <w:kern w:val="2"/>
          <w:sz w:val="20"/>
          <w:szCs w:val="20"/>
          <w:lang w:val="fr-BE"/>
          <w14:ligatures w14:val="standardContextual"/>
        </w:rPr>
        <w:t>nt</w:t>
      </w:r>
      <w:r w:rsidR="0028638A">
        <w:rPr>
          <w:rFonts w:ascii="Verdana" w:eastAsia="Aptos" w:hAnsi="Verdana" w:cs="Times New Roman"/>
          <w:kern w:val="2"/>
          <w:sz w:val="20"/>
          <w:szCs w:val="20"/>
          <w:lang w:val="fr-BE"/>
          <w14:ligatures w14:val="standardContextual"/>
        </w:rPr>
        <w:t xml:space="preserve"> des petits-déjeuners thématiques autour d’une équipe ou d’un projet en tant que de besoin (initialement rendez-vous mensuel</w:t>
      </w:r>
      <w:r w:rsidR="0048516F">
        <w:rPr>
          <w:rFonts w:ascii="Verdana" w:eastAsia="Aptos" w:hAnsi="Verdana" w:cs="Times New Roman"/>
          <w:kern w:val="2"/>
          <w:sz w:val="20"/>
          <w:szCs w:val="20"/>
          <w:lang w:val="fr-BE"/>
          <w14:ligatures w14:val="standardContextual"/>
        </w:rPr>
        <w:t xml:space="preserve"> mais la fréquence est sujette à l’implication effective des équipes). </w:t>
      </w:r>
    </w:p>
    <w:p w14:paraId="59677E96" w14:textId="688ED364" w:rsidR="00005E81" w:rsidRPr="000A4442" w:rsidRDefault="00263BAD" w:rsidP="00263BAD">
      <w:pPr>
        <w:pStyle w:val="ListParagraph"/>
        <w:numPr>
          <w:ilvl w:val="0"/>
          <w:numId w:val="24"/>
        </w:numPr>
        <w:pBdr>
          <w:top w:val="single" w:sz="4" w:space="1" w:color="auto"/>
          <w:left w:val="single" w:sz="4" w:space="4" w:color="auto"/>
          <w:bottom w:val="single" w:sz="4" w:space="1" w:color="auto"/>
          <w:right w:val="single" w:sz="4" w:space="4" w:color="auto"/>
        </w:pBdr>
        <w:spacing w:after="120" w:line="276" w:lineRule="auto"/>
        <w:contextualSpacing w:val="0"/>
        <w:jc w:val="both"/>
        <w:rPr>
          <w:rFonts w:ascii="Verdana" w:eastAsia="Aptos" w:hAnsi="Verdana" w:cs="Times New Roman"/>
          <w:kern w:val="2"/>
          <w:sz w:val="20"/>
          <w:szCs w:val="20"/>
          <w:lang w:val="fr-BE"/>
          <w14:ligatures w14:val="standardContextual"/>
        </w:rPr>
      </w:pPr>
      <w:r w:rsidRPr="00263BAD">
        <w:rPr>
          <w:rFonts w:ascii="Verdana" w:eastAsia="Aptos" w:hAnsi="Verdana" w:cs="Times New Roman"/>
          <w:b/>
          <w:bCs/>
          <w:kern w:val="2"/>
          <w:sz w:val="20"/>
          <w:szCs w:val="20"/>
          <w:lang w:val="fr-BE"/>
          <w14:ligatures w14:val="standardContextual"/>
        </w:rPr>
        <w:t>A NOTER :</w:t>
      </w:r>
      <w:r>
        <w:rPr>
          <w:rFonts w:ascii="Verdana" w:eastAsia="Aptos" w:hAnsi="Verdana" w:cs="Times New Roman"/>
          <w:kern w:val="2"/>
          <w:sz w:val="20"/>
          <w:szCs w:val="20"/>
          <w:lang w:val="fr-BE"/>
          <w14:ligatures w14:val="standardContextual"/>
        </w:rPr>
        <w:t xml:space="preserve"> </w:t>
      </w:r>
      <w:r w:rsidR="002A5F1D">
        <w:rPr>
          <w:rFonts w:ascii="Verdana" w:eastAsia="Aptos" w:hAnsi="Verdana" w:cs="Times New Roman"/>
          <w:kern w:val="2"/>
          <w:sz w:val="20"/>
          <w:szCs w:val="20"/>
          <w:lang w:val="fr-BE"/>
          <w14:ligatures w14:val="standardContextual"/>
        </w:rPr>
        <w:t xml:space="preserve">Sur proposition du Comité des OPL n°02/25 de novembre 2025, le Secrétariat général a transmis un courrier aux OPL le 25 novembre 2025 sollicitant la désignation de PFN communication afin de faciliter le partage d’informations, notamment à l’occasion d’évènements de la COI dans les États membres et pour le suivi des </w:t>
      </w:r>
      <w:r w:rsidR="005A0B0E">
        <w:rPr>
          <w:rFonts w:ascii="Verdana" w:eastAsia="Aptos" w:hAnsi="Verdana" w:cs="Times New Roman"/>
          <w:kern w:val="2"/>
          <w:sz w:val="20"/>
          <w:szCs w:val="20"/>
          <w:lang w:val="fr-BE"/>
          <w14:ligatures w14:val="standardContextual"/>
        </w:rPr>
        <w:t>retombées médiatiques, entre autres. Ce réseau des PFN pourrait également constituer une communauté de partage de bonnes pratiques, de mutualisation de ressources techniques</w:t>
      </w:r>
      <w:r w:rsidR="00885618">
        <w:rPr>
          <w:rFonts w:ascii="Verdana" w:eastAsia="Aptos" w:hAnsi="Verdana" w:cs="Times New Roman"/>
          <w:kern w:val="2"/>
          <w:sz w:val="20"/>
          <w:szCs w:val="20"/>
          <w:lang w:val="fr-BE"/>
          <w14:ligatures w14:val="standardContextual"/>
        </w:rPr>
        <w:t xml:space="preserve">, entre autres. Les conseils des PFN communication pourront aussi être sollicités pour améliorer l’adaptation des contenus ou des évènements aux contextes locaux et aussi pour renforcer l’appropriation nationale des actions entreprises par la COI. A ce jour, Madagascar et Maurice ont </w:t>
      </w:r>
      <w:r w:rsidR="00894596">
        <w:rPr>
          <w:rFonts w:ascii="Verdana" w:eastAsia="Aptos" w:hAnsi="Verdana" w:cs="Times New Roman"/>
          <w:kern w:val="2"/>
          <w:sz w:val="20"/>
          <w:szCs w:val="20"/>
          <w:lang w:val="fr-BE"/>
          <w14:ligatures w14:val="standardContextual"/>
        </w:rPr>
        <w:t xml:space="preserve">désigné des PFN communication à la suite du courrier du 25/11/2025. </w:t>
      </w:r>
      <w:r w:rsidR="003610D9">
        <w:rPr>
          <w:rFonts w:ascii="Verdana" w:eastAsia="Aptos" w:hAnsi="Verdana" w:cs="Times New Roman"/>
          <w:kern w:val="2"/>
          <w:sz w:val="20"/>
          <w:szCs w:val="20"/>
          <w:lang w:val="fr-BE"/>
          <w14:ligatures w14:val="standardContextual"/>
        </w:rPr>
        <w:t xml:space="preserve"> </w:t>
      </w:r>
    </w:p>
    <w:p w14:paraId="263B0C70" w14:textId="77777777" w:rsidR="0001698D" w:rsidRPr="00B45E46" w:rsidRDefault="0001698D" w:rsidP="00C46BB1">
      <w:pPr>
        <w:pStyle w:val="Paragraphe"/>
        <w:rPr>
          <w:shd w:val="clear" w:color="auto" w:fill="FFFFFF"/>
        </w:rPr>
      </w:pPr>
    </w:p>
    <w:p w14:paraId="2F7F5914" w14:textId="41B74440" w:rsidR="00955BB3" w:rsidRPr="0008468B" w:rsidRDefault="00FB6415" w:rsidP="00C46BB1">
      <w:pPr>
        <w:pStyle w:val="Titrepartie"/>
        <w:contextualSpacing w:val="0"/>
      </w:pPr>
      <w:r>
        <w:t>Perspectives</w:t>
      </w:r>
    </w:p>
    <w:tbl>
      <w:tblPr>
        <w:tblStyle w:val="TableGrid"/>
        <w:tblW w:w="0" w:type="auto"/>
        <w:tblLook w:val="04A0" w:firstRow="1" w:lastRow="0" w:firstColumn="1" w:lastColumn="0" w:noHBand="0" w:noVBand="1"/>
      </w:tblPr>
      <w:tblGrid>
        <w:gridCol w:w="2547"/>
        <w:gridCol w:w="6515"/>
      </w:tblGrid>
      <w:tr w:rsidR="00EA6F65" w14:paraId="3D553902" w14:textId="77777777" w:rsidTr="00847123">
        <w:tc>
          <w:tcPr>
            <w:tcW w:w="2547" w:type="dxa"/>
            <w:shd w:val="clear" w:color="auto" w:fill="FFF2CC" w:themeFill="accent4" w:themeFillTint="33"/>
          </w:tcPr>
          <w:bookmarkEnd w:id="0"/>
          <w:p w14:paraId="4E4A7255" w14:textId="153BE074" w:rsidR="00EA6F65" w:rsidRPr="00847123" w:rsidRDefault="00EA6F65" w:rsidP="00847123">
            <w:pPr>
              <w:pStyle w:val="Paragraphe"/>
              <w:contextualSpacing/>
              <w:jc w:val="center"/>
              <w:rPr>
                <w:b/>
                <w:bCs/>
              </w:rPr>
            </w:pPr>
            <w:r w:rsidRPr="00847123">
              <w:rPr>
                <w:b/>
                <w:bCs/>
              </w:rPr>
              <w:t>Objectifs spécifiques de la stratégie C&amp;V</w:t>
            </w:r>
          </w:p>
        </w:tc>
        <w:tc>
          <w:tcPr>
            <w:tcW w:w="6515" w:type="dxa"/>
            <w:shd w:val="clear" w:color="auto" w:fill="FFF2CC" w:themeFill="accent4" w:themeFillTint="33"/>
          </w:tcPr>
          <w:p w14:paraId="19110764" w14:textId="0A1EE50F" w:rsidR="00EA6F65" w:rsidRPr="00847123" w:rsidRDefault="00EA6F65" w:rsidP="00847123">
            <w:pPr>
              <w:pStyle w:val="Paragraphe"/>
              <w:jc w:val="center"/>
              <w:rPr>
                <w:b/>
                <w:bCs/>
              </w:rPr>
            </w:pPr>
            <w:r w:rsidRPr="00847123">
              <w:rPr>
                <w:b/>
                <w:bCs/>
              </w:rPr>
              <w:t>Activités</w:t>
            </w:r>
            <w:r w:rsidR="00A87B16" w:rsidRPr="00847123">
              <w:rPr>
                <w:b/>
                <w:bCs/>
              </w:rPr>
              <w:t xml:space="preserve"> / perspectives</w:t>
            </w:r>
          </w:p>
        </w:tc>
      </w:tr>
      <w:tr w:rsidR="00EA6F65" w:rsidRPr="00455ED6" w14:paraId="070CB3A6" w14:textId="77777777" w:rsidTr="00455ED6">
        <w:tc>
          <w:tcPr>
            <w:tcW w:w="2547" w:type="dxa"/>
          </w:tcPr>
          <w:p w14:paraId="3C0FCF3F" w14:textId="7C56CC76" w:rsidR="00EA6F65" w:rsidRDefault="00EA6F65" w:rsidP="001808E1">
            <w:pPr>
              <w:pStyle w:val="Paragraphe"/>
              <w:numPr>
                <w:ilvl w:val="0"/>
                <w:numId w:val="28"/>
              </w:numPr>
              <w:ind w:left="306"/>
              <w:contextualSpacing/>
              <w:jc w:val="left"/>
            </w:pPr>
            <w:r>
              <w:t>La visibilité de la COI augmente de +10% dans les médias de la région d’ici 2029</w:t>
            </w:r>
          </w:p>
        </w:tc>
        <w:tc>
          <w:tcPr>
            <w:tcW w:w="6515" w:type="dxa"/>
          </w:tcPr>
          <w:p w14:paraId="1FAC2CF2" w14:textId="1868D95F" w:rsidR="00A87B16" w:rsidRPr="001808E1" w:rsidRDefault="007D6FC0" w:rsidP="007B4602">
            <w:pPr>
              <w:pStyle w:val="Paragraphe"/>
              <w:numPr>
                <w:ilvl w:val="0"/>
                <w:numId w:val="23"/>
              </w:numPr>
              <w:ind w:left="316"/>
              <w:rPr>
                <w:lang w:val="en-US"/>
              </w:rPr>
            </w:pPr>
            <w:proofErr w:type="spellStart"/>
            <w:r w:rsidRPr="001808E1">
              <w:rPr>
                <w:lang w:val="en-US"/>
              </w:rPr>
              <w:t>Activité</w:t>
            </w:r>
            <w:proofErr w:type="spellEnd"/>
            <w:r w:rsidRPr="001808E1">
              <w:rPr>
                <w:lang w:val="en-US"/>
              </w:rPr>
              <w:t xml:space="preserve"> « </w:t>
            </w:r>
            <w:r w:rsidR="00A87B16" w:rsidRPr="001808E1">
              <w:rPr>
                <w:lang w:val="en-US"/>
              </w:rPr>
              <w:t xml:space="preserve">Media </w:t>
            </w:r>
            <w:proofErr w:type="gramStart"/>
            <w:r w:rsidR="00A87B16" w:rsidRPr="001808E1">
              <w:rPr>
                <w:lang w:val="en-US"/>
              </w:rPr>
              <w:t>Challenge</w:t>
            </w:r>
            <w:r w:rsidRPr="001808E1">
              <w:rPr>
                <w:lang w:val="en-US"/>
              </w:rPr>
              <w:t> »</w:t>
            </w:r>
            <w:r w:rsidR="001808E1" w:rsidRPr="001808E1">
              <w:rPr>
                <w:lang w:val="en-US"/>
              </w:rPr>
              <w:t xml:space="preserve"> -</w:t>
            </w:r>
            <w:proofErr w:type="gramEnd"/>
            <w:r w:rsidR="001808E1" w:rsidRPr="001808E1">
              <w:rPr>
                <w:lang w:val="en-US"/>
              </w:rPr>
              <w:t xml:space="preserve"> 2</w:t>
            </w:r>
            <w:r w:rsidR="001808E1" w:rsidRPr="001808E1">
              <w:rPr>
                <w:vertAlign w:val="superscript"/>
                <w:lang w:val="en-US"/>
              </w:rPr>
              <w:t>e</w:t>
            </w:r>
            <w:r w:rsidR="001808E1" w:rsidRPr="001808E1">
              <w:rPr>
                <w:lang w:val="en-US"/>
              </w:rPr>
              <w:t xml:space="preserve"> </w:t>
            </w:r>
            <w:proofErr w:type="spellStart"/>
            <w:r w:rsidR="001808E1">
              <w:rPr>
                <w:lang w:val="en-US"/>
              </w:rPr>
              <w:t>semestre</w:t>
            </w:r>
            <w:proofErr w:type="spellEnd"/>
            <w:r w:rsidR="001808E1">
              <w:rPr>
                <w:lang w:val="en-US"/>
              </w:rPr>
              <w:t xml:space="preserve"> 2026</w:t>
            </w:r>
          </w:p>
          <w:p w14:paraId="2793B4C7" w14:textId="77777777" w:rsidR="00EA6F65" w:rsidRPr="00455ED6" w:rsidRDefault="007E38AD" w:rsidP="007B4602">
            <w:pPr>
              <w:pStyle w:val="Paragraphe"/>
              <w:numPr>
                <w:ilvl w:val="0"/>
                <w:numId w:val="23"/>
              </w:numPr>
              <w:ind w:left="316"/>
            </w:pPr>
            <w:r w:rsidRPr="00455ED6">
              <w:t>Produire davantage de communiqués et contenus en anglais</w:t>
            </w:r>
          </w:p>
          <w:p w14:paraId="458E818C" w14:textId="4CA9B82C" w:rsidR="007E38AD" w:rsidRPr="00455ED6" w:rsidRDefault="007E38AD" w:rsidP="007B4602">
            <w:pPr>
              <w:pStyle w:val="Paragraphe"/>
              <w:numPr>
                <w:ilvl w:val="0"/>
                <w:numId w:val="23"/>
              </w:numPr>
              <w:ind w:left="316"/>
            </w:pPr>
            <w:r w:rsidRPr="00455ED6">
              <w:t xml:space="preserve">Proposer des </w:t>
            </w:r>
            <w:r w:rsidR="00271BF7" w:rsidRPr="00455ED6">
              <w:t xml:space="preserve">contenus multimédias à l’attention des médias radio, TV et en ligne </w:t>
            </w:r>
          </w:p>
        </w:tc>
      </w:tr>
      <w:tr w:rsidR="00EA6F65" w:rsidRPr="00455ED6" w14:paraId="1489B15F" w14:textId="77777777" w:rsidTr="00455ED6">
        <w:tc>
          <w:tcPr>
            <w:tcW w:w="2547" w:type="dxa"/>
          </w:tcPr>
          <w:p w14:paraId="3FB3B856" w14:textId="77777777" w:rsidR="00EA6F65" w:rsidRDefault="00EA6F65" w:rsidP="00455ED6">
            <w:pPr>
              <w:pStyle w:val="Paragraphe"/>
              <w:numPr>
                <w:ilvl w:val="0"/>
                <w:numId w:val="28"/>
              </w:numPr>
              <w:ind w:left="306" w:hanging="357"/>
              <w:contextualSpacing/>
              <w:jc w:val="left"/>
            </w:pPr>
            <w:r>
              <w:t>Un minimum de 3 évènements régionaux marquants sont organisée chaque année d’ici 2029</w:t>
            </w:r>
          </w:p>
          <w:p w14:paraId="0D54AE57" w14:textId="77777777" w:rsidR="00EA6F65" w:rsidRDefault="00EA6F65" w:rsidP="00455ED6">
            <w:pPr>
              <w:pStyle w:val="Paragraphe"/>
              <w:ind w:left="306"/>
            </w:pPr>
          </w:p>
        </w:tc>
        <w:tc>
          <w:tcPr>
            <w:tcW w:w="6515" w:type="dxa"/>
          </w:tcPr>
          <w:p w14:paraId="1B40818F" w14:textId="2AC822F8" w:rsidR="00A87B16" w:rsidRPr="00455ED6" w:rsidRDefault="001808E1" w:rsidP="007B4602">
            <w:pPr>
              <w:pStyle w:val="Paragraphe"/>
              <w:numPr>
                <w:ilvl w:val="0"/>
                <w:numId w:val="22"/>
              </w:numPr>
              <w:ind w:left="316" w:hanging="357"/>
              <w:contextualSpacing/>
            </w:pPr>
            <w:r>
              <w:t>Evènements en marge du 40</w:t>
            </w:r>
            <w:r w:rsidRPr="001808E1">
              <w:rPr>
                <w:vertAlign w:val="superscript"/>
              </w:rPr>
              <w:t>e</w:t>
            </w:r>
            <w:r>
              <w:t xml:space="preserve"> Conseil des ministres de la COI, notamment </w:t>
            </w:r>
            <w:r w:rsidR="005D75A7">
              <w:t>en collaboration avec le CNDRS des Comores pour l’exposition « 40 ans de coopération »</w:t>
            </w:r>
            <w:r w:rsidR="00A87B16" w:rsidRPr="00455ED6">
              <w:t> ;</w:t>
            </w:r>
          </w:p>
          <w:p w14:paraId="14B70AB7" w14:textId="2291E8C0" w:rsidR="00A87B16" w:rsidRPr="00455ED6" w:rsidRDefault="00A87B16" w:rsidP="007B4602">
            <w:pPr>
              <w:pStyle w:val="Paragraphe"/>
              <w:numPr>
                <w:ilvl w:val="0"/>
                <w:numId w:val="22"/>
              </w:numPr>
              <w:ind w:left="316" w:hanging="357"/>
              <w:contextualSpacing/>
            </w:pPr>
            <w:r w:rsidRPr="00455ED6">
              <w:t>I</w:t>
            </w:r>
            <w:r w:rsidR="005D75A7">
              <w:t xml:space="preserve">nstallation </w:t>
            </w:r>
            <w:r w:rsidRPr="00455ED6">
              <w:t>de l’exposition « 40 ans de coopération en Indianocéanie » à Maurice</w:t>
            </w:r>
            <w:r w:rsidR="005D75A7">
              <w:t xml:space="preserve">. </w:t>
            </w:r>
            <w:r w:rsidRPr="00455ED6">
              <w:t>Relance du marché à effectuer pour Maurice</w:t>
            </w:r>
            <w:r w:rsidR="005D75A7">
              <w:t xml:space="preserve">. </w:t>
            </w:r>
            <w:r w:rsidRPr="00455ED6">
              <w:t xml:space="preserve">Il pourra être envisagé </w:t>
            </w:r>
            <w:r w:rsidR="005D75A7">
              <w:t>une</w:t>
            </w:r>
            <w:r w:rsidRPr="00455ED6">
              <w:t xml:space="preserve"> étape, probablement à La Réunion dans le cadre de la prochaine présidence française de la COI ;</w:t>
            </w:r>
          </w:p>
          <w:p w14:paraId="5A55E23E" w14:textId="77777777" w:rsidR="00DF7FA6" w:rsidRDefault="00A87B16" w:rsidP="00DF7FA6">
            <w:pPr>
              <w:pStyle w:val="Paragraphe"/>
              <w:numPr>
                <w:ilvl w:val="0"/>
                <w:numId w:val="22"/>
              </w:numPr>
              <w:ind w:left="316" w:hanging="357"/>
              <w:contextualSpacing/>
            </w:pPr>
            <w:r w:rsidRPr="00455ED6">
              <w:t>Journées portes ouvertes au Secrétariat général de la COI</w:t>
            </w:r>
            <w:r w:rsidR="00DF7FA6">
              <w:t xml:space="preserve"> au 2</w:t>
            </w:r>
            <w:r w:rsidR="00DF7FA6" w:rsidRPr="00DF7FA6">
              <w:rPr>
                <w:vertAlign w:val="superscript"/>
              </w:rPr>
              <w:t>e</w:t>
            </w:r>
            <w:r w:rsidR="00DF7FA6">
              <w:t xml:space="preserve"> semestre 2026</w:t>
            </w:r>
            <w:r w:rsidRPr="00455ED6">
              <w:t xml:space="preserve">. </w:t>
            </w:r>
          </w:p>
          <w:p w14:paraId="04B0FA94" w14:textId="2C447C00" w:rsidR="00EA6F65" w:rsidRPr="00455ED6" w:rsidRDefault="00A87B16" w:rsidP="00DF7FA6">
            <w:pPr>
              <w:pStyle w:val="Paragraphe"/>
              <w:numPr>
                <w:ilvl w:val="0"/>
                <w:numId w:val="22"/>
              </w:numPr>
              <w:ind w:left="316" w:hanging="357"/>
              <w:contextualSpacing/>
            </w:pPr>
            <w:r w:rsidRPr="00455ED6">
              <w:t xml:space="preserve">Journées COI dans l’un des Etats membres (hors Maurice) en marge d’un évènement régional / international ou d’une activité d’envergure d’un projet de la COI.  </w:t>
            </w:r>
          </w:p>
        </w:tc>
      </w:tr>
      <w:tr w:rsidR="00EA6F65" w:rsidRPr="00455ED6" w14:paraId="228C56BF" w14:textId="77777777" w:rsidTr="00F23208">
        <w:tc>
          <w:tcPr>
            <w:tcW w:w="2547" w:type="dxa"/>
          </w:tcPr>
          <w:p w14:paraId="5469C950" w14:textId="77777777" w:rsidR="00EA6F65" w:rsidRDefault="00EA6F65" w:rsidP="00455ED6">
            <w:pPr>
              <w:pStyle w:val="Paragraphe"/>
              <w:numPr>
                <w:ilvl w:val="0"/>
                <w:numId w:val="28"/>
              </w:numPr>
              <w:ind w:left="306" w:hanging="357"/>
              <w:contextualSpacing/>
              <w:jc w:val="left"/>
            </w:pPr>
            <w:r>
              <w:t>La compréhension de la COI, de sa mission et de ses actions s’améliore au sein des groupes cibles</w:t>
            </w:r>
          </w:p>
          <w:p w14:paraId="0166466F" w14:textId="77777777" w:rsidR="00EA6F65" w:rsidRDefault="00EA6F65" w:rsidP="00455ED6">
            <w:pPr>
              <w:pStyle w:val="Paragraphe"/>
              <w:ind w:left="306"/>
              <w:jc w:val="left"/>
            </w:pPr>
          </w:p>
        </w:tc>
        <w:tc>
          <w:tcPr>
            <w:tcW w:w="6515" w:type="dxa"/>
            <w:vAlign w:val="center"/>
          </w:tcPr>
          <w:p w14:paraId="08D140E9" w14:textId="77777777" w:rsidR="004B73BF" w:rsidRPr="00455ED6" w:rsidRDefault="004B73BF" w:rsidP="007B4602">
            <w:pPr>
              <w:pStyle w:val="Paragraphe"/>
              <w:numPr>
                <w:ilvl w:val="0"/>
                <w:numId w:val="23"/>
              </w:numPr>
              <w:ind w:left="316"/>
              <w:jc w:val="left"/>
            </w:pPr>
            <w:r w:rsidRPr="00455ED6">
              <w:t>Mise en place de chaînes WhatsApp thématiques</w:t>
            </w:r>
          </w:p>
          <w:p w14:paraId="4240083B" w14:textId="66D719E4" w:rsidR="004B73BF" w:rsidRPr="00455ED6" w:rsidRDefault="004B73BF" w:rsidP="007B4602">
            <w:pPr>
              <w:pStyle w:val="Paragraphe"/>
              <w:numPr>
                <w:ilvl w:val="0"/>
                <w:numId w:val="23"/>
              </w:numPr>
              <w:ind w:left="316"/>
              <w:jc w:val="left"/>
            </w:pPr>
            <w:r w:rsidRPr="00455ED6">
              <w:t>Assurer la régularité de production / diffusion des Newsletter</w:t>
            </w:r>
            <w:r w:rsidR="00850E1E">
              <w:t xml:space="preserve"> (format à améliorer)</w:t>
            </w:r>
          </w:p>
          <w:p w14:paraId="5626C59E" w14:textId="542E2FB9" w:rsidR="004B73BF" w:rsidRPr="00455ED6" w:rsidRDefault="004B73BF" w:rsidP="007B4602">
            <w:pPr>
              <w:pStyle w:val="Paragraphe"/>
              <w:numPr>
                <w:ilvl w:val="0"/>
                <w:numId w:val="23"/>
              </w:numPr>
              <w:ind w:left="316"/>
              <w:jc w:val="left"/>
            </w:pPr>
            <w:r w:rsidRPr="00455ED6">
              <w:t>Renforcer la production de contenus en anglais</w:t>
            </w:r>
          </w:p>
          <w:p w14:paraId="4BA8B749" w14:textId="77777777" w:rsidR="00EA6F65" w:rsidRPr="00455ED6" w:rsidRDefault="00EA6F65" w:rsidP="007B4602">
            <w:pPr>
              <w:pStyle w:val="Paragraphe"/>
              <w:ind w:left="316"/>
              <w:jc w:val="left"/>
            </w:pPr>
          </w:p>
        </w:tc>
      </w:tr>
      <w:tr w:rsidR="00EA6F65" w:rsidRPr="00455ED6" w14:paraId="792C6EDB" w14:textId="77777777" w:rsidTr="00455ED6">
        <w:tc>
          <w:tcPr>
            <w:tcW w:w="2547" w:type="dxa"/>
          </w:tcPr>
          <w:p w14:paraId="6286329D" w14:textId="77777777" w:rsidR="00EA6F65" w:rsidRDefault="00EA6F65" w:rsidP="00455ED6">
            <w:pPr>
              <w:pStyle w:val="Paragraphe"/>
              <w:numPr>
                <w:ilvl w:val="0"/>
                <w:numId w:val="28"/>
              </w:numPr>
              <w:ind w:left="306" w:hanging="357"/>
              <w:contextualSpacing/>
              <w:jc w:val="left"/>
            </w:pPr>
            <w:r>
              <w:t>L’engagement moyen sur les plateformes digitales de la COI enregistre une hausse de +10% chaque année</w:t>
            </w:r>
          </w:p>
          <w:p w14:paraId="7CE8998D" w14:textId="77777777" w:rsidR="00EA6F65" w:rsidRDefault="00EA6F65" w:rsidP="00455ED6">
            <w:pPr>
              <w:pStyle w:val="Paragraphe"/>
              <w:ind w:left="306"/>
              <w:jc w:val="left"/>
            </w:pPr>
          </w:p>
        </w:tc>
        <w:tc>
          <w:tcPr>
            <w:tcW w:w="6515" w:type="dxa"/>
          </w:tcPr>
          <w:p w14:paraId="521A637D" w14:textId="77777777" w:rsidR="007E38AD" w:rsidRPr="00455ED6" w:rsidRDefault="007E38AD" w:rsidP="007B4602">
            <w:pPr>
              <w:pStyle w:val="Paragraphe"/>
              <w:ind w:left="316"/>
            </w:pPr>
          </w:p>
          <w:p w14:paraId="546E0260" w14:textId="3351F77A" w:rsidR="007E38AD" w:rsidRDefault="007E38AD" w:rsidP="007B4602">
            <w:pPr>
              <w:pStyle w:val="Paragraphe"/>
              <w:numPr>
                <w:ilvl w:val="0"/>
                <w:numId w:val="22"/>
              </w:numPr>
              <w:ind w:left="316"/>
            </w:pPr>
            <w:r w:rsidRPr="00455ED6">
              <w:t>Refonte du site Internet de la COI</w:t>
            </w:r>
            <w:r w:rsidR="001611DA">
              <w:t>, dont une version anglaise totalement fonctionnelle</w:t>
            </w:r>
          </w:p>
          <w:p w14:paraId="0C3BCA09" w14:textId="3396118A" w:rsidR="00541883" w:rsidRPr="00455ED6" w:rsidRDefault="00541883" w:rsidP="007B4602">
            <w:pPr>
              <w:pStyle w:val="Paragraphe"/>
              <w:numPr>
                <w:ilvl w:val="0"/>
                <w:numId w:val="22"/>
              </w:numPr>
              <w:ind w:left="316"/>
            </w:pPr>
            <w:r>
              <w:t>Professionnalisation des contenus proposés grâce aux formations (graphisme, vidéo, etc.)</w:t>
            </w:r>
          </w:p>
          <w:p w14:paraId="0257B0F6" w14:textId="77777777" w:rsidR="00EA6F65" w:rsidRPr="00455ED6" w:rsidRDefault="00EA6F65" w:rsidP="007B4602">
            <w:pPr>
              <w:pStyle w:val="Paragraphe"/>
              <w:ind w:left="316"/>
            </w:pPr>
          </w:p>
        </w:tc>
      </w:tr>
      <w:tr w:rsidR="00EA6F65" w14:paraId="36A6A753" w14:textId="77777777" w:rsidTr="00455ED6">
        <w:tc>
          <w:tcPr>
            <w:tcW w:w="2547" w:type="dxa"/>
          </w:tcPr>
          <w:p w14:paraId="125C4F53" w14:textId="799EBBF0" w:rsidR="00EA6F65" w:rsidRDefault="00EA6F65" w:rsidP="00455ED6">
            <w:pPr>
              <w:pStyle w:val="Paragraphe"/>
              <w:numPr>
                <w:ilvl w:val="0"/>
                <w:numId w:val="28"/>
              </w:numPr>
              <w:ind w:left="306"/>
              <w:jc w:val="left"/>
            </w:pPr>
            <w:r>
              <w:t>Le sentiment d’appartenance et la circulation de l’information au sein de la COI sont améliorés</w:t>
            </w:r>
          </w:p>
          <w:p w14:paraId="38A5CF2F" w14:textId="77777777" w:rsidR="00EA6F65" w:rsidRDefault="00EA6F65" w:rsidP="00455ED6">
            <w:pPr>
              <w:pStyle w:val="Paragraphe"/>
              <w:ind w:left="306"/>
              <w:jc w:val="left"/>
            </w:pPr>
          </w:p>
        </w:tc>
        <w:tc>
          <w:tcPr>
            <w:tcW w:w="6515" w:type="dxa"/>
          </w:tcPr>
          <w:p w14:paraId="4A175B97" w14:textId="77777777" w:rsidR="00EA6F65" w:rsidRDefault="00EA6F65" w:rsidP="007B4602">
            <w:pPr>
              <w:pStyle w:val="Paragraphe"/>
              <w:ind w:left="316"/>
            </w:pPr>
          </w:p>
          <w:p w14:paraId="57395BE6" w14:textId="77777777" w:rsidR="001611DA" w:rsidRDefault="001611DA" w:rsidP="007B4602">
            <w:pPr>
              <w:pStyle w:val="Paragraphe"/>
              <w:numPr>
                <w:ilvl w:val="0"/>
                <w:numId w:val="22"/>
              </w:numPr>
              <w:ind w:left="316"/>
            </w:pPr>
            <w:r>
              <w:t>Campagne de communication autour des « artisans de la coopération régionale »</w:t>
            </w:r>
          </w:p>
          <w:p w14:paraId="01D78733" w14:textId="5CE0FB53" w:rsidR="00A1169F" w:rsidRDefault="00A1169F" w:rsidP="007B4602">
            <w:pPr>
              <w:pStyle w:val="Paragraphe"/>
              <w:numPr>
                <w:ilvl w:val="0"/>
                <w:numId w:val="22"/>
              </w:numPr>
              <w:ind w:left="316"/>
            </w:pPr>
            <w:r>
              <w:t xml:space="preserve">Application stricte de la charte graphique et </w:t>
            </w:r>
            <w:r w:rsidR="00151C6C">
              <w:t>utilisation systématique du logo COI</w:t>
            </w:r>
          </w:p>
          <w:p w14:paraId="03F7E2BA" w14:textId="667EF09E" w:rsidR="00151C6C" w:rsidRDefault="00E575AE" w:rsidP="007B4602">
            <w:pPr>
              <w:pStyle w:val="Paragraphe"/>
              <w:numPr>
                <w:ilvl w:val="0"/>
                <w:numId w:val="22"/>
              </w:numPr>
              <w:ind w:left="316"/>
            </w:pPr>
            <w:r>
              <w:t>Publication et diffusion du rapport annuel 2025 + version anglaise</w:t>
            </w:r>
          </w:p>
          <w:p w14:paraId="4C09FFC9" w14:textId="1F61C3FE" w:rsidR="001611DA" w:rsidRDefault="001611DA" w:rsidP="007B4602">
            <w:pPr>
              <w:pStyle w:val="Paragraphe"/>
              <w:ind w:left="316"/>
            </w:pPr>
          </w:p>
        </w:tc>
      </w:tr>
    </w:tbl>
    <w:p w14:paraId="2020C404" w14:textId="77777777" w:rsidR="00EA6F65" w:rsidRPr="00FC1075" w:rsidRDefault="00EA6F65" w:rsidP="00C46BB1">
      <w:pPr>
        <w:pStyle w:val="Paragraphe"/>
      </w:pPr>
    </w:p>
    <w:sectPr w:rsidR="00EA6F65" w:rsidRPr="00FC1075" w:rsidSect="009D3A41">
      <w:headerReference w:type="default" r:id="rId9"/>
      <w:footerReference w:type="default" r:id="rId10"/>
      <w:pgSz w:w="11906" w:h="16838"/>
      <w:pgMar w:top="1843" w:right="1417" w:bottom="993"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0B45" w14:textId="77777777" w:rsidR="00C911E9" w:rsidRDefault="00C911E9">
      <w:pPr>
        <w:spacing w:after="0" w:line="240" w:lineRule="auto"/>
      </w:pPr>
      <w:r>
        <w:separator/>
      </w:r>
    </w:p>
  </w:endnote>
  <w:endnote w:type="continuationSeparator" w:id="0">
    <w:p w14:paraId="12CF476C" w14:textId="77777777" w:rsidR="00C911E9" w:rsidRDefault="00C9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Footer"/>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5BB0" w14:textId="77777777" w:rsidR="00C911E9" w:rsidRDefault="00C911E9">
      <w:pPr>
        <w:spacing w:after="0" w:line="240" w:lineRule="auto"/>
      </w:pPr>
      <w:r>
        <w:separator/>
      </w:r>
    </w:p>
  </w:footnote>
  <w:footnote w:type="continuationSeparator" w:id="0">
    <w:p w14:paraId="50A09A3F" w14:textId="77777777" w:rsidR="00C911E9" w:rsidRDefault="00C91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6A45ED9F" w:rsidR="00063A26" w:rsidRDefault="00854EEA" w:rsidP="00063A26">
    <w:pPr>
      <w:pStyle w:val="Header"/>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222055648" name="Image 22205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045468">
      <w:rPr>
        <w:rFonts w:ascii="Verdana" w:hAnsi="Verdana"/>
        <w:b/>
        <w:bCs/>
        <w:sz w:val="20"/>
        <w:szCs w:val="20"/>
      </w:rPr>
      <w:t>3.</w:t>
    </w:r>
    <w:r w:rsidR="00EF3BCD">
      <w:rPr>
        <w:rFonts w:ascii="Verdana" w:hAnsi="Verdana"/>
        <w:b/>
        <w:bCs/>
        <w:sz w:val="20"/>
        <w:szCs w:val="20"/>
      </w:rPr>
      <w:t>12</w:t>
    </w:r>
    <w:r w:rsidR="002004AD">
      <w:rPr>
        <w:rFonts w:ascii="Verdana" w:hAnsi="Verdana"/>
        <w:b/>
        <w:bCs/>
        <w:sz w:val="20"/>
        <w:szCs w:val="20"/>
      </w:rPr>
      <w:t>.</w:t>
    </w:r>
  </w:p>
  <w:p w14:paraId="7FE17793" w14:textId="77777777" w:rsidR="00AA63A3" w:rsidRDefault="00AA63A3" w:rsidP="00AA63A3">
    <w:pPr>
      <w:pStyle w:val="Header"/>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E13ECAAA"/>
    <w:lvl w:ilvl="0">
      <w:start w:val="1"/>
      <w:numFmt w:val="decimal"/>
      <w:pStyle w:val="Titrepartie"/>
      <w:lvlText w:val="%1."/>
      <w:lvlJc w:val="left"/>
      <w:pPr>
        <w:ind w:left="720" w:hanging="360"/>
      </w:pPr>
      <w:rPr>
        <w:rFonts w:hint="default"/>
      </w:rPr>
    </w:lvl>
    <w:lvl w:ilv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D10222"/>
    <w:multiLevelType w:val="hybridMultilevel"/>
    <w:tmpl w:val="6C36AE14"/>
    <w:lvl w:ilvl="0" w:tplc="4796D4C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13494D"/>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34C68"/>
    <w:multiLevelType w:val="hybridMultilevel"/>
    <w:tmpl w:val="195C4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393824"/>
    <w:multiLevelType w:val="hybridMultilevel"/>
    <w:tmpl w:val="F72E4DD0"/>
    <w:lvl w:ilvl="0" w:tplc="818C76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845E5"/>
    <w:multiLevelType w:val="hybridMultilevel"/>
    <w:tmpl w:val="49A48F42"/>
    <w:lvl w:ilvl="0" w:tplc="A68CFA6A">
      <w:start w:val="14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E35109"/>
    <w:multiLevelType w:val="hybridMultilevel"/>
    <w:tmpl w:val="A92CA950"/>
    <w:lvl w:ilvl="0" w:tplc="0D5E0EB6">
      <w:start w:val="2"/>
      <w:numFmt w:val="bullet"/>
      <w:lvlText w:val=""/>
      <w:lvlJc w:val="left"/>
      <w:pPr>
        <w:ind w:left="720" w:hanging="360"/>
      </w:pPr>
      <w:rPr>
        <w:rFonts w:ascii="Wingdings" w:eastAsia="Apto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131C5F"/>
    <w:multiLevelType w:val="hybridMultilevel"/>
    <w:tmpl w:val="37C4EAF4"/>
    <w:lvl w:ilvl="0" w:tplc="8814F498">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680C7E"/>
    <w:multiLevelType w:val="hybridMultilevel"/>
    <w:tmpl w:val="F92814F8"/>
    <w:lvl w:ilvl="0" w:tplc="8814F498">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4C434D"/>
    <w:multiLevelType w:val="hybridMultilevel"/>
    <w:tmpl w:val="C4FA3C7C"/>
    <w:lvl w:ilvl="0" w:tplc="0D5E0EB6">
      <w:start w:val="2"/>
      <w:numFmt w:val="bullet"/>
      <w:lvlText w:val=""/>
      <w:lvlJc w:val="left"/>
      <w:pPr>
        <w:ind w:left="720" w:hanging="360"/>
      </w:pPr>
      <w:rPr>
        <w:rFonts w:ascii="Wingdings" w:eastAsia="Aptos"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51515"/>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AF38CF"/>
    <w:multiLevelType w:val="hybridMultilevel"/>
    <w:tmpl w:val="72CEE78E"/>
    <w:lvl w:ilvl="0" w:tplc="BE1250C8">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8A1765"/>
    <w:multiLevelType w:val="hybridMultilevel"/>
    <w:tmpl w:val="E4E0EE72"/>
    <w:lvl w:ilvl="0" w:tplc="05E43850">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9"/>
  </w:num>
  <w:num w:numId="2" w16cid:durableId="69544713">
    <w:abstractNumId w:val="20"/>
  </w:num>
  <w:num w:numId="3" w16cid:durableId="643196426">
    <w:abstractNumId w:val="4"/>
  </w:num>
  <w:num w:numId="4" w16cid:durableId="1404520803">
    <w:abstractNumId w:val="1"/>
  </w:num>
  <w:num w:numId="5" w16cid:durableId="688139079">
    <w:abstractNumId w:val="18"/>
  </w:num>
  <w:num w:numId="6" w16cid:durableId="726411981">
    <w:abstractNumId w:val="6"/>
  </w:num>
  <w:num w:numId="7" w16cid:durableId="649559523">
    <w:abstractNumId w:val="10"/>
  </w:num>
  <w:num w:numId="8" w16cid:durableId="1028527931">
    <w:abstractNumId w:val="4"/>
    <w:lvlOverride w:ilvl="0">
      <w:startOverride w:val="1"/>
    </w:lvlOverride>
  </w:num>
  <w:num w:numId="9" w16cid:durableId="686522219">
    <w:abstractNumId w:val="3"/>
  </w:num>
  <w:num w:numId="10" w16cid:durableId="960846618">
    <w:abstractNumId w:val="21"/>
  </w:num>
  <w:num w:numId="11" w16cid:durableId="1683163518">
    <w:abstractNumId w:val="4"/>
  </w:num>
  <w:num w:numId="12" w16cid:durableId="690447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2"/>
  </w:num>
  <w:num w:numId="14" w16cid:durableId="274794033">
    <w:abstractNumId w:val="13"/>
  </w:num>
  <w:num w:numId="15" w16cid:durableId="1035546731">
    <w:abstractNumId w:val="12"/>
  </w:num>
  <w:num w:numId="16" w16cid:durableId="1358581980">
    <w:abstractNumId w:val="17"/>
  </w:num>
  <w:num w:numId="17" w16cid:durableId="1964850617">
    <w:abstractNumId w:val="11"/>
  </w:num>
  <w:num w:numId="18" w16cid:durableId="2103841473">
    <w:abstractNumId w:val="25"/>
  </w:num>
  <w:num w:numId="19" w16cid:durableId="931085450">
    <w:abstractNumId w:val="23"/>
  </w:num>
  <w:num w:numId="20" w16cid:durableId="1115250505">
    <w:abstractNumId w:val="0"/>
  </w:num>
  <w:num w:numId="21" w16cid:durableId="987317737">
    <w:abstractNumId w:val="8"/>
  </w:num>
  <w:num w:numId="22" w16cid:durableId="532378309">
    <w:abstractNumId w:val="22"/>
  </w:num>
  <w:num w:numId="23" w16cid:durableId="924073192">
    <w:abstractNumId w:val="19"/>
  </w:num>
  <w:num w:numId="24" w16cid:durableId="2034718949">
    <w:abstractNumId w:val="16"/>
  </w:num>
  <w:num w:numId="25" w16cid:durableId="2076782473">
    <w:abstractNumId w:val="27"/>
  </w:num>
  <w:num w:numId="26" w16cid:durableId="1740588366">
    <w:abstractNumId w:val="28"/>
  </w:num>
  <w:num w:numId="27" w16cid:durableId="699936794">
    <w:abstractNumId w:val="5"/>
  </w:num>
  <w:num w:numId="28" w16cid:durableId="1324623133">
    <w:abstractNumId w:val="7"/>
  </w:num>
  <w:num w:numId="29" w16cid:durableId="63456545">
    <w:abstractNumId w:val="26"/>
  </w:num>
  <w:num w:numId="30" w16cid:durableId="1624725904">
    <w:abstractNumId w:val="14"/>
  </w:num>
  <w:num w:numId="31" w16cid:durableId="269287729">
    <w:abstractNumId w:val="15"/>
  </w:num>
  <w:num w:numId="32" w16cid:durableId="7863901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0F8"/>
    <w:rsid w:val="00000730"/>
    <w:rsid w:val="00000EF9"/>
    <w:rsid w:val="00005E81"/>
    <w:rsid w:val="00007873"/>
    <w:rsid w:val="00012A4D"/>
    <w:rsid w:val="000134FE"/>
    <w:rsid w:val="00013F56"/>
    <w:rsid w:val="000142B4"/>
    <w:rsid w:val="000143EA"/>
    <w:rsid w:val="0001470C"/>
    <w:rsid w:val="0001698D"/>
    <w:rsid w:val="00017B32"/>
    <w:rsid w:val="00017EE2"/>
    <w:rsid w:val="00025B15"/>
    <w:rsid w:val="000274B3"/>
    <w:rsid w:val="00035608"/>
    <w:rsid w:val="000373B2"/>
    <w:rsid w:val="00041131"/>
    <w:rsid w:val="00042CF5"/>
    <w:rsid w:val="00045468"/>
    <w:rsid w:val="00046E6B"/>
    <w:rsid w:val="00052A5D"/>
    <w:rsid w:val="00052C6D"/>
    <w:rsid w:val="000548A6"/>
    <w:rsid w:val="00054ABB"/>
    <w:rsid w:val="00060CA0"/>
    <w:rsid w:val="00061451"/>
    <w:rsid w:val="00062843"/>
    <w:rsid w:val="000628CA"/>
    <w:rsid w:val="00063A17"/>
    <w:rsid w:val="00063A26"/>
    <w:rsid w:val="00064167"/>
    <w:rsid w:val="0007290F"/>
    <w:rsid w:val="00074C7D"/>
    <w:rsid w:val="00075C02"/>
    <w:rsid w:val="00075F65"/>
    <w:rsid w:val="000771DD"/>
    <w:rsid w:val="00083E8E"/>
    <w:rsid w:val="0008468B"/>
    <w:rsid w:val="00085478"/>
    <w:rsid w:val="00092C2B"/>
    <w:rsid w:val="000A0405"/>
    <w:rsid w:val="000A04D0"/>
    <w:rsid w:val="000A1310"/>
    <w:rsid w:val="000A41D7"/>
    <w:rsid w:val="000A4423"/>
    <w:rsid w:val="000A4442"/>
    <w:rsid w:val="000A44A6"/>
    <w:rsid w:val="000A468A"/>
    <w:rsid w:val="000A7995"/>
    <w:rsid w:val="000A7A29"/>
    <w:rsid w:val="000B0FBD"/>
    <w:rsid w:val="000B1671"/>
    <w:rsid w:val="000B3FD2"/>
    <w:rsid w:val="000B4261"/>
    <w:rsid w:val="000B4CB3"/>
    <w:rsid w:val="000B678D"/>
    <w:rsid w:val="000C19E0"/>
    <w:rsid w:val="000C1C11"/>
    <w:rsid w:val="000C29F6"/>
    <w:rsid w:val="000C59D1"/>
    <w:rsid w:val="000C725E"/>
    <w:rsid w:val="000C7B6B"/>
    <w:rsid w:val="000D4AEE"/>
    <w:rsid w:val="000E35D0"/>
    <w:rsid w:val="000E3AA8"/>
    <w:rsid w:val="000E5684"/>
    <w:rsid w:val="000E792C"/>
    <w:rsid w:val="000F1031"/>
    <w:rsid w:val="000F2D89"/>
    <w:rsid w:val="000F2E6D"/>
    <w:rsid w:val="000F4728"/>
    <w:rsid w:val="000F7FB6"/>
    <w:rsid w:val="00101F89"/>
    <w:rsid w:val="0010213F"/>
    <w:rsid w:val="00103763"/>
    <w:rsid w:val="001047F0"/>
    <w:rsid w:val="00107D9D"/>
    <w:rsid w:val="00111195"/>
    <w:rsid w:val="00113CFD"/>
    <w:rsid w:val="00113D71"/>
    <w:rsid w:val="00117F54"/>
    <w:rsid w:val="0012294E"/>
    <w:rsid w:val="001232B8"/>
    <w:rsid w:val="00123EA8"/>
    <w:rsid w:val="00124FDC"/>
    <w:rsid w:val="0012623C"/>
    <w:rsid w:val="001275CA"/>
    <w:rsid w:val="00127FB5"/>
    <w:rsid w:val="00133EF7"/>
    <w:rsid w:val="00134213"/>
    <w:rsid w:val="00135211"/>
    <w:rsid w:val="00136068"/>
    <w:rsid w:val="001377B0"/>
    <w:rsid w:val="001434CC"/>
    <w:rsid w:val="001509B5"/>
    <w:rsid w:val="00150C31"/>
    <w:rsid w:val="00151C6C"/>
    <w:rsid w:val="001528CB"/>
    <w:rsid w:val="001528E8"/>
    <w:rsid w:val="00153AC9"/>
    <w:rsid w:val="00154B41"/>
    <w:rsid w:val="00154C83"/>
    <w:rsid w:val="00154D4F"/>
    <w:rsid w:val="00154FA9"/>
    <w:rsid w:val="001556F0"/>
    <w:rsid w:val="001603F6"/>
    <w:rsid w:val="00161043"/>
    <w:rsid w:val="001611DA"/>
    <w:rsid w:val="001617D2"/>
    <w:rsid w:val="0016319F"/>
    <w:rsid w:val="00164317"/>
    <w:rsid w:val="001644FE"/>
    <w:rsid w:val="00164BF2"/>
    <w:rsid w:val="00167110"/>
    <w:rsid w:val="00171391"/>
    <w:rsid w:val="0017255F"/>
    <w:rsid w:val="001734AD"/>
    <w:rsid w:val="001738AB"/>
    <w:rsid w:val="0017619D"/>
    <w:rsid w:val="001808E1"/>
    <w:rsid w:val="0018252D"/>
    <w:rsid w:val="00185159"/>
    <w:rsid w:val="00193C00"/>
    <w:rsid w:val="00196967"/>
    <w:rsid w:val="001A0568"/>
    <w:rsid w:val="001A42B6"/>
    <w:rsid w:val="001A4386"/>
    <w:rsid w:val="001A43FE"/>
    <w:rsid w:val="001A4E0B"/>
    <w:rsid w:val="001A56F1"/>
    <w:rsid w:val="001A634F"/>
    <w:rsid w:val="001A7010"/>
    <w:rsid w:val="001A74BE"/>
    <w:rsid w:val="001A772B"/>
    <w:rsid w:val="001B0913"/>
    <w:rsid w:val="001B4184"/>
    <w:rsid w:val="001B4738"/>
    <w:rsid w:val="001B7BF5"/>
    <w:rsid w:val="001C0C82"/>
    <w:rsid w:val="001C25A1"/>
    <w:rsid w:val="001C54EE"/>
    <w:rsid w:val="001C58C1"/>
    <w:rsid w:val="001D095A"/>
    <w:rsid w:val="001D1E4C"/>
    <w:rsid w:val="001D3E8F"/>
    <w:rsid w:val="001D661D"/>
    <w:rsid w:val="001D7073"/>
    <w:rsid w:val="001D7DA7"/>
    <w:rsid w:val="001E00AF"/>
    <w:rsid w:val="001E0CC7"/>
    <w:rsid w:val="001E1398"/>
    <w:rsid w:val="001E1935"/>
    <w:rsid w:val="001E2EE4"/>
    <w:rsid w:val="001E32BB"/>
    <w:rsid w:val="001E4641"/>
    <w:rsid w:val="001F2839"/>
    <w:rsid w:val="0020030F"/>
    <w:rsid w:val="002004AD"/>
    <w:rsid w:val="00202246"/>
    <w:rsid w:val="00202E72"/>
    <w:rsid w:val="0020344D"/>
    <w:rsid w:val="00204665"/>
    <w:rsid w:val="00206AAE"/>
    <w:rsid w:val="002077B8"/>
    <w:rsid w:val="00211255"/>
    <w:rsid w:val="00212936"/>
    <w:rsid w:val="0021619F"/>
    <w:rsid w:val="00217CA4"/>
    <w:rsid w:val="0022033F"/>
    <w:rsid w:val="002227C0"/>
    <w:rsid w:val="00230FD4"/>
    <w:rsid w:val="002344FE"/>
    <w:rsid w:val="00236072"/>
    <w:rsid w:val="002430A5"/>
    <w:rsid w:val="00245D3C"/>
    <w:rsid w:val="00246A5A"/>
    <w:rsid w:val="0024712D"/>
    <w:rsid w:val="00250548"/>
    <w:rsid w:val="00252CA4"/>
    <w:rsid w:val="0025312D"/>
    <w:rsid w:val="00254160"/>
    <w:rsid w:val="00261866"/>
    <w:rsid w:val="00263BAD"/>
    <w:rsid w:val="002664B8"/>
    <w:rsid w:val="002667C2"/>
    <w:rsid w:val="002678BA"/>
    <w:rsid w:val="00271BF7"/>
    <w:rsid w:val="0027236E"/>
    <w:rsid w:val="00273261"/>
    <w:rsid w:val="002735E0"/>
    <w:rsid w:val="00275197"/>
    <w:rsid w:val="002753B3"/>
    <w:rsid w:val="0027709F"/>
    <w:rsid w:val="00284483"/>
    <w:rsid w:val="00284E93"/>
    <w:rsid w:val="00286242"/>
    <w:rsid w:val="0028638A"/>
    <w:rsid w:val="00286D6A"/>
    <w:rsid w:val="002906AC"/>
    <w:rsid w:val="00296516"/>
    <w:rsid w:val="002A0709"/>
    <w:rsid w:val="002A0933"/>
    <w:rsid w:val="002A096E"/>
    <w:rsid w:val="002A40FE"/>
    <w:rsid w:val="002A4594"/>
    <w:rsid w:val="002A5F1D"/>
    <w:rsid w:val="002A68C8"/>
    <w:rsid w:val="002B010B"/>
    <w:rsid w:val="002B0B3F"/>
    <w:rsid w:val="002B2B79"/>
    <w:rsid w:val="002B2CB5"/>
    <w:rsid w:val="002B4778"/>
    <w:rsid w:val="002B517B"/>
    <w:rsid w:val="002B5328"/>
    <w:rsid w:val="002B72DB"/>
    <w:rsid w:val="002C0754"/>
    <w:rsid w:val="002C13A9"/>
    <w:rsid w:val="002C4147"/>
    <w:rsid w:val="002C46BC"/>
    <w:rsid w:val="002C56ED"/>
    <w:rsid w:val="002C5FCD"/>
    <w:rsid w:val="002C7536"/>
    <w:rsid w:val="002D2125"/>
    <w:rsid w:val="002D2516"/>
    <w:rsid w:val="002D5466"/>
    <w:rsid w:val="002D7E0E"/>
    <w:rsid w:val="002F0BC7"/>
    <w:rsid w:val="002F3EE1"/>
    <w:rsid w:val="002F629D"/>
    <w:rsid w:val="002F7D9F"/>
    <w:rsid w:val="00300C99"/>
    <w:rsid w:val="00300D59"/>
    <w:rsid w:val="00301488"/>
    <w:rsid w:val="0030419F"/>
    <w:rsid w:val="00304955"/>
    <w:rsid w:val="0030532E"/>
    <w:rsid w:val="00313068"/>
    <w:rsid w:val="003140BC"/>
    <w:rsid w:val="00316985"/>
    <w:rsid w:val="00316A1F"/>
    <w:rsid w:val="00323ACE"/>
    <w:rsid w:val="00324131"/>
    <w:rsid w:val="00330697"/>
    <w:rsid w:val="00331453"/>
    <w:rsid w:val="00332594"/>
    <w:rsid w:val="003326BF"/>
    <w:rsid w:val="00332913"/>
    <w:rsid w:val="003333D4"/>
    <w:rsid w:val="0033462D"/>
    <w:rsid w:val="0033777B"/>
    <w:rsid w:val="003403D6"/>
    <w:rsid w:val="003405FD"/>
    <w:rsid w:val="003410C0"/>
    <w:rsid w:val="00360111"/>
    <w:rsid w:val="003604B9"/>
    <w:rsid w:val="003610D9"/>
    <w:rsid w:val="003614EA"/>
    <w:rsid w:val="00361AE4"/>
    <w:rsid w:val="00363660"/>
    <w:rsid w:val="003664C6"/>
    <w:rsid w:val="0037250A"/>
    <w:rsid w:val="003772FB"/>
    <w:rsid w:val="00377B68"/>
    <w:rsid w:val="00377CF7"/>
    <w:rsid w:val="003812A2"/>
    <w:rsid w:val="003818A4"/>
    <w:rsid w:val="00386143"/>
    <w:rsid w:val="00391152"/>
    <w:rsid w:val="0039397E"/>
    <w:rsid w:val="0039505B"/>
    <w:rsid w:val="00395066"/>
    <w:rsid w:val="003A0C56"/>
    <w:rsid w:val="003A1CB2"/>
    <w:rsid w:val="003A25B9"/>
    <w:rsid w:val="003A4D77"/>
    <w:rsid w:val="003A5769"/>
    <w:rsid w:val="003B1B0C"/>
    <w:rsid w:val="003B4088"/>
    <w:rsid w:val="003B5BD5"/>
    <w:rsid w:val="003C2538"/>
    <w:rsid w:val="003C45E9"/>
    <w:rsid w:val="003C76FF"/>
    <w:rsid w:val="003D0954"/>
    <w:rsid w:val="003D1A6A"/>
    <w:rsid w:val="003D1C30"/>
    <w:rsid w:val="003D22BF"/>
    <w:rsid w:val="003D30A4"/>
    <w:rsid w:val="003D485F"/>
    <w:rsid w:val="003D5328"/>
    <w:rsid w:val="003D6285"/>
    <w:rsid w:val="003E5FCE"/>
    <w:rsid w:val="003E786D"/>
    <w:rsid w:val="003E7F8F"/>
    <w:rsid w:val="003F1487"/>
    <w:rsid w:val="003F1ECC"/>
    <w:rsid w:val="003F6530"/>
    <w:rsid w:val="003F6801"/>
    <w:rsid w:val="004017E5"/>
    <w:rsid w:val="00404F8D"/>
    <w:rsid w:val="00411889"/>
    <w:rsid w:val="004119FA"/>
    <w:rsid w:val="00411B6A"/>
    <w:rsid w:val="0041278C"/>
    <w:rsid w:val="00412A00"/>
    <w:rsid w:val="00414B19"/>
    <w:rsid w:val="00415FB9"/>
    <w:rsid w:val="004168A1"/>
    <w:rsid w:val="00417683"/>
    <w:rsid w:val="00420183"/>
    <w:rsid w:val="00423681"/>
    <w:rsid w:val="004246AE"/>
    <w:rsid w:val="004257FC"/>
    <w:rsid w:val="00426673"/>
    <w:rsid w:val="004340F7"/>
    <w:rsid w:val="00435476"/>
    <w:rsid w:val="00435D74"/>
    <w:rsid w:val="00436A86"/>
    <w:rsid w:val="00436E91"/>
    <w:rsid w:val="0044072C"/>
    <w:rsid w:val="00440A8F"/>
    <w:rsid w:val="0044141A"/>
    <w:rsid w:val="004416C4"/>
    <w:rsid w:val="00444ADF"/>
    <w:rsid w:val="00445A6B"/>
    <w:rsid w:val="00445DEE"/>
    <w:rsid w:val="0045095D"/>
    <w:rsid w:val="004514A8"/>
    <w:rsid w:val="00455ED6"/>
    <w:rsid w:val="00455ED9"/>
    <w:rsid w:val="004571E2"/>
    <w:rsid w:val="004607F7"/>
    <w:rsid w:val="00461824"/>
    <w:rsid w:val="004661D4"/>
    <w:rsid w:val="00466E34"/>
    <w:rsid w:val="00467E5D"/>
    <w:rsid w:val="00470EE5"/>
    <w:rsid w:val="00473567"/>
    <w:rsid w:val="00474AE9"/>
    <w:rsid w:val="004809B1"/>
    <w:rsid w:val="00483C9F"/>
    <w:rsid w:val="0048516F"/>
    <w:rsid w:val="00486AD0"/>
    <w:rsid w:val="00487403"/>
    <w:rsid w:val="00492507"/>
    <w:rsid w:val="00492DF0"/>
    <w:rsid w:val="004A33E7"/>
    <w:rsid w:val="004A4E71"/>
    <w:rsid w:val="004A5848"/>
    <w:rsid w:val="004A5B55"/>
    <w:rsid w:val="004A68AF"/>
    <w:rsid w:val="004AFE75"/>
    <w:rsid w:val="004B16E5"/>
    <w:rsid w:val="004B45A9"/>
    <w:rsid w:val="004B5FBD"/>
    <w:rsid w:val="004B7083"/>
    <w:rsid w:val="004B73BF"/>
    <w:rsid w:val="004B7CB6"/>
    <w:rsid w:val="004C0FC4"/>
    <w:rsid w:val="004D0120"/>
    <w:rsid w:val="004D0C3E"/>
    <w:rsid w:val="004D1090"/>
    <w:rsid w:val="004D6941"/>
    <w:rsid w:val="004E21D5"/>
    <w:rsid w:val="004E3093"/>
    <w:rsid w:val="004E4211"/>
    <w:rsid w:val="004E4376"/>
    <w:rsid w:val="004F10D1"/>
    <w:rsid w:val="004F1791"/>
    <w:rsid w:val="004F241E"/>
    <w:rsid w:val="004F2BC0"/>
    <w:rsid w:val="004F414C"/>
    <w:rsid w:val="004F5C4B"/>
    <w:rsid w:val="004F6283"/>
    <w:rsid w:val="004F6A0F"/>
    <w:rsid w:val="0050154D"/>
    <w:rsid w:val="005015AF"/>
    <w:rsid w:val="0050501C"/>
    <w:rsid w:val="00505C70"/>
    <w:rsid w:val="00505FF9"/>
    <w:rsid w:val="00511866"/>
    <w:rsid w:val="005178D0"/>
    <w:rsid w:val="0052142D"/>
    <w:rsid w:val="00522DE7"/>
    <w:rsid w:val="005233EC"/>
    <w:rsid w:val="00531F04"/>
    <w:rsid w:val="00534791"/>
    <w:rsid w:val="005359DD"/>
    <w:rsid w:val="005368CD"/>
    <w:rsid w:val="0053773D"/>
    <w:rsid w:val="0054099A"/>
    <w:rsid w:val="00541883"/>
    <w:rsid w:val="005454B5"/>
    <w:rsid w:val="00552AAD"/>
    <w:rsid w:val="00552E01"/>
    <w:rsid w:val="00552FA1"/>
    <w:rsid w:val="0055433A"/>
    <w:rsid w:val="0055667C"/>
    <w:rsid w:val="0055748C"/>
    <w:rsid w:val="00560B6E"/>
    <w:rsid w:val="00560D27"/>
    <w:rsid w:val="00562C91"/>
    <w:rsid w:val="00562D46"/>
    <w:rsid w:val="00567201"/>
    <w:rsid w:val="00570988"/>
    <w:rsid w:val="00573EB2"/>
    <w:rsid w:val="005800A5"/>
    <w:rsid w:val="00580168"/>
    <w:rsid w:val="0058377E"/>
    <w:rsid w:val="00586196"/>
    <w:rsid w:val="00590ACC"/>
    <w:rsid w:val="00591A53"/>
    <w:rsid w:val="00595504"/>
    <w:rsid w:val="0059772A"/>
    <w:rsid w:val="005A0883"/>
    <w:rsid w:val="005A0B0E"/>
    <w:rsid w:val="005A0F6F"/>
    <w:rsid w:val="005A1350"/>
    <w:rsid w:val="005B156C"/>
    <w:rsid w:val="005B19ED"/>
    <w:rsid w:val="005BAA7B"/>
    <w:rsid w:val="005C07E7"/>
    <w:rsid w:val="005C100C"/>
    <w:rsid w:val="005C13DE"/>
    <w:rsid w:val="005C1FF2"/>
    <w:rsid w:val="005C5161"/>
    <w:rsid w:val="005C6771"/>
    <w:rsid w:val="005D0AD9"/>
    <w:rsid w:val="005D368E"/>
    <w:rsid w:val="005D75A7"/>
    <w:rsid w:val="005E1D34"/>
    <w:rsid w:val="005E73CE"/>
    <w:rsid w:val="005E7CD9"/>
    <w:rsid w:val="005F28BE"/>
    <w:rsid w:val="005F2E75"/>
    <w:rsid w:val="005F38DA"/>
    <w:rsid w:val="005F59A1"/>
    <w:rsid w:val="005F6A49"/>
    <w:rsid w:val="005F6CE5"/>
    <w:rsid w:val="00600F4C"/>
    <w:rsid w:val="00601751"/>
    <w:rsid w:val="006044DF"/>
    <w:rsid w:val="006067B6"/>
    <w:rsid w:val="006076EF"/>
    <w:rsid w:val="006109A9"/>
    <w:rsid w:val="00613587"/>
    <w:rsid w:val="006136C5"/>
    <w:rsid w:val="00620B90"/>
    <w:rsid w:val="00621169"/>
    <w:rsid w:val="0062523A"/>
    <w:rsid w:val="00631102"/>
    <w:rsid w:val="00631A21"/>
    <w:rsid w:val="006334F9"/>
    <w:rsid w:val="00635303"/>
    <w:rsid w:val="006356AF"/>
    <w:rsid w:val="00640B8E"/>
    <w:rsid w:val="00641F10"/>
    <w:rsid w:val="00643494"/>
    <w:rsid w:val="00643866"/>
    <w:rsid w:val="00643BFA"/>
    <w:rsid w:val="0064533F"/>
    <w:rsid w:val="00646A9F"/>
    <w:rsid w:val="006503FB"/>
    <w:rsid w:val="006548BB"/>
    <w:rsid w:val="006548BF"/>
    <w:rsid w:val="00657335"/>
    <w:rsid w:val="00660504"/>
    <w:rsid w:val="0066157E"/>
    <w:rsid w:val="00661C15"/>
    <w:rsid w:val="00662D39"/>
    <w:rsid w:val="0066405B"/>
    <w:rsid w:val="0067066F"/>
    <w:rsid w:val="00675833"/>
    <w:rsid w:val="00675ED3"/>
    <w:rsid w:val="00676184"/>
    <w:rsid w:val="006765D3"/>
    <w:rsid w:val="006817FC"/>
    <w:rsid w:val="00683C92"/>
    <w:rsid w:val="00683E93"/>
    <w:rsid w:val="00686A8A"/>
    <w:rsid w:val="0069416F"/>
    <w:rsid w:val="00694281"/>
    <w:rsid w:val="0069457F"/>
    <w:rsid w:val="00694661"/>
    <w:rsid w:val="00695506"/>
    <w:rsid w:val="00695C27"/>
    <w:rsid w:val="006962F6"/>
    <w:rsid w:val="00696970"/>
    <w:rsid w:val="00696CA4"/>
    <w:rsid w:val="0069762C"/>
    <w:rsid w:val="006A0409"/>
    <w:rsid w:val="006A3CD0"/>
    <w:rsid w:val="006A4E11"/>
    <w:rsid w:val="006A6B46"/>
    <w:rsid w:val="006A77B4"/>
    <w:rsid w:val="006B0639"/>
    <w:rsid w:val="006B4F27"/>
    <w:rsid w:val="006B5E5A"/>
    <w:rsid w:val="006B6371"/>
    <w:rsid w:val="006B6B19"/>
    <w:rsid w:val="006B77AA"/>
    <w:rsid w:val="006B7C93"/>
    <w:rsid w:val="006C13AD"/>
    <w:rsid w:val="006C5425"/>
    <w:rsid w:val="006C77F5"/>
    <w:rsid w:val="006D0051"/>
    <w:rsid w:val="006D24E6"/>
    <w:rsid w:val="006D4D6D"/>
    <w:rsid w:val="006D6B23"/>
    <w:rsid w:val="006E0FFF"/>
    <w:rsid w:val="006E2D3D"/>
    <w:rsid w:val="006E2D9E"/>
    <w:rsid w:val="006E3EFF"/>
    <w:rsid w:val="006E5F14"/>
    <w:rsid w:val="006F108F"/>
    <w:rsid w:val="006F1C91"/>
    <w:rsid w:val="006F33DB"/>
    <w:rsid w:val="00703643"/>
    <w:rsid w:val="00703A08"/>
    <w:rsid w:val="00707687"/>
    <w:rsid w:val="00714039"/>
    <w:rsid w:val="00714419"/>
    <w:rsid w:val="00714CB3"/>
    <w:rsid w:val="00715244"/>
    <w:rsid w:val="007155F5"/>
    <w:rsid w:val="00721B5E"/>
    <w:rsid w:val="007236BC"/>
    <w:rsid w:val="00723A48"/>
    <w:rsid w:val="007243DE"/>
    <w:rsid w:val="0073169D"/>
    <w:rsid w:val="007325C7"/>
    <w:rsid w:val="00733057"/>
    <w:rsid w:val="007358A6"/>
    <w:rsid w:val="00735B12"/>
    <w:rsid w:val="00736D42"/>
    <w:rsid w:val="00741D43"/>
    <w:rsid w:val="007467EA"/>
    <w:rsid w:val="007503A0"/>
    <w:rsid w:val="007528F7"/>
    <w:rsid w:val="00754812"/>
    <w:rsid w:val="00754899"/>
    <w:rsid w:val="00756631"/>
    <w:rsid w:val="00761910"/>
    <w:rsid w:val="00764CBF"/>
    <w:rsid w:val="00767223"/>
    <w:rsid w:val="00767553"/>
    <w:rsid w:val="0077017A"/>
    <w:rsid w:val="0077745A"/>
    <w:rsid w:val="0078177F"/>
    <w:rsid w:val="00782437"/>
    <w:rsid w:val="00786425"/>
    <w:rsid w:val="00793EEE"/>
    <w:rsid w:val="00794FB1"/>
    <w:rsid w:val="00795428"/>
    <w:rsid w:val="007954DF"/>
    <w:rsid w:val="007A0B69"/>
    <w:rsid w:val="007A6300"/>
    <w:rsid w:val="007B1300"/>
    <w:rsid w:val="007B1D7C"/>
    <w:rsid w:val="007B211A"/>
    <w:rsid w:val="007B245C"/>
    <w:rsid w:val="007B4602"/>
    <w:rsid w:val="007B50C1"/>
    <w:rsid w:val="007C12F2"/>
    <w:rsid w:val="007C22B1"/>
    <w:rsid w:val="007C30D6"/>
    <w:rsid w:val="007C3614"/>
    <w:rsid w:val="007C6EDF"/>
    <w:rsid w:val="007C78FC"/>
    <w:rsid w:val="007D1E04"/>
    <w:rsid w:val="007D2589"/>
    <w:rsid w:val="007D347F"/>
    <w:rsid w:val="007D4291"/>
    <w:rsid w:val="007D4951"/>
    <w:rsid w:val="007D6FC0"/>
    <w:rsid w:val="007D7B2E"/>
    <w:rsid w:val="007E0D76"/>
    <w:rsid w:val="007E38AD"/>
    <w:rsid w:val="007E567A"/>
    <w:rsid w:val="007E5FE2"/>
    <w:rsid w:val="007E72C5"/>
    <w:rsid w:val="007E76BB"/>
    <w:rsid w:val="007F332E"/>
    <w:rsid w:val="007F59F8"/>
    <w:rsid w:val="00806696"/>
    <w:rsid w:val="00814D2D"/>
    <w:rsid w:val="00816DAC"/>
    <w:rsid w:val="0081788F"/>
    <w:rsid w:val="00817B8C"/>
    <w:rsid w:val="00820962"/>
    <w:rsid w:val="00822787"/>
    <w:rsid w:val="0083290E"/>
    <w:rsid w:val="008422EB"/>
    <w:rsid w:val="00842BF0"/>
    <w:rsid w:val="00843F66"/>
    <w:rsid w:val="00843FF2"/>
    <w:rsid w:val="008453AB"/>
    <w:rsid w:val="00847123"/>
    <w:rsid w:val="008474ED"/>
    <w:rsid w:val="008505B4"/>
    <w:rsid w:val="0085088F"/>
    <w:rsid w:val="00850E1E"/>
    <w:rsid w:val="00854EEA"/>
    <w:rsid w:val="008551DA"/>
    <w:rsid w:val="008612C3"/>
    <w:rsid w:val="00865496"/>
    <w:rsid w:val="00870C4A"/>
    <w:rsid w:val="00876BC2"/>
    <w:rsid w:val="0088066A"/>
    <w:rsid w:val="0088069A"/>
    <w:rsid w:val="008832FC"/>
    <w:rsid w:val="0088380C"/>
    <w:rsid w:val="00885618"/>
    <w:rsid w:val="008875A0"/>
    <w:rsid w:val="00891359"/>
    <w:rsid w:val="00891DA0"/>
    <w:rsid w:val="00894596"/>
    <w:rsid w:val="00895B5A"/>
    <w:rsid w:val="0089658D"/>
    <w:rsid w:val="00897294"/>
    <w:rsid w:val="00897DE6"/>
    <w:rsid w:val="00897FF1"/>
    <w:rsid w:val="008A0898"/>
    <w:rsid w:val="008A1708"/>
    <w:rsid w:val="008A39E7"/>
    <w:rsid w:val="008A3DB9"/>
    <w:rsid w:val="008B45A4"/>
    <w:rsid w:val="008B5158"/>
    <w:rsid w:val="008B700C"/>
    <w:rsid w:val="008B7344"/>
    <w:rsid w:val="008C0B5B"/>
    <w:rsid w:val="008C3724"/>
    <w:rsid w:val="008C5A3C"/>
    <w:rsid w:val="008C7975"/>
    <w:rsid w:val="008D05E3"/>
    <w:rsid w:val="008D193F"/>
    <w:rsid w:val="008D41C7"/>
    <w:rsid w:val="008E335F"/>
    <w:rsid w:val="008E37FE"/>
    <w:rsid w:val="008E443E"/>
    <w:rsid w:val="008E547F"/>
    <w:rsid w:val="008E59EA"/>
    <w:rsid w:val="008E7ABD"/>
    <w:rsid w:val="008F0A76"/>
    <w:rsid w:val="008F173C"/>
    <w:rsid w:val="008F31E8"/>
    <w:rsid w:val="008F577B"/>
    <w:rsid w:val="0090101C"/>
    <w:rsid w:val="00902B6B"/>
    <w:rsid w:val="009031CC"/>
    <w:rsid w:val="0090366B"/>
    <w:rsid w:val="0090605B"/>
    <w:rsid w:val="00906EF4"/>
    <w:rsid w:val="00916057"/>
    <w:rsid w:val="00920501"/>
    <w:rsid w:val="00920A7F"/>
    <w:rsid w:val="00922F07"/>
    <w:rsid w:val="00923856"/>
    <w:rsid w:val="00926478"/>
    <w:rsid w:val="00930805"/>
    <w:rsid w:val="00937F1E"/>
    <w:rsid w:val="00943C7C"/>
    <w:rsid w:val="00944176"/>
    <w:rsid w:val="009448C1"/>
    <w:rsid w:val="00944DDC"/>
    <w:rsid w:val="00946B61"/>
    <w:rsid w:val="00950EA7"/>
    <w:rsid w:val="00951AFC"/>
    <w:rsid w:val="00952998"/>
    <w:rsid w:val="00952B9D"/>
    <w:rsid w:val="0095582F"/>
    <w:rsid w:val="00955BB3"/>
    <w:rsid w:val="00956D73"/>
    <w:rsid w:val="00957D61"/>
    <w:rsid w:val="009657E4"/>
    <w:rsid w:val="00970120"/>
    <w:rsid w:val="00972C22"/>
    <w:rsid w:val="00973726"/>
    <w:rsid w:val="009805BC"/>
    <w:rsid w:val="00986A89"/>
    <w:rsid w:val="0099154B"/>
    <w:rsid w:val="0099320C"/>
    <w:rsid w:val="00995962"/>
    <w:rsid w:val="00996426"/>
    <w:rsid w:val="009965D7"/>
    <w:rsid w:val="009976F7"/>
    <w:rsid w:val="009A1743"/>
    <w:rsid w:val="009A38AD"/>
    <w:rsid w:val="009A39C6"/>
    <w:rsid w:val="009A5BB6"/>
    <w:rsid w:val="009A6C0E"/>
    <w:rsid w:val="009A7CE7"/>
    <w:rsid w:val="009B043A"/>
    <w:rsid w:val="009B0EA9"/>
    <w:rsid w:val="009B4AD4"/>
    <w:rsid w:val="009C57DA"/>
    <w:rsid w:val="009C68DA"/>
    <w:rsid w:val="009C6D0F"/>
    <w:rsid w:val="009D11A8"/>
    <w:rsid w:val="009D1E6B"/>
    <w:rsid w:val="009D3A41"/>
    <w:rsid w:val="009D4139"/>
    <w:rsid w:val="009D7225"/>
    <w:rsid w:val="009E18F1"/>
    <w:rsid w:val="009E27B3"/>
    <w:rsid w:val="009E4195"/>
    <w:rsid w:val="009F06EE"/>
    <w:rsid w:val="009F2A4C"/>
    <w:rsid w:val="009F5FE1"/>
    <w:rsid w:val="009F704F"/>
    <w:rsid w:val="00A065EE"/>
    <w:rsid w:val="00A06BA4"/>
    <w:rsid w:val="00A07AB2"/>
    <w:rsid w:val="00A1118C"/>
    <w:rsid w:val="00A1169F"/>
    <w:rsid w:val="00A148A1"/>
    <w:rsid w:val="00A22EC9"/>
    <w:rsid w:val="00A2385A"/>
    <w:rsid w:val="00A25705"/>
    <w:rsid w:val="00A30840"/>
    <w:rsid w:val="00A33AE0"/>
    <w:rsid w:val="00A33DCF"/>
    <w:rsid w:val="00A36C09"/>
    <w:rsid w:val="00A36E98"/>
    <w:rsid w:val="00A37C3A"/>
    <w:rsid w:val="00A37C9F"/>
    <w:rsid w:val="00A41089"/>
    <w:rsid w:val="00A42F89"/>
    <w:rsid w:val="00A435B3"/>
    <w:rsid w:val="00A43E48"/>
    <w:rsid w:val="00A440B5"/>
    <w:rsid w:val="00A466BA"/>
    <w:rsid w:val="00A51886"/>
    <w:rsid w:val="00A51E15"/>
    <w:rsid w:val="00A55016"/>
    <w:rsid w:val="00A56F94"/>
    <w:rsid w:val="00A56FF6"/>
    <w:rsid w:val="00A618E9"/>
    <w:rsid w:val="00A61B13"/>
    <w:rsid w:val="00A651FA"/>
    <w:rsid w:val="00A65223"/>
    <w:rsid w:val="00A669E0"/>
    <w:rsid w:val="00A67C1D"/>
    <w:rsid w:val="00A70123"/>
    <w:rsid w:val="00A704E5"/>
    <w:rsid w:val="00A74140"/>
    <w:rsid w:val="00A757F4"/>
    <w:rsid w:val="00A76317"/>
    <w:rsid w:val="00A76AF7"/>
    <w:rsid w:val="00A76B07"/>
    <w:rsid w:val="00A81B98"/>
    <w:rsid w:val="00A8404C"/>
    <w:rsid w:val="00A87B16"/>
    <w:rsid w:val="00A90042"/>
    <w:rsid w:val="00A90305"/>
    <w:rsid w:val="00A91776"/>
    <w:rsid w:val="00A91C87"/>
    <w:rsid w:val="00A9535A"/>
    <w:rsid w:val="00A973D3"/>
    <w:rsid w:val="00A976A7"/>
    <w:rsid w:val="00AA21D3"/>
    <w:rsid w:val="00AA3D32"/>
    <w:rsid w:val="00AA63A3"/>
    <w:rsid w:val="00AB1DE1"/>
    <w:rsid w:val="00AB4574"/>
    <w:rsid w:val="00AB5EB7"/>
    <w:rsid w:val="00AC1C0D"/>
    <w:rsid w:val="00AC695E"/>
    <w:rsid w:val="00AC79A8"/>
    <w:rsid w:val="00AD1758"/>
    <w:rsid w:val="00AD4A99"/>
    <w:rsid w:val="00AD4B79"/>
    <w:rsid w:val="00AD4D97"/>
    <w:rsid w:val="00AD54FC"/>
    <w:rsid w:val="00AD72D5"/>
    <w:rsid w:val="00AE21AA"/>
    <w:rsid w:val="00AE2453"/>
    <w:rsid w:val="00AE3145"/>
    <w:rsid w:val="00AE378D"/>
    <w:rsid w:val="00AF1FE6"/>
    <w:rsid w:val="00AF6132"/>
    <w:rsid w:val="00AF6AE8"/>
    <w:rsid w:val="00AF7AC6"/>
    <w:rsid w:val="00B00F6B"/>
    <w:rsid w:val="00B021A3"/>
    <w:rsid w:val="00B03262"/>
    <w:rsid w:val="00B044E8"/>
    <w:rsid w:val="00B05DFC"/>
    <w:rsid w:val="00B07E04"/>
    <w:rsid w:val="00B1006D"/>
    <w:rsid w:val="00B10CC8"/>
    <w:rsid w:val="00B11D8A"/>
    <w:rsid w:val="00B1305B"/>
    <w:rsid w:val="00B1670C"/>
    <w:rsid w:val="00B23054"/>
    <w:rsid w:val="00B245AD"/>
    <w:rsid w:val="00B26DFA"/>
    <w:rsid w:val="00B32D52"/>
    <w:rsid w:val="00B3302A"/>
    <w:rsid w:val="00B33BF3"/>
    <w:rsid w:val="00B36EEA"/>
    <w:rsid w:val="00B40285"/>
    <w:rsid w:val="00B41E14"/>
    <w:rsid w:val="00B428BF"/>
    <w:rsid w:val="00B42B99"/>
    <w:rsid w:val="00B4484F"/>
    <w:rsid w:val="00B4521E"/>
    <w:rsid w:val="00B45E46"/>
    <w:rsid w:val="00B46B97"/>
    <w:rsid w:val="00B54B1C"/>
    <w:rsid w:val="00B552DD"/>
    <w:rsid w:val="00B57BCF"/>
    <w:rsid w:val="00B64807"/>
    <w:rsid w:val="00B64C08"/>
    <w:rsid w:val="00B6567B"/>
    <w:rsid w:val="00B65976"/>
    <w:rsid w:val="00B71C3A"/>
    <w:rsid w:val="00B7526B"/>
    <w:rsid w:val="00B76A4B"/>
    <w:rsid w:val="00B82703"/>
    <w:rsid w:val="00B82BC8"/>
    <w:rsid w:val="00B834DF"/>
    <w:rsid w:val="00B839C9"/>
    <w:rsid w:val="00B83E66"/>
    <w:rsid w:val="00B86727"/>
    <w:rsid w:val="00B86931"/>
    <w:rsid w:val="00B878BF"/>
    <w:rsid w:val="00B92776"/>
    <w:rsid w:val="00B929D6"/>
    <w:rsid w:val="00B95848"/>
    <w:rsid w:val="00B95885"/>
    <w:rsid w:val="00BA1CB6"/>
    <w:rsid w:val="00BA268F"/>
    <w:rsid w:val="00BA288B"/>
    <w:rsid w:val="00BA3CF8"/>
    <w:rsid w:val="00BA4B55"/>
    <w:rsid w:val="00BA4BFC"/>
    <w:rsid w:val="00BA7683"/>
    <w:rsid w:val="00BB0DEE"/>
    <w:rsid w:val="00BB645A"/>
    <w:rsid w:val="00BB6DB4"/>
    <w:rsid w:val="00BC0B65"/>
    <w:rsid w:val="00BC16B9"/>
    <w:rsid w:val="00BC2146"/>
    <w:rsid w:val="00BC41E5"/>
    <w:rsid w:val="00BC439A"/>
    <w:rsid w:val="00BC5E91"/>
    <w:rsid w:val="00BC6D99"/>
    <w:rsid w:val="00BC73DD"/>
    <w:rsid w:val="00BD1BCB"/>
    <w:rsid w:val="00BD2A6F"/>
    <w:rsid w:val="00BD4230"/>
    <w:rsid w:val="00BE5BFA"/>
    <w:rsid w:val="00BF1538"/>
    <w:rsid w:val="00BF3817"/>
    <w:rsid w:val="00C02471"/>
    <w:rsid w:val="00C037F1"/>
    <w:rsid w:val="00C1263F"/>
    <w:rsid w:val="00C12C93"/>
    <w:rsid w:val="00C12F78"/>
    <w:rsid w:val="00C169A2"/>
    <w:rsid w:val="00C16F01"/>
    <w:rsid w:val="00C20C44"/>
    <w:rsid w:val="00C23AEE"/>
    <w:rsid w:val="00C271E8"/>
    <w:rsid w:val="00C30C55"/>
    <w:rsid w:val="00C318E1"/>
    <w:rsid w:val="00C325F5"/>
    <w:rsid w:val="00C333F2"/>
    <w:rsid w:val="00C34740"/>
    <w:rsid w:val="00C36232"/>
    <w:rsid w:val="00C37690"/>
    <w:rsid w:val="00C4030F"/>
    <w:rsid w:val="00C457E8"/>
    <w:rsid w:val="00C46331"/>
    <w:rsid w:val="00C46BB1"/>
    <w:rsid w:val="00C50FFD"/>
    <w:rsid w:val="00C52FF7"/>
    <w:rsid w:val="00C54BA5"/>
    <w:rsid w:val="00C5502E"/>
    <w:rsid w:val="00C55351"/>
    <w:rsid w:val="00C55513"/>
    <w:rsid w:val="00C556B1"/>
    <w:rsid w:val="00C609B9"/>
    <w:rsid w:val="00C60FBB"/>
    <w:rsid w:val="00C62C44"/>
    <w:rsid w:val="00C64BB3"/>
    <w:rsid w:val="00C732DD"/>
    <w:rsid w:val="00C74616"/>
    <w:rsid w:val="00C7501D"/>
    <w:rsid w:val="00C76811"/>
    <w:rsid w:val="00C77AB8"/>
    <w:rsid w:val="00C81C18"/>
    <w:rsid w:val="00C849FE"/>
    <w:rsid w:val="00C851BF"/>
    <w:rsid w:val="00C85EC5"/>
    <w:rsid w:val="00C911E9"/>
    <w:rsid w:val="00C93FD8"/>
    <w:rsid w:val="00C966F0"/>
    <w:rsid w:val="00CA064A"/>
    <w:rsid w:val="00CA4597"/>
    <w:rsid w:val="00CB2394"/>
    <w:rsid w:val="00CB3959"/>
    <w:rsid w:val="00CC0D21"/>
    <w:rsid w:val="00CC3015"/>
    <w:rsid w:val="00CD0668"/>
    <w:rsid w:val="00CD36E4"/>
    <w:rsid w:val="00CD4278"/>
    <w:rsid w:val="00CD4809"/>
    <w:rsid w:val="00CD5738"/>
    <w:rsid w:val="00CD5F0D"/>
    <w:rsid w:val="00CD72FB"/>
    <w:rsid w:val="00CE2386"/>
    <w:rsid w:val="00CE3DB5"/>
    <w:rsid w:val="00CE4062"/>
    <w:rsid w:val="00CE462C"/>
    <w:rsid w:val="00CE7B4A"/>
    <w:rsid w:val="00CE7DAB"/>
    <w:rsid w:val="00CF1A71"/>
    <w:rsid w:val="00CF2F91"/>
    <w:rsid w:val="00CF35AE"/>
    <w:rsid w:val="00CF451E"/>
    <w:rsid w:val="00CF5DA1"/>
    <w:rsid w:val="00CF5DE1"/>
    <w:rsid w:val="00CF5EC2"/>
    <w:rsid w:val="00CF796A"/>
    <w:rsid w:val="00D00060"/>
    <w:rsid w:val="00D0320C"/>
    <w:rsid w:val="00D035E3"/>
    <w:rsid w:val="00D03AA0"/>
    <w:rsid w:val="00D1163C"/>
    <w:rsid w:val="00D144F5"/>
    <w:rsid w:val="00D15E43"/>
    <w:rsid w:val="00D21EDA"/>
    <w:rsid w:val="00D22938"/>
    <w:rsid w:val="00D24458"/>
    <w:rsid w:val="00D24E2E"/>
    <w:rsid w:val="00D33658"/>
    <w:rsid w:val="00D34D8A"/>
    <w:rsid w:val="00D42FDF"/>
    <w:rsid w:val="00D44057"/>
    <w:rsid w:val="00D4458A"/>
    <w:rsid w:val="00D52C49"/>
    <w:rsid w:val="00D53327"/>
    <w:rsid w:val="00D54E79"/>
    <w:rsid w:val="00D56715"/>
    <w:rsid w:val="00D60609"/>
    <w:rsid w:val="00D61BE7"/>
    <w:rsid w:val="00D61D52"/>
    <w:rsid w:val="00D64F6E"/>
    <w:rsid w:val="00D6656D"/>
    <w:rsid w:val="00D67A9C"/>
    <w:rsid w:val="00D67CAD"/>
    <w:rsid w:val="00D70AC5"/>
    <w:rsid w:val="00D70BD0"/>
    <w:rsid w:val="00D712AE"/>
    <w:rsid w:val="00D717F8"/>
    <w:rsid w:val="00D72907"/>
    <w:rsid w:val="00D7297E"/>
    <w:rsid w:val="00D73164"/>
    <w:rsid w:val="00D7477E"/>
    <w:rsid w:val="00D74E75"/>
    <w:rsid w:val="00D771CD"/>
    <w:rsid w:val="00D8393D"/>
    <w:rsid w:val="00D843D1"/>
    <w:rsid w:val="00D876E8"/>
    <w:rsid w:val="00D91BC9"/>
    <w:rsid w:val="00D94316"/>
    <w:rsid w:val="00D964EA"/>
    <w:rsid w:val="00D96512"/>
    <w:rsid w:val="00D96D4B"/>
    <w:rsid w:val="00DA6FF2"/>
    <w:rsid w:val="00DB0883"/>
    <w:rsid w:val="00DB4056"/>
    <w:rsid w:val="00DB7DF5"/>
    <w:rsid w:val="00DC64E2"/>
    <w:rsid w:val="00DD0996"/>
    <w:rsid w:val="00DD2FF3"/>
    <w:rsid w:val="00DD641F"/>
    <w:rsid w:val="00DF3FA2"/>
    <w:rsid w:val="00DF4FC1"/>
    <w:rsid w:val="00DF6625"/>
    <w:rsid w:val="00DF7EAA"/>
    <w:rsid w:val="00DF7FA6"/>
    <w:rsid w:val="00E0126E"/>
    <w:rsid w:val="00E01FC6"/>
    <w:rsid w:val="00E0326E"/>
    <w:rsid w:val="00E0615D"/>
    <w:rsid w:val="00E13190"/>
    <w:rsid w:val="00E14E80"/>
    <w:rsid w:val="00E152AB"/>
    <w:rsid w:val="00E154B1"/>
    <w:rsid w:val="00E21FDD"/>
    <w:rsid w:val="00E247F7"/>
    <w:rsid w:val="00E2607B"/>
    <w:rsid w:val="00E2620A"/>
    <w:rsid w:val="00E303E6"/>
    <w:rsid w:val="00E30B17"/>
    <w:rsid w:val="00E32408"/>
    <w:rsid w:val="00E32614"/>
    <w:rsid w:val="00E3347D"/>
    <w:rsid w:val="00E33A85"/>
    <w:rsid w:val="00E36A9A"/>
    <w:rsid w:val="00E370CE"/>
    <w:rsid w:val="00E40A0F"/>
    <w:rsid w:val="00E413CD"/>
    <w:rsid w:val="00E425CD"/>
    <w:rsid w:val="00E44E65"/>
    <w:rsid w:val="00E46346"/>
    <w:rsid w:val="00E5060E"/>
    <w:rsid w:val="00E50893"/>
    <w:rsid w:val="00E51474"/>
    <w:rsid w:val="00E53483"/>
    <w:rsid w:val="00E54843"/>
    <w:rsid w:val="00E55FFB"/>
    <w:rsid w:val="00E56D5E"/>
    <w:rsid w:val="00E575AE"/>
    <w:rsid w:val="00E620E2"/>
    <w:rsid w:val="00E63520"/>
    <w:rsid w:val="00E70195"/>
    <w:rsid w:val="00E7477B"/>
    <w:rsid w:val="00E76C2A"/>
    <w:rsid w:val="00E77A29"/>
    <w:rsid w:val="00E80D5B"/>
    <w:rsid w:val="00E845D4"/>
    <w:rsid w:val="00E90DCA"/>
    <w:rsid w:val="00E90EB1"/>
    <w:rsid w:val="00E91022"/>
    <w:rsid w:val="00E9111D"/>
    <w:rsid w:val="00E92D89"/>
    <w:rsid w:val="00E9307C"/>
    <w:rsid w:val="00E940C5"/>
    <w:rsid w:val="00E948B4"/>
    <w:rsid w:val="00E96AD4"/>
    <w:rsid w:val="00EA2D7B"/>
    <w:rsid w:val="00EA3549"/>
    <w:rsid w:val="00EA46C0"/>
    <w:rsid w:val="00EA5423"/>
    <w:rsid w:val="00EA6F65"/>
    <w:rsid w:val="00EA7462"/>
    <w:rsid w:val="00EB2626"/>
    <w:rsid w:val="00EB268A"/>
    <w:rsid w:val="00EB4183"/>
    <w:rsid w:val="00EC049C"/>
    <w:rsid w:val="00EC0C78"/>
    <w:rsid w:val="00EC0D47"/>
    <w:rsid w:val="00EC0F2B"/>
    <w:rsid w:val="00EC22CC"/>
    <w:rsid w:val="00EC2DDB"/>
    <w:rsid w:val="00EC38FB"/>
    <w:rsid w:val="00EC62E7"/>
    <w:rsid w:val="00ED3D0E"/>
    <w:rsid w:val="00ED6B69"/>
    <w:rsid w:val="00EE0953"/>
    <w:rsid w:val="00EE0F07"/>
    <w:rsid w:val="00EE34F4"/>
    <w:rsid w:val="00EE52C7"/>
    <w:rsid w:val="00EE6CC5"/>
    <w:rsid w:val="00EF077F"/>
    <w:rsid w:val="00EF1125"/>
    <w:rsid w:val="00EF22A4"/>
    <w:rsid w:val="00EF28F1"/>
    <w:rsid w:val="00EF3BCD"/>
    <w:rsid w:val="00EF514F"/>
    <w:rsid w:val="00F02A22"/>
    <w:rsid w:val="00F064E6"/>
    <w:rsid w:val="00F10F71"/>
    <w:rsid w:val="00F11E12"/>
    <w:rsid w:val="00F12B0B"/>
    <w:rsid w:val="00F16E47"/>
    <w:rsid w:val="00F213E0"/>
    <w:rsid w:val="00F23208"/>
    <w:rsid w:val="00F237CB"/>
    <w:rsid w:val="00F253BA"/>
    <w:rsid w:val="00F26859"/>
    <w:rsid w:val="00F27C61"/>
    <w:rsid w:val="00F31C55"/>
    <w:rsid w:val="00F33FD4"/>
    <w:rsid w:val="00F3722D"/>
    <w:rsid w:val="00F4075B"/>
    <w:rsid w:val="00F408D4"/>
    <w:rsid w:val="00F41EE8"/>
    <w:rsid w:val="00F42D1C"/>
    <w:rsid w:val="00F457A7"/>
    <w:rsid w:val="00F469C7"/>
    <w:rsid w:val="00F52174"/>
    <w:rsid w:val="00F54EA0"/>
    <w:rsid w:val="00F60FB5"/>
    <w:rsid w:val="00F6170C"/>
    <w:rsid w:val="00F645F0"/>
    <w:rsid w:val="00F66C5E"/>
    <w:rsid w:val="00F72E19"/>
    <w:rsid w:val="00F74873"/>
    <w:rsid w:val="00F76901"/>
    <w:rsid w:val="00F8612B"/>
    <w:rsid w:val="00F86535"/>
    <w:rsid w:val="00F9630D"/>
    <w:rsid w:val="00F96EE9"/>
    <w:rsid w:val="00FA101B"/>
    <w:rsid w:val="00FA451B"/>
    <w:rsid w:val="00FA6620"/>
    <w:rsid w:val="00FB1CB8"/>
    <w:rsid w:val="00FB58AB"/>
    <w:rsid w:val="00FB6415"/>
    <w:rsid w:val="00FB758F"/>
    <w:rsid w:val="00FB7D63"/>
    <w:rsid w:val="00FC1075"/>
    <w:rsid w:val="00FC1D79"/>
    <w:rsid w:val="00FC25FB"/>
    <w:rsid w:val="00FC5078"/>
    <w:rsid w:val="00FC5698"/>
    <w:rsid w:val="00FC56C3"/>
    <w:rsid w:val="00FD53D6"/>
    <w:rsid w:val="00FE0BC7"/>
    <w:rsid w:val="00FE0C7E"/>
    <w:rsid w:val="00FE107A"/>
    <w:rsid w:val="00FE1901"/>
    <w:rsid w:val="00FE285D"/>
    <w:rsid w:val="00FF3D81"/>
    <w:rsid w:val="00FF554E"/>
    <w:rsid w:val="00FF5924"/>
    <w:rsid w:val="0125090A"/>
    <w:rsid w:val="017F76C2"/>
    <w:rsid w:val="0231C800"/>
    <w:rsid w:val="032BB2E7"/>
    <w:rsid w:val="037DC6E7"/>
    <w:rsid w:val="03B8809C"/>
    <w:rsid w:val="03BFE3AA"/>
    <w:rsid w:val="0400DC8D"/>
    <w:rsid w:val="05F8B562"/>
    <w:rsid w:val="0826E051"/>
    <w:rsid w:val="08AFF78C"/>
    <w:rsid w:val="0994EE97"/>
    <w:rsid w:val="09B0A520"/>
    <w:rsid w:val="09C9DBF0"/>
    <w:rsid w:val="0BEF37FD"/>
    <w:rsid w:val="0C19F5BD"/>
    <w:rsid w:val="0C372F6A"/>
    <w:rsid w:val="0E03684C"/>
    <w:rsid w:val="0E4D0A49"/>
    <w:rsid w:val="0E5E68CC"/>
    <w:rsid w:val="0ECDD2E9"/>
    <w:rsid w:val="0FCBD2EE"/>
    <w:rsid w:val="1038A996"/>
    <w:rsid w:val="11B2429C"/>
    <w:rsid w:val="12266250"/>
    <w:rsid w:val="127C6DFA"/>
    <w:rsid w:val="1285F225"/>
    <w:rsid w:val="12A7D4D9"/>
    <w:rsid w:val="12C68397"/>
    <w:rsid w:val="14ABAD4F"/>
    <w:rsid w:val="14B01D5D"/>
    <w:rsid w:val="156A0B81"/>
    <w:rsid w:val="1939EDB3"/>
    <w:rsid w:val="1994F6D5"/>
    <w:rsid w:val="1A6A0CD6"/>
    <w:rsid w:val="1A9DD344"/>
    <w:rsid w:val="1AD260F5"/>
    <w:rsid w:val="1B245488"/>
    <w:rsid w:val="1E3519EC"/>
    <w:rsid w:val="1E5314FF"/>
    <w:rsid w:val="1ECA290B"/>
    <w:rsid w:val="20639ABC"/>
    <w:rsid w:val="238187D8"/>
    <w:rsid w:val="24E5B61D"/>
    <w:rsid w:val="256BDC87"/>
    <w:rsid w:val="27D5BF3B"/>
    <w:rsid w:val="27D71BBB"/>
    <w:rsid w:val="28EE2619"/>
    <w:rsid w:val="2A4C9E5B"/>
    <w:rsid w:val="2B4E0532"/>
    <w:rsid w:val="2B6C4CE8"/>
    <w:rsid w:val="2CA7B9C8"/>
    <w:rsid w:val="2D4FBE96"/>
    <w:rsid w:val="2E627CE6"/>
    <w:rsid w:val="301BBCE7"/>
    <w:rsid w:val="30B0A8A4"/>
    <w:rsid w:val="32014EA9"/>
    <w:rsid w:val="3310AA14"/>
    <w:rsid w:val="332E5DA0"/>
    <w:rsid w:val="336459F9"/>
    <w:rsid w:val="34A13588"/>
    <w:rsid w:val="366D0638"/>
    <w:rsid w:val="37837E20"/>
    <w:rsid w:val="37E1C4A6"/>
    <w:rsid w:val="3857C0F1"/>
    <w:rsid w:val="395EEF0A"/>
    <w:rsid w:val="3B401303"/>
    <w:rsid w:val="3C4E303A"/>
    <w:rsid w:val="3C7F94A0"/>
    <w:rsid w:val="3F55326C"/>
    <w:rsid w:val="411F0ED5"/>
    <w:rsid w:val="422D7B85"/>
    <w:rsid w:val="438234BB"/>
    <w:rsid w:val="43A5554F"/>
    <w:rsid w:val="4719F990"/>
    <w:rsid w:val="471BF073"/>
    <w:rsid w:val="47E5FA3C"/>
    <w:rsid w:val="48497A22"/>
    <w:rsid w:val="49217CC5"/>
    <w:rsid w:val="493C4E4A"/>
    <w:rsid w:val="498F81EB"/>
    <w:rsid w:val="4A57405D"/>
    <w:rsid w:val="4A61D004"/>
    <w:rsid w:val="4AF892EF"/>
    <w:rsid w:val="4C21624F"/>
    <w:rsid w:val="4C9D9D63"/>
    <w:rsid w:val="4D81E6C0"/>
    <w:rsid w:val="4DF333BF"/>
    <w:rsid w:val="4EA58EA9"/>
    <w:rsid w:val="500323D4"/>
    <w:rsid w:val="505DFFB7"/>
    <w:rsid w:val="517E8FAA"/>
    <w:rsid w:val="5182502F"/>
    <w:rsid w:val="524429E3"/>
    <w:rsid w:val="5382D603"/>
    <w:rsid w:val="55AE609A"/>
    <w:rsid w:val="57ADA3CB"/>
    <w:rsid w:val="58E845BA"/>
    <w:rsid w:val="5934F9B3"/>
    <w:rsid w:val="59678336"/>
    <w:rsid w:val="5C0173DC"/>
    <w:rsid w:val="5D777C94"/>
    <w:rsid w:val="5D85B4C2"/>
    <w:rsid w:val="5E8E687A"/>
    <w:rsid w:val="601BB538"/>
    <w:rsid w:val="6088992B"/>
    <w:rsid w:val="62A1F809"/>
    <w:rsid w:val="62AB538F"/>
    <w:rsid w:val="62DA7BA0"/>
    <w:rsid w:val="649981C0"/>
    <w:rsid w:val="6556F08E"/>
    <w:rsid w:val="66F4D086"/>
    <w:rsid w:val="68D23F3C"/>
    <w:rsid w:val="693E7AE0"/>
    <w:rsid w:val="69D9DA6B"/>
    <w:rsid w:val="69F892E1"/>
    <w:rsid w:val="6A6020F5"/>
    <w:rsid w:val="6B47A7C0"/>
    <w:rsid w:val="6D0BC404"/>
    <w:rsid w:val="6E0CD4CA"/>
    <w:rsid w:val="6F061DF6"/>
    <w:rsid w:val="6F9D0A40"/>
    <w:rsid w:val="714BE6E7"/>
    <w:rsid w:val="71DA52C4"/>
    <w:rsid w:val="74072055"/>
    <w:rsid w:val="7457A2E5"/>
    <w:rsid w:val="74F601F9"/>
    <w:rsid w:val="750BD069"/>
    <w:rsid w:val="75B56163"/>
    <w:rsid w:val="77BB7CBB"/>
    <w:rsid w:val="77DCA257"/>
    <w:rsid w:val="7874E6B1"/>
    <w:rsid w:val="78F38CDD"/>
    <w:rsid w:val="796D4BC9"/>
    <w:rsid w:val="79776E29"/>
    <w:rsid w:val="7CC636C1"/>
    <w:rsid w:val="7CEBC409"/>
    <w:rsid w:val="7CF1CEC5"/>
    <w:rsid w:val="7D00A5B8"/>
    <w:rsid w:val="7D17C22A"/>
    <w:rsid w:val="7E0A0F28"/>
    <w:rsid w:val="7E5BD335"/>
    <w:rsid w:val="7FF76A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78F05B69-9A61-4B4F-A637-0EC56CC5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Heading3">
    <w:name w:val="heading 3"/>
    <w:basedOn w:val="Normal"/>
    <w:next w:val="Normal"/>
    <w:link w:val="Heading3Char"/>
    <w:uiPriority w:val="9"/>
    <w:unhideWhenUsed/>
    <w:qFormat/>
    <w:rsid w:val="00916057"/>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unhideWhenUsed/>
    <w:qFormat/>
    <w:rsid w:val="001631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6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7683"/>
  </w:style>
  <w:style w:type="paragraph" w:styleId="Footer">
    <w:name w:val="footer"/>
    <w:basedOn w:val="Normal"/>
    <w:link w:val="FooterChar"/>
    <w:uiPriority w:val="99"/>
    <w:unhideWhenUsed/>
    <w:rsid w:val="004176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7683"/>
  </w:style>
  <w:style w:type="paragraph" w:styleId="ListParagraph">
    <w:name w:val="List Paragraph"/>
    <w:basedOn w:val="Normal"/>
    <w:link w:val="ListParagraphChar"/>
    <w:uiPriority w:val="34"/>
    <w:qFormat/>
    <w:rsid w:val="00417683"/>
    <w:pPr>
      <w:ind w:left="720"/>
      <w:contextualSpacing/>
    </w:pPr>
  </w:style>
  <w:style w:type="table" w:styleId="TableGrid">
    <w:name w:val="Table Grid"/>
    <w:basedOn w:val="Table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738"/>
    <w:rPr>
      <w:sz w:val="16"/>
      <w:szCs w:val="16"/>
    </w:rPr>
  </w:style>
  <w:style w:type="paragraph" w:styleId="CommentText">
    <w:name w:val="annotation text"/>
    <w:basedOn w:val="Normal"/>
    <w:link w:val="CommentTextChar"/>
    <w:uiPriority w:val="99"/>
    <w:unhideWhenUsed/>
    <w:rsid w:val="001B4738"/>
    <w:pPr>
      <w:spacing w:line="240" w:lineRule="auto"/>
    </w:pPr>
    <w:rPr>
      <w:sz w:val="20"/>
      <w:szCs w:val="20"/>
    </w:rPr>
  </w:style>
  <w:style w:type="character" w:customStyle="1" w:styleId="CommentTextChar">
    <w:name w:val="Comment Text Char"/>
    <w:basedOn w:val="DefaultParagraphFont"/>
    <w:link w:val="CommentText"/>
    <w:uiPriority w:val="99"/>
    <w:rsid w:val="001B4738"/>
    <w:rPr>
      <w:sz w:val="20"/>
      <w:szCs w:val="20"/>
    </w:rPr>
  </w:style>
  <w:style w:type="paragraph" w:styleId="CommentSubject">
    <w:name w:val="annotation subject"/>
    <w:basedOn w:val="CommentText"/>
    <w:next w:val="CommentText"/>
    <w:link w:val="CommentSubjectChar"/>
    <w:uiPriority w:val="99"/>
    <w:semiHidden/>
    <w:unhideWhenUsed/>
    <w:rsid w:val="001B4738"/>
    <w:rPr>
      <w:b/>
      <w:bCs/>
    </w:rPr>
  </w:style>
  <w:style w:type="character" w:customStyle="1" w:styleId="CommentSubjectChar">
    <w:name w:val="Comment Subject Char"/>
    <w:basedOn w:val="CommentTextChar"/>
    <w:link w:val="CommentSubject"/>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ListParagraph"/>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DefaultParagraphFon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ListParagraphChar">
    <w:name w:val="List Paragraph Char"/>
    <w:basedOn w:val="DefaultParagraphFont"/>
    <w:link w:val="ListParagraph"/>
    <w:uiPriority w:val="34"/>
    <w:rsid w:val="00A70123"/>
  </w:style>
  <w:style w:type="character" w:customStyle="1" w:styleId="TitrepartieCar">
    <w:name w:val="Titre partie Car"/>
    <w:basedOn w:val="ListParagraphChar"/>
    <w:link w:val="Titrepartie"/>
    <w:rsid w:val="00A70123"/>
    <w:rPr>
      <w:rFonts w:ascii="Verdana" w:hAnsi="Verdana" w:cs="Calibri"/>
      <w:b/>
      <w:bCs/>
      <w:color w:val="0070C0"/>
      <w:szCs w:val="20"/>
    </w:rPr>
  </w:style>
  <w:style w:type="paragraph" w:customStyle="1" w:styleId="Sous-partie2">
    <w:name w:val="Sous-partie 2"/>
    <w:basedOn w:val="ListParagraph"/>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DefaultParagraphFont"/>
    <w:link w:val="Exergue"/>
    <w:rsid w:val="00060CA0"/>
    <w:rPr>
      <w:rFonts w:ascii="Verdana" w:eastAsia="Times New Roman" w:hAnsi="Verdana" w:cs="Times New Roman"/>
      <w:b/>
      <w:bCs/>
      <w:i/>
      <w:sz w:val="20"/>
      <w:szCs w:val="20"/>
    </w:rPr>
  </w:style>
  <w:style w:type="character" w:styleId="BookTitle">
    <w:name w:val="Book Title"/>
    <w:basedOn w:val="DefaultParagraphFont"/>
    <w:uiPriority w:val="33"/>
    <w:qFormat/>
    <w:rsid w:val="002C56ED"/>
    <w:rPr>
      <w:b/>
      <w:bCs/>
      <w:i/>
      <w:iCs/>
      <w:spacing w:val="5"/>
    </w:rPr>
  </w:style>
  <w:style w:type="character" w:customStyle="1" w:styleId="Sous-partie2Car">
    <w:name w:val="Sous-partie 2 Car"/>
    <w:basedOn w:val="ListParagraphChar"/>
    <w:link w:val="Sous-partie2"/>
    <w:rsid w:val="002C56ED"/>
    <w:rPr>
      <w:rFonts w:ascii="Verdana" w:hAnsi="Verdana" w:cs="Calibri"/>
      <w:color w:val="0070C0"/>
      <w:sz w:val="20"/>
      <w:szCs w:val="20"/>
    </w:rPr>
  </w:style>
  <w:style w:type="character" w:styleId="IntenseReference">
    <w:name w:val="Intense Reference"/>
    <w:basedOn w:val="DefaultParagraphFont"/>
    <w:uiPriority w:val="32"/>
    <w:qFormat/>
    <w:rsid w:val="002C56ED"/>
    <w:rPr>
      <w:b/>
      <w:bCs/>
      <w:smallCaps/>
      <w:color w:val="4472C4" w:themeColor="accent1"/>
      <w:spacing w:val="5"/>
    </w:rPr>
  </w:style>
  <w:style w:type="paragraph" w:styleId="FootnoteText">
    <w:name w:val="footnote text"/>
    <w:basedOn w:val="Normal"/>
    <w:link w:val="FootnoteTextChar"/>
    <w:uiPriority w:val="99"/>
    <w:semiHidden/>
    <w:unhideWhenUsed/>
    <w:rsid w:val="00A65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1FA"/>
    <w:rPr>
      <w:sz w:val="20"/>
      <w:szCs w:val="20"/>
    </w:rPr>
  </w:style>
  <w:style w:type="character" w:styleId="FootnoteReference">
    <w:name w:val="footnote reference"/>
    <w:basedOn w:val="DefaultParagraphFont"/>
    <w:uiPriority w:val="99"/>
    <w:semiHidden/>
    <w:unhideWhenUsed/>
    <w:rsid w:val="00A651FA"/>
    <w:rPr>
      <w:vertAlign w:val="superscript"/>
    </w:rPr>
  </w:style>
  <w:style w:type="character" w:styleId="Hyperlink">
    <w:name w:val="Hyperlink"/>
    <w:basedOn w:val="DefaultParagraphFont"/>
    <w:uiPriority w:val="99"/>
    <w:unhideWhenUsed/>
    <w:rsid w:val="00D6656D"/>
    <w:rPr>
      <w:color w:val="0563C1" w:themeColor="hyperlink"/>
      <w:u w:val="single"/>
    </w:rPr>
  </w:style>
  <w:style w:type="character" w:styleId="UnresolvedMention">
    <w:name w:val="Unresolved Mention"/>
    <w:basedOn w:val="DefaultParagraphFont"/>
    <w:uiPriority w:val="99"/>
    <w:semiHidden/>
    <w:unhideWhenUsed/>
    <w:rsid w:val="00D6656D"/>
    <w:rPr>
      <w:color w:val="605E5C"/>
      <w:shd w:val="clear" w:color="auto" w:fill="E1DFDD"/>
    </w:rPr>
  </w:style>
  <w:style w:type="character" w:customStyle="1" w:styleId="contentpasted0">
    <w:name w:val="contentpasted0"/>
    <w:basedOn w:val="DefaultParagraphFont"/>
    <w:rsid w:val="00134213"/>
  </w:style>
  <w:style w:type="paragraph" w:styleId="Re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NoSpacing">
    <w:name w:val="No Spacing"/>
    <w:uiPriority w:val="1"/>
    <w:qFormat/>
    <w:rsid w:val="00793EEE"/>
    <w:pPr>
      <w:spacing w:after="0" w:line="240" w:lineRule="auto"/>
    </w:pPr>
    <w:rPr>
      <w:lang w:val="en-GB"/>
    </w:rPr>
  </w:style>
  <w:style w:type="character" w:customStyle="1" w:styleId="Heading3Char">
    <w:name w:val="Heading 3 Char"/>
    <w:basedOn w:val="DefaultParagraphFont"/>
    <w:link w:val="Heading3"/>
    <w:uiPriority w:val="9"/>
    <w:rsid w:val="00916057"/>
    <w:rPr>
      <w:rFonts w:eastAsiaTheme="majorEastAsia" w:cstheme="majorBidi"/>
      <w:color w:val="2F5496" w:themeColor="accent1" w:themeShade="BF"/>
      <w:sz w:val="28"/>
      <w:szCs w:val="28"/>
      <w14:ligatures w14:val="standardContextual"/>
    </w:rPr>
  </w:style>
  <w:style w:type="table" w:styleId="GridTable1Light-Accent1">
    <w:name w:val="Grid Table 1 Light Accent 1"/>
    <w:basedOn w:val="TableNormal"/>
    <w:uiPriority w:val="46"/>
    <w:rsid w:val="00916057"/>
    <w:pPr>
      <w:spacing w:after="0" w:line="240" w:lineRule="auto"/>
    </w:pPr>
    <w:rPr>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2735E0"/>
    <w:rPr>
      <w:i/>
      <w:iCs/>
      <w:color w:val="2F5496" w:themeColor="accent1" w:themeShade="BF"/>
    </w:rPr>
  </w:style>
  <w:style w:type="character" w:customStyle="1" w:styleId="Heading4Char">
    <w:name w:val="Heading 4 Char"/>
    <w:basedOn w:val="DefaultParagraphFont"/>
    <w:link w:val="Heading4"/>
    <w:uiPriority w:val="9"/>
    <w:rsid w:val="001631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fr-FR"/>
        </a:p>
      </c:txPr>
    </c:title>
    <c:autoTitleDeleted val="0"/>
    <c:plotArea>
      <c:layout/>
      <c:lineChart>
        <c:grouping val="standard"/>
        <c:varyColors val="0"/>
        <c:ser>
          <c:idx val="0"/>
          <c:order val="0"/>
          <c:tx>
            <c:strRef>
              <c:f>Feuil1!$A$5</c:f>
              <c:strCache>
                <c:ptCount val="1"/>
                <c:pt idx="0">
                  <c:v>Nombre de retombées médiatiques</c:v>
                </c:pt>
              </c:strCache>
            </c:strRef>
          </c:tx>
          <c:spPr>
            <a:ln w="34925" cap="rnd">
              <a:solidFill>
                <a:schemeClr val="lt1"/>
              </a:solidFill>
              <a:round/>
            </a:ln>
            <a:effectLst>
              <a:outerShdw dist="25400" dir="2700000" algn="tl" rotWithShape="0">
                <a:schemeClr val="accent1"/>
              </a:outerShdw>
            </a:effectLst>
          </c:spPr>
          <c:marker>
            <c:symbol val="none"/>
          </c:marker>
          <c:dLbls>
            <c:dLbl>
              <c:idx val="2"/>
              <c:layout>
                <c:manualLayout>
                  <c:x val="-4.2611111111111113E-2"/>
                  <c:y val="-8.5613517060367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77-452B-944B-687F20B1D5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Feuil1!$B$4:$E$4</c:f>
              <c:numCache>
                <c:formatCode>General</c:formatCode>
                <c:ptCount val="4"/>
                <c:pt idx="0">
                  <c:v>2022</c:v>
                </c:pt>
                <c:pt idx="1">
                  <c:v>2023</c:v>
                </c:pt>
                <c:pt idx="2">
                  <c:v>2024</c:v>
                </c:pt>
                <c:pt idx="3">
                  <c:v>2025</c:v>
                </c:pt>
              </c:numCache>
            </c:numRef>
          </c:cat>
          <c:val>
            <c:numRef>
              <c:f>Feuil1!$B$5:$E$5</c:f>
              <c:numCache>
                <c:formatCode>General</c:formatCode>
                <c:ptCount val="4"/>
                <c:pt idx="0">
                  <c:v>458</c:v>
                </c:pt>
                <c:pt idx="1">
                  <c:v>509</c:v>
                </c:pt>
                <c:pt idx="2">
                  <c:v>619</c:v>
                </c:pt>
                <c:pt idx="3">
                  <c:v>2340</c:v>
                </c:pt>
              </c:numCache>
            </c:numRef>
          </c:val>
          <c:smooth val="0"/>
          <c:extLst>
            <c:ext xmlns:c16="http://schemas.microsoft.com/office/drawing/2014/chart" uri="{C3380CC4-5D6E-409C-BE32-E72D297353CC}">
              <c16:uniqueId val="{00000001-B077-452B-944B-687F20B1D573}"/>
            </c:ext>
          </c:extLst>
        </c:ser>
        <c:dLbls>
          <c:dLblPos val="t"/>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847000719"/>
        <c:axId val="1847001199"/>
      </c:lineChart>
      <c:catAx>
        <c:axId val="1847000719"/>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fr-FR"/>
          </a:p>
        </c:txPr>
        <c:crossAx val="1847001199"/>
        <c:crosses val="autoZero"/>
        <c:auto val="1"/>
        <c:lblAlgn val="ctr"/>
        <c:lblOffset val="100"/>
        <c:noMultiLvlLbl val="0"/>
      </c:catAx>
      <c:valAx>
        <c:axId val="18470011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fr-FR"/>
          </a:p>
        </c:txPr>
        <c:crossAx val="1847000719"/>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3149</Words>
  <Characters>17954</Characters>
  <Application>Microsoft Office Word</Application>
  <DocSecurity>4</DocSecurity>
  <Lines>149</Lines>
  <Paragraphs>42</Paragraphs>
  <ScaleCrop>false</ScaleCrop>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138</cp:revision>
  <dcterms:created xsi:type="dcterms:W3CDTF">2026-04-25T00:28:00Z</dcterms:created>
  <dcterms:modified xsi:type="dcterms:W3CDTF">2026-04-28T05:38:00Z</dcterms:modified>
</cp:coreProperties>
</file>