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6B0F69">
      <w:pPr>
        <w:jc w:val="both"/>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540101E" w:rsidR="00EC22CC" w:rsidRPr="00705325" w:rsidRDefault="00705325" w:rsidP="006B0F69">
            <w:pPr>
              <w:ind w:left="720"/>
              <w:jc w:val="both"/>
              <w:rPr>
                <w:rFonts w:ascii="Verdana" w:hAnsi="Verdana"/>
                <w:b/>
                <w:bCs/>
              </w:rPr>
            </w:pPr>
            <w:r w:rsidRPr="00705325">
              <w:rPr>
                <w:rFonts w:ascii="Verdana" w:hAnsi="Verdana"/>
                <w:b/>
                <w:bCs/>
              </w:rPr>
              <w:t>Administration des ressources humaines</w:t>
            </w:r>
          </w:p>
        </w:tc>
      </w:tr>
      <w:tr w:rsidR="00EC22CC" w14:paraId="7F1B63D2" w14:textId="77777777" w:rsidTr="002A0933">
        <w:tc>
          <w:tcPr>
            <w:tcW w:w="7225" w:type="dxa"/>
          </w:tcPr>
          <w:p w14:paraId="056D9B10" w14:textId="012CD547" w:rsidR="00EC22CC" w:rsidRPr="002A096E" w:rsidRDefault="00585186" w:rsidP="006B0F69">
            <w:pPr>
              <w:jc w:val="both"/>
              <w:rPr>
                <w:rFonts w:ascii="Verdana" w:hAnsi="Verdana"/>
                <w:sz w:val="20"/>
                <w:szCs w:val="20"/>
              </w:rPr>
            </w:pPr>
            <w:r>
              <w:rPr>
                <w:rFonts w:ascii="Verdana" w:hAnsi="Verdana"/>
                <w:sz w:val="20"/>
                <w:szCs w:val="20"/>
              </w:rPr>
              <w:t>Comité des OPL 0</w:t>
            </w:r>
            <w:r w:rsidR="001A2A9A">
              <w:rPr>
                <w:rFonts w:ascii="Verdana" w:hAnsi="Verdana"/>
                <w:sz w:val="20"/>
                <w:szCs w:val="20"/>
              </w:rPr>
              <w:t>2</w:t>
            </w:r>
            <w:r w:rsidR="00430220">
              <w:rPr>
                <w:rFonts w:ascii="Verdana" w:hAnsi="Verdana"/>
                <w:sz w:val="20"/>
                <w:szCs w:val="20"/>
              </w:rPr>
              <w:t>/202</w:t>
            </w:r>
            <w:r w:rsidR="00F716BE">
              <w:rPr>
                <w:rFonts w:ascii="Verdana" w:hAnsi="Verdana"/>
                <w:sz w:val="20"/>
                <w:szCs w:val="20"/>
              </w:rPr>
              <w:t>6</w:t>
            </w:r>
            <w:r>
              <w:rPr>
                <w:rFonts w:ascii="Verdana" w:hAnsi="Verdana"/>
                <w:sz w:val="20"/>
                <w:szCs w:val="20"/>
              </w:rPr>
              <w:t xml:space="preserve"> </w:t>
            </w:r>
            <w:r w:rsidR="001E1D66">
              <w:rPr>
                <w:rFonts w:ascii="Verdana" w:hAnsi="Verdana"/>
                <w:sz w:val="20"/>
                <w:szCs w:val="20"/>
              </w:rPr>
              <w:t xml:space="preserve">| </w:t>
            </w:r>
            <w:r w:rsidR="00F716BE">
              <w:rPr>
                <w:rFonts w:ascii="Verdana" w:hAnsi="Verdana"/>
                <w:sz w:val="20"/>
                <w:szCs w:val="20"/>
              </w:rPr>
              <w:t>Mai 2026</w:t>
            </w:r>
          </w:p>
        </w:tc>
        <w:tc>
          <w:tcPr>
            <w:tcW w:w="1837" w:type="dxa"/>
          </w:tcPr>
          <w:p w14:paraId="58E25D1F" w14:textId="0B9882A1" w:rsidR="00EC22CC" w:rsidRPr="002A0933" w:rsidRDefault="002A096E" w:rsidP="006B0F69">
            <w:pPr>
              <w:jc w:val="both"/>
              <w:rPr>
                <w:rFonts w:ascii="Verdana" w:hAnsi="Verdana"/>
                <w:sz w:val="20"/>
                <w:szCs w:val="20"/>
              </w:rPr>
            </w:pPr>
            <w:r w:rsidRPr="002A0933">
              <w:rPr>
                <w:rFonts w:ascii="Verdana" w:hAnsi="Verdana"/>
                <w:sz w:val="20"/>
                <w:szCs w:val="20"/>
              </w:rPr>
              <w:t xml:space="preserve">Point </w:t>
            </w:r>
            <w:r w:rsidR="00585186">
              <w:rPr>
                <w:rFonts w:ascii="Verdana" w:hAnsi="Verdana"/>
                <w:sz w:val="20"/>
                <w:szCs w:val="20"/>
              </w:rPr>
              <w:t>3.1</w:t>
            </w:r>
          </w:p>
        </w:tc>
      </w:tr>
      <w:tr w:rsidR="00EC22CC" w14:paraId="537D1DE5" w14:textId="77777777" w:rsidTr="002A0933">
        <w:tc>
          <w:tcPr>
            <w:tcW w:w="7225" w:type="dxa"/>
          </w:tcPr>
          <w:p w14:paraId="43DEF09E" w14:textId="2283884A" w:rsidR="00EC22CC" w:rsidRPr="00A37C9F" w:rsidRDefault="00A148A1" w:rsidP="006B0F69">
            <w:pPr>
              <w:jc w:val="both"/>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77A3E">
              <w:rPr>
                <w:rFonts w:ascii="Verdana" w:hAnsi="Verdana"/>
                <w:i/>
                <w:iCs/>
                <w:sz w:val="20"/>
                <w:szCs w:val="20"/>
              </w:rPr>
              <w:t xml:space="preserve">Klervi </w:t>
            </w:r>
            <w:proofErr w:type="spellStart"/>
            <w:r w:rsidR="00977A3E">
              <w:rPr>
                <w:rFonts w:ascii="Verdana" w:hAnsi="Verdana"/>
                <w:i/>
                <w:iCs/>
                <w:sz w:val="20"/>
                <w:szCs w:val="20"/>
              </w:rPr>
              <w:t>Congard</w:t>
            </w:r>
            <w:proofErr w:type="spellEnd"/>
            <w:r w:rsidR="00977A3E">
              <w:rPr>
                <w:rFonts w:ascii="Verdana" w:hAnsi="Verdana"/>
                <w:i/>
                <w:iCs/>
                <w:sz w:val="20"/>
                <w:szCs w:val="20"/>
              </w:rPr>
              <w:t>, GRH</w:t>
            </w:r>
          </w:p>
        </w:tc>
        <w:tc>
          <w:tcPr>
            <w:tcW w:w="1837" w:type="dxa"/>
          </w:tcPr>
          <w:p w14:paraId="5AC1AFAB" w14:textId="3469A8B9" w:rsidR="00EC22CC" w:rsidRPr="002A0933" w:rsidRDefault="0057744F" w:rsidP="006B0F69">
            <w:pPr>
              <w:jc w:val="both"/>
              <w:rPr>
                <w:rFonts w:ascii="Verdana" w:hAnsi="Verdana"/>
                <w:sz w:val="20"/>
                <w:szCs w:val="20"/>
              </w:rPr>
            </w:pPr>
            <w:r>
              <w:rPr>
                <w:rFonts w:ascii="Verdana" w:hAnsi="Verdana"/>
                <w:sz w:val="20"/>
                <w:szCs w:val="20"/>
              </w:rPr>
              <w:t>Information</w:t>
            </w:r>
          </w:p>
        </w:tc>
      </w:tr>
      <w:tr w:rsidR="00A90305" w14:paraId="6896DB30" w14:textId="77777777" w:rsidTr="009F5233">
        <w:tc>
          <w:tcPr>
            <w:tcW w:w="9062" w:type="dxa"/>
            <w:gridSpan w:val="2"/>
          </w:tcPr>
          <w:p w14:paraId="0495241B" w14:textId="693D2E01" w:rsidR="00A90305" w:rsidRDefault="00A90305" w:rsidP="006B0F69">
            <w:pPr>
              <w:jc w:val="both"/>
              <w:rPr>
                <w:rFonts w:ascii="Verdana" w:hAnsi="Verdana"/>
                <w:sz w:val="20"/>
                <w:szCs w:val="20"/>
              </w:rPr>
            </w:pPr>
            <w:r>
              <w:rPr>
                <w:rFonts w:ascii="Verdana" w:hAnsi="Verdana"/>
                <w:i/>
                <w:iCs/>
                <w:sz w:val="20"/>
                <w:szCs w:val="20"/>
              </w:rPr>
              <w:t xml:space="preserve">Version du </w:t>
            </w:r>
            <w:r w:rsidR="00F716BE">
              <w:rPr>
                <w:rFonts w:ascii="Verdana" w:hAnsi="Verdana"/>
                <w:i/>
                <w:iCs/>
                <w:sz w:val="20"/>
                <w:szCs w:val="20"/>
              </w:rPr>
              <w:t>2</w:t>
            </w:r>
            <w:r w:rsidR="00385DAC">
              <w:rPr>
                <w:rFonts w:ascii="Verdana" w:hAnsi="Verdana"/>
                <w:i/>
                <w:iCs/>
                <w:sz w:val="20"/>
                <w:szCs w:val="20"/>
              </w:rPr>
              <w:t>7</w:t>
            </w:r>
            <w:r w:rsidR="00F716BE">
              <w:rPr>
                <w:rFonts w:ascii="Verdana" w:hAnsi="Verdana"/>
                <w:i/>
                <w:iCs/>
                <w:sz w:val="20"/>
                <w:szCs w:val="20"/>
              </w:rPr>
              <w:t xml:space="preserve"> avril 2026</w:t>
            </w:r>
          </w:p>
        </w:tc>
      </w:tr>
    </w:tbl>
    <w:p w14:paraId="1611BCC4" w14:textId="77777777" w:rsidR="00854EEA" w:rsidRDefault="00854EEA" w:rsidP="006B0F69">
      <w:pPr>
        <w:pStyle w:val="Paragraphe"/>
      </w:pPr>
      <w:bookmarkStart w:id="0" w:name="_Hlk24535240"/>
    </w:p>
    <w:p w14:paraId="678F0DFC" w14:textId="338B1318" w:rsidR="00854EEA" w:rsidRPr="0008468B" w:rsidRDefault="00C35ED7" w:rsidP="006B0F69">
      <w:pPr>
        <w:pStyle w:val="Titrepartie"/>
      </w:pPr>
      <w:r>
        <w:t xml:space="preserve">Etats des lieux </w:t>
      </w:r>
      <w:r w:rsidR="00C567C5">
        <w:t xml:space="preserve">au </w:t>
      </w:r>
      <w:r w:rsidR="23D05CBB">
        <w:t>01 avril 2026</w:t>
      </w:r>
    </w:p>
    <w:p w14:paraId="0F3EF4FD" w14:textId="728E4786" w:rsidR="008A1133" w:rsidRDefault="008A1133" w:rsidP="006B0F69">
      <w:pPr>
        <w:spacing w:after="0" w:line="240" w:lineRule="auto"/>
        <w:jc w:val="both"/>
        <w:rPr>
          <w:rFonts w:ascii="Verdana" w:hAnsi="Verdana"/>
          <w:sz w:val="20"/>
          <w:szCs w:val="20"/>
        </w:rPr>
      </w:pPr>
      <w:r w:rsidRPr="2D9ED7F2">
        <w:rPr>
          <w:rFonts w:ascii="Verdana" w:hAnsi="Verdana"/>
          <w:sz w:val="20"/>
          <w:szCs w:val="20"/>
        </w:rPr>
        <w:t>L’année 202</w:t>
      </w:r>
      <w:r w:rsidR="0ACB8A0D" w:rsidRPr="2D9ED7F2">
        <w:rPr>
          <w:rFonts w:ascii="Verdana" w:hAnsi="Verdana"/>
          <w:sz w:val="20"/>
          <w:szCs w:val="20"/>
        </w:rPr>
        <w:t>6</w:t>
      </w:r>
      <w:r w:rsidRPr="2D9ED7F2">
        <w:rPr>
          <w:rFonts w:ascii="Verdana" w:hAnsi="Verdana"/>
          <w:sz w:val="20"/>
          <w:szCs w:val="20"/>
        </w:rPr>
        <w:t xml:space="preserve"> a été marquée</w:t>
      </w:r>
      <w:r w:rsidR="001E1D66" w:rsidRPr="2D9ED7F2">
        <w:rPr>
          <w:rFonts w:ascii="Verdana" w:hAnsi="Verdana"/>
          <w:sz w:val="20"/>
          <w:szCs w:val="20"/>
        </w:rPr>
        <w:t xml:space="preserve"> par</w:t>
      </w:r>
      <w:r w:rsidR="00F00C50" w:rsidRPr="2D9ED7F2">
        <w:rPr>
          <w:rFonts w:ascii="Verdana" w:hAnsi="Verdana"/>
          <w:sz w:val="20"/>
          <w:szCs w:val="20"/>
        </w:rPr>
        <w:t xml:space="preserve"> </w:t>
      </w:r>
      <w:r w:rsidR="3E34685E" w:rsidRPr="0069628B">
        <w:rPr>
          <w:rFonts w:ascii="Verdana" w:hAnsi="Verdana"/>
          <w:sz w:val="20"/>
          <w:szCs w:val="20"/>
        </w:rPr>
        <w:t>3</w:t>
      </w:r>
      <w:r w:rsidR="004C0474" w:rsidRPr="0069628B">
        <w:rPr>
          <w:rFonts w:ascii="Verdana" w:hAnsi="Verdana"/>
          <w:sz w:val="20"/>
          <w:szCs w:val="20"/>
        </w:rPr>
        <w:t xml:space="preserve"> </w:t>
      </w:r>
      <w:r w:rsidR="00C567C5" w:rsidRPr="0069628B">
        <w:rPr>
          <w:rFonts w:ascii="Verdana" w:hAnsi="Verdana"/>
          <w:sz w:val="20"/>
          <w:szCs w:val="20"/>
        </w:rPr>
        <w:t>recrutements</w:t>
      </w:r>
      <w:r w:rsidR="002E370A" w:rsidRPr="0069628B">
        <w:rPr>
          <w:rFonts w:ascii="Verdana" w:hAnsi="Verdana"/>
          <w:sz w:val="20"/>
          <w:szCs w:val="20"/>
        </w:rPr>
        <w:t xml:space="preserve"> </w:t>
      </w:r>
      <w:r w:rsidR="00CA73A9" w:rsidRPr="0069628B">
        <w:rPr>
          <w:rFonts w:ascii="Verdana" w:hAnsi="Verdana"/>
          <w:sz w:val="20"/>
          <w:szCs w:val="20"/>
        </w:rPr>
        <w:t>pour le S</w:t>
      </w:r>
      <w:r w:rsidR="79DEFEE0" w:rsidRPr="0069628B">
        <w:rPr>
          <w:rFonts w:ascii="Verdana" w:hAnsi="Verdana"/>
          <w:sz w:val="20"/>
          <w:szCs w:val="20"/>
        </w:rPr>
        <w:t xml:space="preserve">ecrétariat </w:t>
      </w:r>
      <w:r w:rsidR="00CA73A9" w:rsidRPr="0069628B">
        <w:rPr>
          <w:rFonts w:ascii="Verdana" w:hAnsi="Verdana"/>
          <w:sz w:val="20"/>
          <w:szCs w:val="20"/>
        </w:rPr>
        <w:t>G</w:t>
      </w:r>
      <w:r w:rsidR="01E4D1B1" w:rsidRPr="0069628B">
        <w:rPr>
          <w:rFonts w:ascii="Verdana" w:hAnsi="Verdana"/>
          <w:sz w:val="20"/>
          <w:szCs w:val="20"/>
        </w:rPr>
        <w:t>énéral</w:t>
      </w:r>
      <w:r w:rsidR="00D324FA" w:rsidRPr="0069628B">
        <w:rPr>
          <w:rFonts w:ascii="Verdana" w:hAnsi="Verdana"/>
          <w:sz w:val="20"/>
          <w:szCs w:val="20"/>
        </w:rPr>
        <w:t xml:space="preserve"> et</w:t>
      </w:r>
      <w:r w:rsidR="00C567C5" w:rsidRPr="0069628B">
        <w:rPr>
          <w:rFonts w:ascii="Verdana" w:hAnsi="Verdana"/>
          <w:sz w:val="20"/>
          <w:szCs w:val="20"/>
        </w:rPr>
        <w:t xml:space="preserve"> </w:t>
      </w:r>
      <w:r w:rsidR="00F51750" w:rsidRPr="0069628B">
        <w:rPr>
          <w:rFonts w:ascii="Verdana" w:hAnsi="Verdana"/>
          <w:sz w:val="20"/>
          <w:szCs w:val="20"/>
        </w:rPr>
        <w:t xml:space="preserve">par </w:t>
      </w:r>
      <w:r w:rsidRPr="0069628B">
        <w:rPr>
          <w:rFonts w:ascii="Verdana" w:hAnsi="Verdana"/>
          <w:sz w:val="20"/>
          <w:szCs w:val="20"/>
        </w:rPr>
        <w:t xml:space="preserve">l’arrivée </w:t>
      </w:r>
      <w:r w:rsidR="00A348E1" w:rsidRPr="0069628B">
        <w:rPr>
          <w:rFonts w:ascii="Verdana" w:hAnsi="Verdana"/>
          <w:sz w:val="20"/>
          <w:szCs w:val="20"/>
        </w:rPr>
        <w:t xml:space="preserve">de </w:t>
      </w:r>
      <w:r w:rsidR="779085E1" w:rsidRPr="0069628B">
        <w:rPr>
          <w:rFonts w:ascii="Verdana" w:hAnsi="Verdana"/>
          <w:sz w:val="20"/>
          <w:szCs w:val="20"/>
        </w:rPr>
        <w:t>10</w:t>
      </w:r>
      <w:r w:rsidR="002E370A" w:rsidRPr="0069628B">
        <w:rPr>
          <w:rFonts w:ascii="Verdana" w:hAnsi="Verdana"/>
          <w:sz w:val="20"/>
          <w:szCs w:val="20"/>
        </w:rPr>
        <w:t xml:space="preserve"> </w:t>
      </w:r>
      <w:r w:rsidR="00A348E1" w:rsidRPr="0069628B">
        <w:rPr>
          <w:rFonts w:ascii="Verdana" w:hAnsi="Verdana"/>
          <w:sz w:val="20"/>
          <w:szCs w:val="20"/>
        </w:rPr>
        <w:t>nouveaux collègues</w:t>
      </w:r>
      <w:r w:rsidRPr="2D9ED7F2">
        <w:rPr>
          <w:rFonts w:ascii="Verdana" w:hAnsi="Verdana"/>
          <w:sz w:val="20"/>
          <w:szCs w:val="20"/>
        </w:rPr>
        <w:t xml:space="preserve"> (mises à disposition, </w:t>
      </w:r>
      <w:r w:rsidR="00F51750" w:rsidRPr="2D9ED7F2">
        <w:rPr>
          <w:rFonts w:ascii="Verdana" w:hAnsi="Verdana"/>
          <w:sz w:val="20"/>
          <w:szCs w:val="20"/>
        </w:rPr>
        <w:t>assistance technique (</w:t>
      </w:r>
      <w:r w:rsidRPr="2D9ED7F2">
        <w:rPr>
          <w:rFonts w:ascii="Verdana" w:hAnsi="Verdana"/>
          <w:sz w:val="20"/>
          <w:szCs w:val="20"/>
        </w:rPr>
        <w:t>AT</w:t>
      </w:r>
      <w:r w:rsidR="00F51750" w:rsidRPr="2D9ED7F2">
        <w:rPr>
          <w:rFonts w:ascii="Verdana" w:hAnsi="Verdana"/>
          <w:sz w:val="20"/>
          <w:szCs w:val="20"/>
        </w:rPr>
        <w:t>)</w:t>
      </w:r>
      <w:r w:rsidRPr="2D9ED7F2">
        <w:rPr>
          <w:rFonts w:ascii="Verdana" w:hAnsi="Verdana"/>
          <w:sz w:val="20"/>
          <w:szCs w:val="20"/>
        </w:rPr>
        <w:t xml:space="preserve"> et consultants) au bénéfice des projets et du </w:t>
      </w:r>
      <w:r w:rsidR="00F51750" w:rsidRPr="2D9ED7F2">
        <w:rPr>
          <w:rFonts w:ascii="Verdana" w:hAnsi="Verdana"/>
          <w:sz w:val="20"/>
          <w:szCs w:val="20"/>
        </w:rPr>
        <w:t xml:space="preserve">Secrétariat </w:t>
      </w:r>
      <w:r w:rsidRPr="2D9ED7F2">
        <w:rPr>
          <w:rFonts w:ascii="Verdana" w:hAnsi="Verdana"/>
          <w:sz w:val="20"/>
          <w:szCs w:val="20"/>
        </w:rPr>
        <w:t xml:space="preserve">général de la COI. </w:t>
      </w:r>
      <w:r w:rsidRPr="2D9ED7F2">
        <w:rPr>
          <w:rFonts w:ascii="Verdana" w:hAnsi="Verdana"/>
          <w:b/>
          <w:bCs/>
          <w:sz w:val="20"/>
          <w:szCs w:val="20"/>
        </w:rPr>
        <w:t>(Voir tableau des arrivées et départ</w:t>
      </w:r>
      <w:r w:rsidR="003E60F0" w:rsidRPr="2D9ED7F2">
        <w:rPr>
          <w:rFonts w:ascii="Verdana" w:hAnsi="Verdana"/>
          <w:b/>
          <w:bCs/>
          <w:sz w:val="20"/>
          <w:szCs w:val="20"/>
        </w:rPr>
        <w:t>s</w:t>
      </w:r>
      <w:r w:rsidRPr="2D9ED7F2">
        <w:rPr>
          <w:rFonts w:ascii="Verdana" w:hAnsi="Verdana"/>
          <w:b/>
          <w:bCs/>
          <w:sz w:val="20"/>
          <w:szCs w:val="20"/>
        </w:rPr>
        <w:t xml:space="preserve"> en Annexe 1)</w:t>
      </w:r>
      <w:r w:rsidRPr="2D9ED7F2">
        <w:rPr>
          <w:rFonts w:ascii="Verdana" w:hAnsi="Verdana"/>
          <w:sz w:val="20"/>
          <w:szCs w:val="20"/>
        </w:rPr>
        <w:t xml:space="preserve"> </w:t>
      </w:r>
    </w:p>
    <w:p w14:paraId="7D4936F8" w14:textId="77777777" w:rsidR="008A1133" w:rsidRDefault="008A1133" w:rsidP="006B0F69">
      <w:pPr>
        <w:spacing w:after="0" w:line="240" w:lineRule="auto"/>
        <w:jc w:val="both"/>
        <w:rPr>
          <w:rFonts w:ascii="Verdana" w:hAnsi="Verdana"/>
          <w:sz w:val="20"/>
          <w:szCs w:val="20"/>
        </w:rPr>
      </w:pPr>
    </w:p>
    <w:p w14:paraId="50F43FDF" w14:textId="01BAF6A4" w:rsidR="00F51750" w:rsidRDefault="00F51750" w:rsidP="006B0F69">
      <w:pPr>
        <w:spacing w:after="0" w:line="240" w:lineRule="auto"/>
        <w:jc w:val="both"/>
        <w:rPr>
          <w:rFonts w:ascii="Verdana" w:hAnsi="Verdana"/>
          <w:sz w:val="20"/>
          <w:szCs w:val="20"/>
        </w:rPr>
      </w:pPr>
      <w:r>
        <w:rPr>
          <w:rFonts w:ascii="Verdana" w:hAnsi="Verdana"/>
          <w:sz w:val="20"/>
          <w:szCs w:val="20"/>
        </w:rPr>
        <w:t>L</w:t>
      </w:r>
      <w:r w:rsidR="008A1133">
        <w:rPr>
          <w:rFonts w:ascii="Verdana" w:hAnsi="Verdana"/>
          <w:sz w:val="20"/>
          <w:szCs w:val="20"/>
        </w:rPr>
        <w:t xml:space="preserve">’effectif total </w:t>
      </w:r>
      <w:r>
        <w:rPr>
          <w:rFonts w:ascii="Verdana" w:hAnsi="Verdana"/>
          <w:sz w:val="20"/>
          <w:szCs w:val="20"/>
        </w:rPr>
        <w:t xml:space="preserve">du personnel est ainsi porté </w:t>
      </w:r>
      <w:r w:rsidR="008A1133">
        <w:rPr>
          <w:rFonts w:ascii="Verdana" w:hAnsi="Verdana"/>
          <w:sz w:val="20"/>
          <w:szCs w:val="20"/>
        </w:rPr>
        <w:t xml:space="preserve">à </w:t>
      </w:r>
      <w:r w:rsidR="00756917" w:rsidRPr="0069628B">
        <w:rPr>
          <w:rFonts w:ascii="Verdana" w:hAnsi="Verdana"/>
          <w:sz w:val="20"/>
          <w:szCs w:val="20"/>
        </w:rPr>
        <w:t>10</w:t>
      </w:r>
      <w:r w:rsidR="0069628B" w:rsidRPr="0069628B">
        <w:rPr>
          <w:rFonts w:ascii="Verdana" w:hAnsi="Verdana"/>
          <w:sz w:val="20"/>
          <w:szCs w:val="20"/>
        </w:rPr>
        <w:t>6</w:t>
      </w:r>
      <w:r w:rsidR="0069628B">
        <w:rPr>
          <w:rFonts w:ascii="Verdana" w:hAnsi="Verdana"/>
          <w:sz w:val="20"/>
          <w:szCs w:val="20"/>
        </w:rPr>
        <w:t xml:space="preserve"> </w:t>
      </w:r>
      <w:r w:rsidR="008A1133" w:rsidRPr="0069628B">
        <w:rPr>
          <w:rFonts w:ascii="Verdana" w:hAnsi="Verdana"/>
          <w:sz w:val="20"/>
          <w:szCs w:val="20"/>
        </w:rPr>
        <w:t>personnes</w:t>
      </w:r>
      <w:r w:rsidR="008A1133">
        <w:rPr>
          <w:rFonts w:ascii="Verdana" w:hAnsi="Verdana"/>
          <w:sz w:val="20"/>
          <w:szCs w:val="20"/>
        </w:rPr>
        <w:t xml:space="preserve"> dont </w:t>
      </w:r>
      <w:r w:rsidR="008315C0">
        <w:rPr>
          <w:rFonts w:ascii="Verdana" w:hAnsi="Verdana"/>
          <w:sz w:val="20"/>
          <w:szCs w:val="20"/>
        </w:rPr>
        <w:t xml:space="preserve">50 </w:t>
      </w:r>
      <w:r w:rsidR="008A1133">
        <w:rPr>
          <w:rFonts w:ascii="Verdana" w:hAnsi="Verdana"/>
          <w:sz w:val="20"/>
          <w:szCs w:val="20"/>
        </w:rPr>
        <w:t xml:space="preserve">travaillant sur les projets et </w:t>
      </w:r>
      <w:r w:rsidR="008315C0">
        <w:rPr>
          <w:rFonts w:ascii="Verdana" w:hAnsi="Verdana"/>
          <w:sz w:val="20"/>
          <w:szCs w:val="20"/>
        </w:rPr>
        <w:t>5</w:t>
      </w:r>
      <w:r w:rsidR="0069628B">
        <w:rPr>
          <w:rFonts w:ascii="Verdana" w:hAnsi="Verdana"/>
          <w:sz w:val="20"/>
          <w:szCs w:val="20"/>
        </w:rPr>
        <w:t>6</w:t>
      </w:r>
      <w:r w:rsidR="008315C0">
        <w:rPr>
          <w:rFonts w:ascii="Verdana" w:hAnsi="Verdana"/>
          <w:sz w:val="20"/>
          <w:szCs w:val="20"/>
        </w:rPr>
        <w:t xml:space="preserve"> </w:t>
      </w:r>
      <w:r w:rsidR="008A1133">
        <w:rPr>
          <w:rFonts w:ascii="Verdana" w:hAnsi="Verdana"/>
          <w:sz w:val="20"/>
          <w:szCs w:val="20"/>
        </w:rPr>
        <w:t xml:space="preserve">au Secrétariat, incluant </w:t>
      </w:r>
      <w:r w:rsidR="0069628B">
        <w:rPr>
          <w:rFonts w:ascii="Verdana" w:hAnsi="Verdana"/>
          <w:sz w:val="20"/>
          <w:szCs w:val="20"/>
        </w:rPr>
        <w:t>4</w:t>
      </w:r>
      <w:r w:rsidR="008A1133">
        <w:rPr>
          <w:rFonts w:ascii="Verdana" w:hAnsi="Verdana"/>
          <w:sz w:val="20"/>
          <w:szCs w:val="20"/>
        </w:rPr>
        <w:t xml:space="preserve"> volontaire</w:t>
      </w:r>
      <w:r w:rsidR="00EC58D3">
        <w:rPr>
          <w:rFonts w:ascii="Verdana" w:hAnsi="Verdana"/>
          <w:sz w:val="20"/>
          <w:szCs w:val="20"/>
        </w:rPr>
        <w:t>s</w:t>
      </w:r>
      <w:r w:rsidR="008A1133">
        <w:rPr>
          <w:rFonts w:ascii="Verdana" w:hAnsi="Verdana"/>
          <w:sz w:val="20"/>
          <w:szCs w:val="20"/>
        </w:rPr>
        <w:t xml:space="preserve"> de solidarité internationale</w:t>
      </w:r>
      <w:r w:rsidR="00676D6F">
        <w:rPr>
          <w:rFonts w:ascii="Verdana" w:hAnsi="Verdana"/>
          <w:sz w:val="20"/>
          <w:szCs w:val="20"/>
        </w:rPr>
        <w:t xml:space="preserve">. </w:t>
      </w:r>
    </w:p>
    <w:p w14:paraId="72307D55" w14:textId="77777777" w:rsidR="00857D2A" w:rsidRDefault="00857D2A" w:rsidP="006B0F69">
      <w:pPr>
        <w:spacing w:after="0" w:line="240" w:lineRule="auto"/>
        <w:jc w:val="both"/>
        <w:rPr>
          <w:rFonts w:ascii="Verdana" w:hAnsi="Verdana"/>
          <w:sz w:val="20"/>
          <w:szCs w:val="20"/>
        </w:rPr>
      </w:pPr>
    </w:p>
    <w:tbl>
      <w:tblPr>
        <w:tblpPr w:leftFromText="180" w:rightFromText="180" w:vertAnchor="text" w:horzAnchor="margin" w:tblpY="695"/>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822"/>
        <w:gridCol w:w="904"/>
        <w:gridCol w:w="911"/>
        <w:gridCol w:w="783"/>
      </w:tblGrid>
      <w:tr w:rsidR="00650370" w:rsidRPr="00084E2B" w14:paraId="76852FFD" w14:textId="77777777" w:rsidTr="00B91EEC">
        <w:trPr>
          <w:trHeight w:val="300"/>
        </w:trPr>
        <w:tc>
          <w:tcPr>
            <w:tcW w:w="1285" w:type="dxa"/>
            <w:shd w:val="clear" w:color="auto" w:fill="8496B0" w:themeFill="text2" w:themeFillTint="99"/>
            <w:vAlign w:val="center"/>
            <w:hideMark/>
          </w:tcPr>
          <w:p w14:paraId="5252253D"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sidRPr="00084E2B">
              <w:rPr>
                <w:rFonts w:ascii="Verdana" w:eastAsia="Times New Roman" w:hAnsi="Verdana" w:cs="Calibri"/>
                <w:b/>
                <w:bCs/>
                <w:color w:val="000000"/>
                <w:sz w:val="20"/>
                <w:szCs w:val="20"/>
              </w:rPr>
              <w:t>TYPE DE CONTRAT</w:t>
            </w:r>
          </w:p>
        </w:tc>
        <w:tc>
          <w:tcPr>
            <w:tcW w:w="822" w:type="dxa"/>
            <w:shd w:val="clear" w:color="auto" w:fill="8496B0" w:themeFill="text2" w:themeFillTint="99"/>
            <w:vAlign w:val="center"/>
          </w:tcPr>
          <w:p w14:paraId="346B876D"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p>
        </w:tc>
        <w:tc>
          <w:tcPr>
            <w:tcW w:w="904" w:type="dxa"/>
            <w:shd w:val="clear" w:color="auto" w:fill="F7CAAC" w:themeFill="accent2" w:themeFillTint="66"/>
          </w:tcPr>
          <w:p w14:paraId="1C373A84" w14:textId="77777777" w:rsidR="00650370"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Projet</w:t>
            </w:r>
          </w:p>
        </w:tc>
        <w:tc>
          <w:tcPr>
            <w:tcW w:w="1458" w:type="dxa"/>
            <w:shd w:val="clear" w:color="auto" w:fill="C5E0B3" w:themeFill="accent6" w:themeFillTint="66"/>
          </w:tcPr>
          <w:p w14:paraId="0DCC8C3C" w14:textId="31359341" w:rsidR="00650370"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S</w:t>
            </w:r>
            <w:r w:rsidR="00B91EEC">
              <w:rPr>
                <w:rFonts w:ascii="Verdana" w:eastAsia="Times New Roman" w:hAnsi="Verdana" w:cs="Calibri"/>
                <w:b/>
                <w:bCs/>
                <w:color w:val="000000"/>
                <w:sz w:val="20"/>
                <w:szCs w:val="20"/>
              </w:rPr>
              <w:t>G-COI</w:t>
            </w:r>
          </w:p>
        </w:tc>
        <w:tc>
          <w:tcPr>
            <w:tcW w:w="236" w:type="dxa"/>
            <w:shd w:val="clear" w:color="auto" w:fill="D0CECE" w:themeFill="background2" w:themeFillShade="E6"/>
            <w:noWrap/>
            <w:vAlign w:val="center"/>
            <w:hideMark/>
          </w:tcPr>
          <w:p w14:paraId="7B2C88B3"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Total</w:t>
            </w:r>
          </w:p>
        </w:tc>
      </w:tr>
      <w:tr w:rsidR="00650370" w:rsidRPr="00C0416F" w14:paraId="6B0DFE35" w14:textId="77777777" w:rsidTr="00D14D1D">
        <w:trPr>
          <w:trHeight w:val="300"/>
        </w:trPr>
        <w:tc>
          <w:tcPr>
            <w:tcW w:w="1285" w:type="dxa"/>
            <w:vMerge w:val="restart"/>
            <w:vAlign w:val="center"/>
          </w:tcPr>
          <w:p w14:paraId="6E8EEB94"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sidRPr="00570EFF">
              <w:rPr>
                <w:rFonts w:ascii="Verdana" w:hAnsi="Verdana" w:cs="Calibri"/>
                <w:color w:val="000000"/>
                <w:sz w:val="20"/>
                <w:szCs w:val="20"/>
              </w:rPr>
              <w:t>Contrat COI employés</w:t>
            </w:r>
          </w:p>
        </w:tc>
        <w:tc>
          <w:tcPr>
            <w:tcW w:w="822" w:type="dxa"/>
            <w:vAlign w:val="center"/>
          </w:tcPr>
          <w:p w14:paraId="7BF0718A" w14:textId="77777777" w:rsidR="00650370" w:rsidRPr="00C0416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SG</w:t>
            </w:r>
          </w:p>
        </w:tc>
        <w:tc>
          <w:tcPr>
            <w:tcW w:w="904" w:type="dxa"/>
            <w:vAlign w:val="center"/>
          </w:tcPr>
          <w:p w14:paraId="5240C72C" w14:textId="77777777" w:rsidR="00650370"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0</w:t>
            </w:r>
          </w:p>
        </w:tc>
        <w:tc>
          <w:tcPr>
            <w:tcW w:w="1458" w:type="dxa"/>
            <w:vAlign w:val="center"/>
          </w:tcPr>
          <w:p w14:paraId="1A25CF8F" w14:textId="77777777" w:rsidR="00650370"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c>
          <w:tcPr>
            <w:tcW w:w="236" w:type="dxa"/>
            <w:shd w:val="clear" w:color="auto" w:fill="D0CECE" w:themeFill="background2" w:themeFillShade="E6"/>
            <w:noWrap/>
            <w:vAlign w:val="center"/>
          </w:tcPr>
          <w:p w14:paraId="37985BFE" w14:textId="77777777" w:rsidR="00650370" w:rsidRPr="00C0416F"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1</w:t>
            </w:r>
          </w:p>
        </w:tc>
      </w:tr>
      <w:tr w:rsidR="00650370" w:rsidRPr="00570EFF" w14:paraId="1DFA791A" w14:textId="77777777" w:rsidTr="00D14D1D">
        <w:trPr>
          <w:trHeight w:val="300"/>
        </w:trPr>
        <w:tc>
          <w:tcPr>
            <w:tcW w:w="1285" w:type="dxa"/>
            <w:vMerge/>
            <w:vAlign w:val="center"/>
          </w:tcPr>
          <w:p w14:paraId="12DE166A" w14:textId="77777777" w:rsidR="00650370" w:rsidRPr="00570EFF" w:rsidRDefault="00650370" w:rsidP="00367777">
            <w:pPr>
              <w:spacing w:after="0" w:line="240" w:lineRule="auto"/>
              <w:jc w:val="both"/>
              <w:rPr>
                <w:rFonts w:ascii="Verdana" w:hAnsi="Verdana" w:cs="Calibri"/>
                <w:color w:val="000000"/>
                <w:sz w:val="20"/>
                <w:szCs w:val="20"/>
              </w:rPr>
            </w:pPr>
          </w:p>
        </w:tc>
        <w:tc>
          <w:tcPr>
            <w:tcW w:w="822" w:type="dxa"/>
          </w:tcPr>
          <w:p w14:paraId="6D0EAE5B"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CP</w:t>
            </w:r>
          </w:p>
        </w:tc>
        <w:tc>
          <w:tcPr>
            <w:tcW w:w="904" w:type="dxa"/>
            <w:vAlign w:val="center"/>
          </w:tcPr>
          <w:p w14:paraId="6743CEB2" w14:textId="77777777" w:rsidR="00650370"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4</w:t>
            </w:r>
          </w:p>
        </w:tc>
        <w:tc>
          <w:tcPr>
            <w:tcW w:w="1458" w:type="dxa"/>
            <w:vAlign w:val="center"/>
          </w:tcPr>
          <w:p w14:paraId="2F5D6366" w14:textId="69F6301A" w:rsidR="00650370" w:rsidRDefault="619EE8CF" w:rsidP="00D14D1D">
            <w:pPr>
              <w:spacing w:after="0" w:line="240" w:lineRule="auto"/>
              <w:jc w:val="center"/>
              <w:rPr>
                <w:rFonts w:ascii="Verdana" w:hAnsi="Verdana" w:cs="Calibri"/>
                <w:color w:val="000000"/>
                <w:sz w:val="20"/>
                <w:szCs w:val="20"/>
              </w:rPr>
            </w:pPr>
            <w:r w:rsidRPr="2D9ED7F2">
              <w:rPr>
                <w:rFonts w:ascii="Verdana" w:hAnsi="Verdana" w:cs="Calibri"/>
                <w:color w:val="000000" w:themeColor="text1"/>
                <w:sz w:val="20"/>
                <w:szCs w:val="20"/>
              </w:rPr>
              <w:t>8</w:t>
            </w:r>
          </w:p>
        </w:tc>
        <w:tc>
          <w:tcPr>
            <w:tcW w:w="236" w:type="dxa"/>
            <w:shd w:val="clear" w:color="auto" w:fill="D0CECE" w:themeFill="background2" w:themeFillShade="E6"/>
            <w:noWrap/>
            <w:vAlign w:val="center"/>
          </w:tcPr>
          <w:p w14:paraId="2CBB06A3" w14:textId="73DD0331" w:rsidR="00650370" w:rsidRPr="00570EFF" w:rsidRDefault="5853A96C" w:rsidP="00D14D1D">
            <w:pPr>
              <w:spacing w:after="0" w:line="240" w:lineRule="auto"/>
              <w:jc w:val="center"/>
              <w:rPr>
                <w:rFonts w:ascii="Verdana" w:hAnsi="Verdana" w:cs="Calibri"/>
                <w:color w:val="000000"/>
                <w:sz w:val="20"/>
                <w:szCs w:val="20"/>
              </w:rPr>
            </w:pPr>
            <w:r w:rsidRPr="2D9ED7F2">
              <w:rPr>
                <w:rFonts w:ascii="Verdana" w:hAnsi="Verdana" w:cs="Calibri"/>
                <w:color w:val="000000" w:themeColor="text1"/>
                <w:sz w:val="20"/>
                <w:szCs w:val="20"/>
              </w:rPr>
              <w:t>1</w:t>
            </w:r>
            <w:r w:rsidR="63859032" w:rsidRPr="2D9ED7F2">
              <w:rPr>
                <w:rFonts w:ascii="Verdana" w:hAnsi="Verdana" w:cs="Calibri"/>
                <w:color w:val="000000" w:themeColor="text1"/>
                <w:sz w:val="20"/>
                <w:szCs w:val="20"/>
              </w:rPr>
              <w:t>2</w:t>
            </w:r>
          </w:p>
        </w:tc>
      </w:tr>
      <w:tr w:rsidR="00650370" w:rsidRPr="00570EFF" w14:paraId="070D3ED4" w14:textId="77777777" w:rsidTr="00D14D1D">
        <w:trPr>
          <w:trHeight w:val="300"/>
        </w:trPr>
        <w:tc>
          <w:tcPr>
            <w:tcW w:w="1285" w:type="dxa"/>
            <w:vMerge/>
          </w:tcPr>
          <w:p w14:paraId="2D04A4C7" w14:textId="77777777" w:rsidR="00650370" w:rsidRPr="00570EFF" w:rsidRDefault="00650370" w:rsidP="00367777">
            <w:pPr>
              <w:spacing w:after="0" w:line="240" w:lineRule="auto"/>
              <w:jc w:val="both"/>
              <w:rPr>
                <w:rFonts w:ascii="Verdana" w:hAnsi="Verdana" w:cs="Calibri"/>
                <w:color w:val="000000"/>
                <w:sz w:val="20"/>
                <w:szCs w:val="20"/>
              </w:rPr>
            </w:pPr>
          </w:p>
        </w:tc>
        <w:tc>
          <w:tcPr>
            <w:tcW w:w="822" w:type="dxa"/>
          </w:tcPr>
          <w:p w14:paraId="263220F7"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CI</w:t>
            </w:r>
          </w:p>
        </w:tc>
        <w:tc>
          <w:tcPr>
            <w:tcW w:w="904" w:type="dxa"/>
            <w:vAlign w:val="center"/>
          </w:tcPr>
          <w:p w14:paraId="6C275FD2" w14:textId="7A2DFE9B" w:rsidR="00650370" w:rsidRDefault="647E2787" w:rsidP="00D14D1D">
            <w:pPr>
              <w:spacing w:after="0" w:line="240" w:lineRule="auto"/>
              <w:jc w:val="center"/>
              <w:rPr>
                <w:rFonts w:ascii="Verdana" w:hAnsi="Verdana" w:cs="Calibri"/>
                <w:color w:val="000000"/>
                <w:sz w:val="20"/>
                <w:szCs w:val="20"/>
              </w:rPr>
            </w:pPr>
            <w:r w:rsidRPr="2D9ED7F2">
              <w:rPr>
                <w:rFonts w:ascii="Verdana" w:hAnsi="Verdana" w:cs="Calibri"/>
                <w:color w:val="000000" w:themeColor="text1"/>
                <w:sz w:val="20"/>
                <w:szCs w:val="20"/>
              </w:rPr>
              <w:t>1</w:t>
            </w:r>
            <w:r w:rsidR="40BBC2DE" w:rsidRPr="2D9ED7F2">
              <w:rPr>
                <w:rFonts w:ascii="Verdana" w:hAnsi="Verdana" w:cs="Calibri"/>
                <w:color w:val="000000" w:themeColor="text1"/>
                <w:sz w:val="20"/>
                <w:szCs w:val="20"/>
              </w:rPr>
              <w:t>8</w:t>
            </w:r>
          </w:p>
        </w:tc>
        <w:tc>
          <w:tcPr>
            <w:tcW w:w="1458" w:type="dxa"/>
            <w:vAlign w:val="center"/>
          </w:tcPr>
          <w:p w14:paraId="3D93EF0E" w14:textId="7E71D285" w:rsidR="00650370" w:rsidRDefault="5853A96C" w:rsidP="00D14D1D">
            <w:pPr>
              <w:spacing w:after="0" w:line="240" w:lineRule="auto"/>
              <w:jc w:val="center"/>
              <w:rPr>
                <w:rFonts w:ascii="Verdana" w:hAnsi="Verdana" w:cs="Calibri"/>
                <w:color w:val="000000"/>
                <w:sz w:val="20"/>
                <w:szCs w:val="20"/>
              </w:rPr>
            </w:pPr>
            <w:r w:rsidRPr="2D9ED7F2">
              <w:rPr>
                <w:rFonts w:ascii="Verdana" w:hAnsi="Verdana" w:cs="Calibri"/>
                <w:color w:val="000000" w:themeColor="text1"/>
                <w:sz w:val="20"/>
                <w:szCs w:val="20"/>
              </w:rPr>
              <w:t>1</w:t>
            </w:r>
            <w:r w:rsidR="0DE66FFE" w:rsidRPr="2D9ED7F2">
              <w:rPr>
                <w:rFonts w:ascii="Verdana" w:hAnsi="Verdana" w:cs="Calibri"/>
                <w:color w:val="000000" w:themeColor="text1"/>
                <w:sz w:val="20"/>
                <w:szCs w:val="20"/>
              </w:rPr>
              <w:t>5</w:t>
            </w:r>
          </w:p>
        </w:tc>
        <w:tc>
          <w:tcPr>
            <w:tcW w:w="236" w:type="dxa"/>
            <w:shd w:val="clear" w:color="auto" w:fill="D0CECE" w:themeFill="background2" w:themeFillShade="E6"/>
            <w:noWrap/>
            <w:vAlign w:val="center"/>
          </w:tcPr>
          <w:p w14:paraId="6F46B7FC" w14:textId="6D91AA4A" w:rsidR="00650370" w:rsidRPr="00570EFF" w:rsidRDefault="0DE66FFE" w:rsidP="00D14D1D">
            <w:pPr>
              <w:spacing w:after="0" w:line="240" w:lineRule="auto"/>
              <w:jc w:val="center"/>
            </w:pPr>
            <w:r w:rsidRPr="2D9ED7F2">
              <w:rPr>
                <w:rFonts w:ascii="Verdana" w:hAnsi="Verdana" w:cs="Calibri"/>
                <w:color w:val="000000" w:themeColor="text1"/>
                <w:sz w:val="20"/>
                <w:szCs w:val="20"/>
              </w:rPr>
              <w:t>33</w:t>
            </w:r>
          </w:p>
        </w:tc>
      </w:tr>
      <w:tr w:rsidR="00650370" w:rsidRPr="00570EFF" w14:paraId="33EEE93A" w14:textId="77777777" w:rsidTr="00D14D1D">
        <w:trPr>
          <w:trHeight w:val="300"/>
        </w:trPr>
        <w:tc>
          <w:tcPr>
            <w:tcW w:w="1285" w:type="dxa"/>
            <w:vMerge/>
            <w:hideMark/>
          </w:tcPr>
          <w:p w14:paraId="222FFD4B" w14:textId="77777777" w:rsidR="00650370" w:rsidRPr="00570EFF" w:rsidRDefault="00650370" w:rsidP="00367777">
            <w:pPr>
              <w:spacing w:after="0" w:line="240" w:lineRule="auto"/>
              <w:jc w:val="both"/>
              <w:rPr>
                <w:rFonts w:ascii="Verdana" w:eastAsia="Times New Roman" w:hAnsi="Verdana" w:cs="Calibri"/>
                <w:color w:val="000000"/>
                <w:sz w:val="20"/>
                <w:szCs w:val="20"/>
              </w:rPr>
            </w:pPr>
          </w:p>
        </w:tc>
        <w:tc>
          <w:tcPr>
            <w:tcW w:w="822" w:type="dxa"/>
          </w:tcPr>
          <w:p w14:paraId="2614FB84"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PB/PA</w:t>
            </w:r>
          </w:p>
        </w:tc>
        <w:tc>
          <w:tcPr>
            <w:tcW w:w="904" w:type="dxa"/>
            <w:vAlign w:val="center"/>
          </w:tcPr>
          <w:p w14:paraId="0E01C58E" w14:textId="126F3226" w:rsidR="00650370" w:rsidRDefault="42CC4454" w:rsidP="00D14D1D">
            <w:pPr>
              <w:spacing w:after="0" w:line="240" w:lineRule="auto"/>
              <w:jc w:val="center"/>
            </w:pPr>
            <w:r w:rsidRPr="2D9ED7F2">
              <w:rPr>
                <w:rFonts w:ascii="Verdana" w:hAnsi="Verdana" w:cs="Calibri"/>
                <w:color w:val="000000" w:themeColor="text1"/>
                <w:sz w:val="20"/>
                <w:szCs w:val="20"/>
              </w:rPr>
              <w:t>1</w:t>
            </w:r>
          </w:p>
        </w:tc>
        <w:tc>
          <w:tcPr>
            <w:tcW w:w="1458" w:type="dxa"/>
            <w:vAlign w:val="center"/>
          </w:tcPr>
          <w:p w14:paraId="7504A0D0" w14:textId="04B1F666" w:rsidR="00650370" w:rsidRDefault="42CC4454" w:rsidP="00D14D1D">
            <w:pPr>
              <w:spacing w:after="0" w:line="240" w:lineRule="auto"/>
              <w:jc w:val="center"/>
            </w:pPr>
            <w:r w:rsidRPr="2D9ED7F2">
              <w:rPr>
                <w:rFonts w:ascii="Verdana" w:hAnsi="Verdana" w:cs="Calibri"/>
                <w:color w:val="000000" w:themeColor="text1"/>
                <w:sz w:val="20"/>
                <w:szCs w:val="20"/>
              </w:rPr>
              <w:t>19</w:t>
            </w:r>
          </w:p>
        </w:tc>
        <w:tc>
          <w:tcPr>
            <w:tcW w:w="236" w:type="dxa"/>
            <w:shd w:val="clear" w:color="auto" w:fill="D0CECE" w:themeFill="background2" w:themeFillShade="E6"/>
            <w:noWrap/>
            <w:vAlign w:val="center"/>
            <w:hideMark/>
          </w:tcPr>
          <w:p w14:paraId="4D9A4FA9" w14:textId="2DDA1648" w:rsidR="00650370" w:rsidRPr="00570EFF" w:rsidRDefault="00ED71F6" w:rsidP="00D14D1D">
            <w:pPr>
              <w:spacing w:after="0" w:line="240" w:lineRule="auto"/>
              <w:jc w:val="center"/>
              <w:rPr>
                <w:rFonts w:ascii="Verdana" w:eastAsia="Times New Roman" w:hAnsi="Verdana" w:cs="Calibri"/>
                <w:color w:val="000000"/>
                <w:sz w:val="20"/>
                <w:szCs w:val="20"/>
              </w:rPr>
            </w:pPr>
            <w:r>
              <w:rPr>
                <w:rFonts w:ascii="Verdana" w:hAnsi="Verdana" w:cs="Calibri"/>
                <w:color w:val="000000"/>
                <w:sz w:val="20"/>
                <w:szCs w:val="20"/>
              </w:rPr>
              <w:t>20</w:t>
            </w:r>
          </w:p>
        </w:tc>
      </w:tr>
      <w:tr w:rsidR="00650370" w:rsidRPr="00570EFF" w14:paraId="612B6337" w14:textId="77777777" w:rsidTr="00D14D1D">
        <w:trPr>
          <w:trHeight w:val="300"/>
        </w:trPr>
        <w:tc>
          <w:tcPr>
            <w:tcW w:w="2107" w:type="dxa"/>
            <w:gridSpan w:val="2"/>
            <w:hideMark/>
          </w:tcPr>
          <w:p w14:paraId="6F761FF2"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Consultants en contrat COI</w:t>
            </w:r>
          </w:p>
        </w:tc>
        <w:tc>
          <w:tcPr>
            <w:tcW w:w="904" w:type="dxa"/>
            <w:vAlign w:val="center"/>
          </w:tcPr>
          <w:p w14:paraId="21B48ADD" w14:textId="77777777" w:rsidR="00650370"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5</w:t>
            </w:r>
          </w:p>
        </w:tc>
        <w:tc>
          <w:tcPr>
            <w:tcW w:w="1458" w:type="dxa"/>
            <w:vAlign w:val="center"/>
          </w:tcPr>
          <w:p w14:paraId="2640152E" w14:textId="0ECB4232" w:rsidR="00650370" w:rsidRDefault="376D25D8" w:rsidP="00D14D1D">
            <w:pPr>
              <w:spacing w:after="0" w:line="240" w:lineRule="auto"/>
              <w:jc w:val="center"/>
            </w:pPr>
            <w:r w:rsidRPr="2D9ED7F2">
              <w:rPr>
                <w:rFonts w:ascii="Verdana" w:hAnsi="Verdana" w:cs="Calibri"/>
                <w:color w:val="000000" w:themeColor="text1"/>
                <w:sz w:val="20"/>
                <w:szCs w:val="20"/>
              </w:rPr>
              <w:t>5</w:t>
            </w:r>
          </w:p>
        </w:tc>
        <w:tc>
          <w:tcPr>
            <w:tcW w:w="236" w:type="dxa"/>
            <w:shd w:val="clear" w:color="auto" w:fill="D0CECE" w:themeFill="background2" w:themeFillShade="E6"/>
            <w:noWrap/>
            <w:vAlign w:val="center"/>
            <w:hideMark/>
          </w:tcPr>
          <w:p w14:paraId="037957D6" w14:textId="0C09F2BC" w:rsidR="00650370" w:rsidRPr="00570EFF" w:rsidRDefault="376D25D8" w:rsidP="00D14D1D">
            <w:pPr>
              <w:spacing w:after="0" w:line="240" w:lineRule="auto"/>
              <w:jc w:val="center"/>
            </w:pPr>
            <w:r w:rsidRPr="2D9ED7F2">
              <w:rPr>
                <w:rFonts w:ascii="Verdana" w:hAnsi="Verdana" w:cs="Calibri"/>
                <w:color w:val="000000" w:themeColor="text1"/>
                <w:sz w:val="20"/>
                <w:szCs w:val="20"/>
              </w:rPr>
              <w:t>10</w:t>
            </w:r>
          </w:p>
        </w:tc>
      </w:tr>
      <w:tr w:rsidR="00650370" w:rsidRPr="00570EFF" w14:paraId="1B379D1C" w14:textId="77777777" w:rsidTr="00D14D1D">
        <w:trPr>
          <w:trHeight w:val="315"/>
        </w:trPr>
        <w:tc>
          <w:tcPr>
            <w:tcW w:w="2107" w:type="dxa"/>
            <w:gridSpan w:val="2"/>
            <w:hideMark/>
          </w:tcPr>
          <w:p w14:paraId="588A10D7"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Assistant Technique</w:t>
            </w:r>
          </w:p>
        </w:tc>
        <w:tc>
          <w:tcPr>
            <w:tcW w:w="904" w:type="dxa"/>
            <w:vAlign w:val="center"/>
          </w:tcPr>
          <w:p w14:paraId="43B4FC78" w14:textId="11CF081E" w:rsidR="00650370" w:rsidRDefault="4265FB9C" w:rsidP="00D14D1D">
            <w:pPr>
              <w:spacing w:after="0" w:line="240" w:lineRule="auto"/>
              <w:jc w:val="center"/>
            </w:pPr>
            <w:r w:rsidRPr="2D9ED7F2">
              <w:rPr>
                <w:rFonts w:ascii="Verdana" w:hAnsi="Verdana" w:cs="Calibri"/>
                <w:color w:val="000000" w:themeColor="text1"/>
                <w:sz w:val="20"/>
                <w:szCs w:val="20"/>
              </w:rPr>
              <w:t>18</w:t>
            </w:r>
          </w:p>
        </w:tc>
        <w:tc>
          <w:tcPr>
            <w:tcW w:w="1458" w:type="dxa"/>
            <w:vAlign w:val="center"/>
          </w:tcPr>
          <w:p w14:paraId="114664CF" w14:textId="0B6ADFF2" w:rsidR="00650370" w:rsidRDefault="4265FB9C" w:rsidP="00D14D1D">
            <w:pPr>
              <w:spacing w:after="0" w:line="240" w:lineRule="auto"/>
              <w:jc w:val="center"/>
            </w:pPr>
            <w:r w:rsidRPr="2D9ED7F2">
              <w:rPr>
                <w:rFonts w:ascii="Verdana" w:hAnsi="Verdana" w:cs="Calibri"/>
                <w:color w:val="000000" w:themeColor="text1"/>
                <w:sz w:val="20"/>
                <w:szCs w:val="20"/>
              </w:rPr>
              <w:t>2</w:t>
            </w:r>
          </w:p>
        </w:tc>
        <w:tc>
          <w:tcPr>
            <w:tcW w:w="236" w:type="dxa"/>
            <w:shd w:val="clear" w:color="auto" w:fill="D0CECE" w:themeFill="background2" w:themeFillShade="E6"/>
            <w:noWrap/>
            <w:vAlign w:val="center"/>
            <w:hideMark/>
          </w:tcPr>
          <w:p w14:paraId="54960B2D" w14:textId="632C0EE8" w:rsidR="00650370" w:rsidRPr="00570EFF" w:rsidRDefault="00ED71F6" w:rsidP="00D14D1D">
            <w:pPr>
              <w:spacing w:after="0" w:line="240" w:lineRule="auto"/>
              <w:jc w:val="center"/>
              <w:rPr>
                <w:rFonts w:ascii="Verdana" w:eastAsia="Times New Roman" w:hAnsi="Verdana" w:cs="Calibri"/>
                <w:color w:val="000000"/>
                <w:sz w:val="20"/>
                <w:szCs w:val="20"/>
              </w:rPr>
            </w:pPr>
            <w:r>
              <w:rPr>
                <w:rFonts w:ascii="Verdana" w:hAnsi="Verdana" w:cs="Calibri"/>
                <w:color w:val="000000"/>
                <w:sz w:val="20"/>
                <w:szCs w:val="20"/>
              </w:rPr>
              <w:t>20</w:t>
            </w:r>
          </w:p>
        </w:tc>
      </w:tr>
      <w:tr w:rsidR="00650370" w:rsidRPr="00570EFF" w14:paraId="2D08D20D" w14:textId="77777777" w:rsidTr="00D14D1D">
        <w:trPr>
          <w:trHeight w:val="300"/>
        </w:trPr>
        <w:tc>
          <w:tcPr>
            <w:tcW w:w="2107" w:type="dxa"/>
            <w:gridSpan w:val="2"/>
          </w:tcPr>
          <w:p w14:paraId="3F92F3E5"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Mise à disposition</w:t>
            </w:r>
          </w:p>
        </w:tc>
        <w:tc>
          <w:tcPr>
            <w:tcW w:w="904" w:type="dxa"/>
            <w:vAlign w:val="center"/>
          </w:tcPr>
          <w:p w14:paraId="03A35EED" w14:textId="6295199C" w:rsidR="00650370" w:rsidRDefault="58899CB2" w:rsidP="00D14D1D">
            <w:pPr>
              <w:spacing w:after="0" w:line="240" w:lineRule="auto"/>
              <w:jc w:val="center"/>
            </w:pPr>
            <w:r w:rsidRPr="2D9ED7F2">
              <w:rPr>
                <w:rFonts w:ascii="Verdana" w:hAnsi="Verdana" w:cs="Calibri"/>
                <w:color w:val="000000" w:themeColor="text1"/>
                <w:sz w:val="20"/>
                <w:szCs w:val="20"/>
              </w:rPr>
              <w:t>4</w:t>
            </w:r>
          </w:p>
        </w:tc>
        <w:tc>
          <w:tcPr>
            <w:tcW w:w="1458" w:type="dxa"/>
            <w:vAlign w:val="center"/>
          </w:tcPr>
          <w:p w14:paraId="2D7D6F8F" w14:textId="642ECA61" w:rsidR="00650370" w:rsidRDefault="00745652"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2</w:t>
            </w:r>
          </w:p>
        </w:tc>
        <w:tc>
          <w:tcPr>
            <w:tcW w:w="236" w:type="dxa"/>
            <w:shd w:val="clear" w:color="auto" w:fill="D0CECE" w:themeFill="background2" w:themeFillShade="E6"/>
            <w:noWrap/>
            <w:vAlign w:val="center"/>
          </w:tcPr>
          <w:p w14:paraId="402D8309" w14:textId="2B9232AC" w:rsidR="00650370" w:rsidRPr="00570EFF" w:rsidRDefault="45352666" w:rsidP="00D14D1D">
            <w:pPr>
              <w:spacing w:after="0" w:line="240" w:lineRule="auto"/>
              <w:jc w:val="center"/>
            </w:pPr>
            <w:r w:rsidRPr="2D9ED7F2">
              <w:rPr>
                <w:rFonts w:ascii="Verdana" w:hAnsi="Verdana" w:cs="Calibri"/>
                <w:color w:val="000000" w:themeColor="text1"/>
                <w:sz w:val="20"/>
                <w:szCs w:val="20"/>
              </w:rPr>
              <w:t>6</w:t>
            </w:r>
          </w:p>
        </w:tc>
      </w:tr>
      <w:tr w:rsidR="00650370" w14:paraId="784B5502" w14:textId="77777777" w:rsidTr="00D14D1D">
        <w:trPr>
          <w:trHeight w:val="315"/>
        </w:trPr>
        <w:tc>
          <w:tcPr>
            <w:tcW w:w="2107" w:type="dxa"/>
            <w:gridSpan w:val="2"/>
          </w:tcPr>
          <w:p w14:paraId="466F1823"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VSI</w:t>
            </w:r>
          </w:p>
        </w:tc>
        <w:tc>
          <w:tcPr>
            <w:tcW w:w="904" w:type="dxa"/>
            <w:vAlign w:val="center"/>
          </w:tcPr>
          <w:p w14:paraId="2EFDC145" w14:textId="77777777" w:rsidR="00650370" w:rsidRDefault="00650370" w:rsidP="00D14D1D">
            <w:pPr>
              <w:spacing w:after="0" w:line="240" w:lineRule="auto"/>
              <w:jc w:val="center"/>
              <w:rPr>
                <w:rFonts w:ascii="Verdana" w:hAnsi="Verdana" w:cs="Calibri"/>
                <w:color w:val="000000"/>
                <w:sz w:val="20"/>
                <w:szCs w:val="20"/>
              </w:rPr>
            </w:pPr>
            <w:r>
              <w:rPr>
                <w:rFonts w:ascii="Verdana" w:hAnsi="Verdana" w:cs="Calibri"/>
                <w:color w:val="000000"/>
                <w:sz w:val="20"/>
                <w:szCs w:val="20"/>
              </w:rPr>
              <w:t>0</w:t>
            </w:r>
          </w:p>
        </w:tc>
        <w:tc>
          <w:tcPr>
            <w:tcW w:w="1458" w:type="dxa"/>
            <w:vAlign w:val="center"/>
          </w:tcPr>
          <w:p w14:paraId="57EC43A4" w14:textId="3FA61C0E" w:rsidR="00650370" w:rsidRDefault="64B24A94" w:rsidP="00D14D1D">
            <w:pPr>
              <w:spacing w:after="0" w:line="240" w:lineRule="auto"/>
              <w:jc w:val="center"/>
            </w:pPr>
            <w:r w:rsidRPr="2D9ED7F2">
              <w:rPr>
                <w:rFonts w:ascii="Verdana" w:hAnsi="Verdana" w:cs="Calibri"/>
                <w:color w:val="000000" w:themeColor="text1"/>
                <w:sz w:val="20"/>
                <w:szCs w:val="20"/>
              </w:rPr>
              <w:t>4</w:t>
            </w:r>
          </w:p>
        </w:tc>
        <w:tc>
          <w:tcPr>
            <w:tcW w:w="236" w:type="dxa"/>
            <w:shd w:val="clear" w:color="auto" w:fill="D0CECE" w:themeFill="background2" w:themeFillShade="E6"/>
            <w:noWrap/>
            <w:vAlign w:val="center"/>
          </w:tcPr>
          <w:p w14:paraId="1DEBC0AC" w14:textId="1B100098" w:rsidR="00650370" w:rsidRDefault="64B24A94" w:rsidP="00D14D1D">
            <w:pPr>
              <w:spacing w:after="0" w:line="240" w:lineRule="auto"/>
              <w:jc w:val="center"/>
            </w:pPr>
            <w:r w:rsidRPr="2D9ED7F2">
              <w:rPr>
                <w:rFonts w:ascii="Verdana" w:hAnsi="Verdana" w:cs="Calibri"/>
                <w:color w:val="000000" w:themeColor="text1"/>
                <w:sz w:val="20"/>
                <w:szCs w:val="20"/>
              </w:rPr>
              <w:t>4</w:t>
            </w:r>
          </w:p>
        </w:tc>
      </w:tr>
      <w:tr w:rsidR="00650370" w:rsidRPr="007D201A" w14:paraId="5E8C5910" w14:textId="77777777" w:rsidTr="00D14D1D">
        <w:trPr>
          <w:trHeight w:val="315"/>
        </w:trPr>
        <w:tc>
          <w:tcPr>
            <w:tcW w:w="2107" w:type="dxa"/>
            <w:gridSpan w:val="2"/>
            <w:shd w:val="clear" w:color="auto" w:fill="D0CECE" w:themeFill="background2" w:themeFillShade="E6"/>
            <w:vAlign w:val="center"/>
          </w:tcPr>
          <w:p w14:paraId="7D091559" w14:textId="77777777" w:rsidR="00650370" w:rsidRPr="00D14D1D" w:rsidRDefault="00650370" w:rsidP="00367777">
            <w:pPr>
              <w:spacing w:after="0" w:line="240" w:lineRule="auto"/>
              <w:jc w:val="both"/>
              <w:rPr>
                <w:rFonts w:ascii="Verdana" w:hAnsi="Verdana" w:cs="Calibri"/>
                <w:b/>
                <w:bCs/>
                <w:color w:val="000000"/>
                <w:sz w:val="16"/>
                <w:szCs w:val="16"/>
              </w:rPr>
            </w:pPr>
            <w:r w:rsidRPr="00D14D1D">
              <w:rPr>
                <w:rFonts w:ascii="Verdana" w:hAnsi="Verdana" w:cs="Calibri"/>
                <w:b/>
                <w:bCs/>
                <w:color w:val="000000"/>
                <w:sz w:val="16"/>
                <w:szCs w:val="16"/>
              </w:rPr>
              <w:t>TOTAL des effectifs</w:t>
            </w:r>
          </w:p>
        </w:tc>
        <w:tc>
          <w:tcPr>
            <w:tcW w:w="904" w:type="dxa"/>
            <w:shd w:val="clear" w:color="auto" w:fill="D0CECE" w:themeFill="background2" w:themeFillShade="E6"/>
            <w:vAlign w:val="center"/>
          </w:tcPr>
          <w:p w14:paraId="6084FFA0" w14:textId="6FF21228" w:rsidR="00650370" w:rsidRDefault="00BB314F" w:rsidP="00D14D1D">
            <w:pPr>
              <w:spacing w:after="0" w:line="240" w:lineRule="auto"/>
              <w:jc w:val="center"/>
              <w:rPr>
                <w:rFonts w:ascii="Verdana" w:hAnsi="Verdana" w:cs="Calibri"/>
                <w:b/>
                <w:bCs/>
                <w:color w:val="000000"/>
                <w:sz w:val="24"/>
                <w:szCs w:val="24"/>
              </w:rPr>
            </w:pPr>
            <w:r>
              <w:rPr>
                <w:rFonts w:ascii="Verdana" w:hAnsi="Verdana" w:cs="Calibri"/>
                <w:b/>
                <w:bCs/>
                <w:color w:val="000000"/>
                <w:sz w:val="24"/>
                <w:szCs w:val="24"/>
              </w:rPr>
              <w:t>50</w:t>
            </w:r>
          </w:p>
        </w:tc>
        <w:tc>
          <w:tcPr>
            <w:tcW w:w="1458" w:type="dxa"/>
            <w:shd w:val="clear" w:color="auto" w:fill="D0CECE" w:themeFill="background2" w:themeFillShade="E6"/>
            <w:vAlign w:val="center"/>
          </w:tcPr>
          <w:p w14:paraId="694F868C" w14:textId="2A3C181B" w:rsidR="00650370" w:rsidRDefault="51F21B43" w:rsidP="00D14D1D">
            <w:pPr>
              <w:spacing w:after="0" w:line="240" w:lineRule="auto"/>
              <w:jc w:val="center"/>
              <w:rPr>
                <w:rFonts w:ascii="Verdana" w:hAnsi="Verdana" w:cs="Calibri"/>
                <w:b/>
                <w:bCs/>
                <w:color w:val="000000"/>
                <w:sz w:val="24"/>
                <w:szCs w:val="24"/>
              </w:rPr>
            </w:pPr>
            <w:r w:rsidRPr="2D9ED7F2">
              <w:rPr>
                <w:rFonts w:ascii="Verdana" w:hAnsi="Verdana" w:cs="Calibri"/>
                <w:b/>
                <w:bCs/>
                <w:color w:val="000000" w:themeColor="text1"/>
                <w:sz w:val="24"/>
                <w:szCs w:val="24"/>
              </w:rPr>
              <w:t>5</w:t>
            </w:r>
            <w:r w:rsidR="7E3AE4E3" w:rsidRPr="2D9ED7F2">
              <w:rPr>
                <w:rFonts w:ascii="Verdana" w:hAnsi="Verdana" w:cs="Calibri"/>
                <w:b/>
                <w:bCs/>
                <w:color w:val="000000" w:themeColor="text1"/>
                <w:sz w:val="24"/>
                <w:szCs w:val="24"/>
              </w:rPr>
              <w:t>6</w:t>
            </w:r>
          </w:p>
        </w:tc>
        <w:tc>
          <w:tcPr>
            <w:tcW w:w="236" w:type="dxa"/>
            <w:shd w:val="clear" w:color="auto" w:fill="D0CECE" w:themeFill="background2" w:themeFillShade="E6"/>
            <w:noWrap/>
            <w:vAlign w:val="center"/>
          </w:tcPr>
          <w:p w14:paraId="2AE99881" w14:textId="346C6463" w:rsidR="00650370" w:rsidRPr="007D201A" w:rsidRDefault="51F21B43" w:rsidP="00D14D1D">
            <w:pPr>
              <w:spacing w:after="0" w:line="240" w:lineRule="auto"/>
              <w:jc w:val="center"/>
              <w:rPr>
                <w:rFonts w:ascii="Verdana" w:hAnsi="Verdana" w:cs="Calibri"/>
                <w:b/>
                <w:bCs/>
                <w:color w:val="000000"/>
                <w:sz w:val="24"/>
                <w:szCs w:val="24"/>
              </w:rPr>
            </w:pPr>
            <w:r w:rsidRPr="2D9ED7F2">
              <w:rPr>
                <w:rFonts w:ascii="Verdana" w:hAnsi="Verdana" w:cs="Calibri"/>
                <w:b/>
                <w:bCs/>
                <w:color w:val="000000" w:themeColor="text1"/>
                <w:sz w:val="24"/>
                <w:szCs w:val="24"/>
              </w:rPr>
              <w:t>10</w:t>
            </w:r>
            <w:r w:rsidR="75734158" w:rsidRPr="2D9ED7F2">
              <w:rPr>
                <w:rFonts w:ascii="Verdana" w:hAnsi="Verdana" w:cs="Calibri"/>
                <w:b/>
                <w:bCs/>
                <w:color w:val="000000" w:themeColor="text1"/>
                <w:sz w:val="24"/>
                <w:szCs w:val="24"/>
              </w:rPr>
              <w:t>6</w:t>
            </w:r>
          </w:p>
        </w:tc>
      </w:tr>
    </w:tbl>
    <w:p w14:paraId="374219F0" w14:textId="77777777" w:rsidR="003953C5" w:rsidRDefault="003953C5" w:rsidP="006B0F69">
      <w:pPr>
        <w:spacing w:after="0" w:line="240" w:lineRule="auto"/>
        <w:jc w:val="both"/>
        <w:rPr>
          <w:rFonts w:ascii="Verdana" w:hAnsi="Verdana"/>
          <w:b/>
          <w:bCs/>
          <w:sz w:val="20"/>
          <w:szCs w:val="20"/>
        </w:rPr>
      </w:pPr>
    </w:p>
    <w:p w14:paraId="7CCEB69C" w14:textId="1735A4B3" w:rsidR="008A1133" w:rsidRDefault="00F51750" w:rsidP="006B0F69">
      <w:pPr>
        <w:spacing w:after="0" w:line="240" w:lineRule="auto"/>
        <w:jc w:val="both"/>
        <w:rPr>
          <w:rFonts w:ascii="Verdana" w:hAnsi="Verdana"/>
          <w:sz w:val="20"/>
          <w:szCs w:val="20"/>
        </w:rPr>
      </w:pPr>
      <w:r w:rsidRPr="003953C5">
        <w:rPr>
          <w:rFonts w:ascii="Verdana" w:hAnsi="Verdana"/>
          <w:b/>
          <w:bCs/>
          <w:sz w:val="20"/>
          <w:szCs w:val="20"/>
        </w:rPr>
        <w:t>R</w:t>
      </w:r>
      <w:r w:rsidR="00676D6F" w:rsidRPr="003953C5">
        <w:rPr>
          <w:rFonts w:ascii="Verdana" w:hAnsi="Verdana"/>
          <w:b/>
          <w:bCs/>
          <w:sz w:val="20"/>
          <w:szCs w:val="20"/>
        </w:rPr>
        <w:t>épartition du personnel</w:t>
      </w:r>
      <w:r w:rsidR="00676D6F">
        <w:rPr>
          <w:rFonts w:ascii="Verdana" w:hAnsi="Verdana"/>
          <w:sz w:val="20"/>
          <w:szCs w:val="20"/>
        </w:rPr>
        <w:t xml:space="preserve"> : </w:t>
      </w:r>
    </w:p>
    <w:p w14:paraId="6EAF2EB2" w14:textId="6D33738E" w:rsidR="0069628B" w:rsidRDefault="0069628B" w:rsidP="006B0F69">
      <w:pPr>
        <w:spacing w:after="0" w:line="240" w:lineRule="auto"/>
        <w:jc w:val="both"/>
        <w:rPr>
          <w:rFonts w:ascii="Verdana" w:hAnsi="Verdana"/>
          <w:sz w:val="20"/>
          <w:szCs w:val="20"/>
        </w:rPr>
      </w:pPr>
    </w:p>
    <w:p w14:paraId="691F81B9" w14:textId="69E50AD1" w:rsidR="0069628B" w:rsidRDefault="003E6B49" w:rsidP="006B0F69">
      <w:pPr>
        <w:spacing w:after="0" w:line="240" w:lineRule="auto"/>
        <w:jc w:val="both"/>
        <w:rPr>
          <w:rFonts w:ascii="Verdana" w:hAnsi="Verdana"/>
          <w:sz w:val="20"/>
          <w:szCs w:val="20"/>
        </w:rPr>
      </w:pPr>
      <w:r>
        <w:rPr>
          <w:noProof/>
        </w:rPr>
        <w:drawing>
          <wp:anchor distT="0" distB="0" distL="114300" distR="114300" simplePos="0" relativeHeight="251658240" behindDoc="0" locked="0" layoutInCell="1" allowOverlap="1" wp14:anchorId="6E5572FD" wp14:editId="6B137A0F">
            <wp:simplePos x="0" y="0"/>
            <wp:positionH relativeFrom="column">
              <wp:posOffset>3225368</wp:posOffset>
            </wp:positionH>
            <wp:positionV relativeFrom="paragraph">
              <wp:posOffset>180873</wp:posOffset>
            </wp:positionV>
            <wp:extent cx="3087014" cy="2062887"/>
            <wp:effectExtent l="0" t="0" r="56515" b="13970"/>
            <wp:wrapSquare wrapText="bothSides"/>
            <wp:docPr id="377099887" name="Chart 1">
              <a:extLst xmlns:a="http://schemas.openxmlformats.org/drawingml/2006/main">
                <a:ext uri="{FF2B5EF4-FFF2-40B4-BE49-F238E27FC236}">
                  <a16:creationId xmlns:a16="http://schemas.microsoft.com/office/drawing/2014/main" id="{31796D7E-B55C-3D23-36A0-807B57F04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6826BC4" w14:textId="0BF79802" w:rsidR="00FA1975" w:rsidRDefault="00FA1975" w:rsidP="006B0F69">
      <w:pPr>
        <w:spacing w:after="0" w:line="240" w:lineRule="auto"/>
        <w:jc w:val="both"/>
        <w:rPr>
          <w:rFonts w:ascii="Verdana" w:hAnsi="Verdana"/>
          <w:sz w:val="20"/>
          <w:szCs w:val="20"/>
        </w:rPr>
      </w:pPr>
    </w:p>
    <w:p w14:paraId="09CF3E01" w14:textId="77777777" w:rsidR="00F44CC3" w:rsidRDefault="00F44CC3" w:rsidP="006B0F69">
      <w:pPr>
        <w:spacing w:after="0" w:line="240" w:lineRule="auto"/>
        <w:jc w:val="both"/>
        <w:rPr>
          <w:rFonts w:ascii="Verdana" w:hAnsi="Verdana"/>
          <w:b/>
          <w:bCs/>
          <w:sz w:val="20"/>
          <w:szCs w:val="20"/>
        </w:rPr>
      </w:pPr>
    </w:p>
    <w:p w14:paraId="7DE3D929" w14:textId="77777777" w:rsidR="00857D2A" w:rsidRDefault="00857D2A" w:rsidP="006B0F69">
      <w:pPr>
        <w:spacing w:after="0" w:line="240" w:lineRule="auto"/>
        <w:jc w:val="both"/>
        <w:rPr>
          <w:rFonts w:ascii="Verdana" w:hAnsi="Verdana"/>
          <w:b/>
          <w:bCs/>
          <w:sz w:val="20"/>
          <w:szCs w:val="20"/>
        </w:rPr>
      </w:pPr>
    </w:p>
    <w:p w14:paraId="27F680EC" w14:textId="3CC26CA8" w:rsidR="008A1133" w:rsidRDefault="00F51750" w:rsidP="006B0F69">
      <w:pPr>
        <w:spacing w:after="0" w:line="240" w:lineRule="auto"/>
        <w:jc w:val="both"/>
        <w:rPr>
          <w:rFonts w:ascii="Verdana" w:hAnsi="Verdana"/>
          <w:sz w:val="20"/>
          <w:szCs w:val="20"/>
        </w:rPr>
      </w:pPr>
      <w:r w:rsidRPr="003953C5">
        <w:rPr>
          <w:rFonts w:ascii="Verdana" w:hAnsi="Verdana"/>
          <w:b/>
          <w:bCs/>
          <w:sz w:val="20"/>
          <w:szCs w:val="20"/>
        </w:rPr>
        <w:t>Répartition géographique des</w:t>
      </w:r>
      <w:r w:rsidR="008A1133" w:rsidRPr="003953C5">
        <w:rPr>
          <w:rFonts w:ascii="Verdana" w:hAnsi="Verdana"/>
          <w:b/>
          <w:bCs/>
          <w:sz w:val="20"/>
          <w:szCs w:val="20"/>
        </w:rPr>
        <w:t xml:space="preserve"> cadres professionnels et intermédiaires à recrutement régional</w:t>
      </w:r>
      <w:r w:rsidR="008A1133">
        <w:rPr>
          <w:rFonts w:ascii="Verdana" w:hAnsi="Verdana"/>
          <w:sz w:val="20"/>
          <w:szCs w:val="20"/>
        </w:rPr>
        <w:t> :</w:t>
      </w:r>
    </w:p>
    <w:p w14:paraId="36BCA538" w14:textId="4A834ACB" w:rsidR="008A1133" w:rsidRDefault="00406B0C"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4</w:t>
      </w:r>
      <w:r w:rsidR="00C43BC2">
        <w:rPr>
          <w:rFonts w:ascii="Verdana" w:hAnsi="Verdana"/>
          <w:sz w:val="20"/>
          <w:szCs w:val="20"/>
        </w:rPr>
        <w:t>2</w:t>
      </w:r>
      <w:r w:rsidRPr="00DA3A4F">
        <w:rPr>
          <w:rFonts w:ascii="Verdana" w:hAnsi="Verdana"/>
          <w:sz w:val="20"/>
          <w:szCs w:val="20"/>
        </w:rPr>
        <w:t xml:space="preserve"> </w:t>
      </w:r>
      <w:r w:rsidR="008A1133" w:rsidRPr="00DA3A4F">
        <w:rPr>
          <w:rFonts w:ascii="Verdana" w:hAnsi="Verdana"/>
          <w:sz w:val="20"/>
          <w:szCs w:val="20"/>
        </w:rPr>
        <w:t xml:space="preserve">% d’agents de nationalité malgache, </w:t>
      </w:r>
    </w:p>
    <w:p w14:paraId="7E1B13C1" w14:textId="59C80382" w:rsidR="008A1133" w:rsidRDefault="009E4014"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27</w:t>
      </w:r>
      <w:r w:rsidR="00406B0C" w:rsidRPr="00DA3A4F">
        <w:rPr>
          <w:rFonts w:ascii="Verdana" w:hAnsi="Verdana"/>
          <w:sz w:val="20"/>
          <w:szCs w:val="20"/>
        </w:rPr>
        <w:t xml:space="preserve"> </w:t>
      </w:r>
      <w:r w:rsidR="008A1133" w:rsidRPr="00DA3A4F">
        <w:rPr>
          <w:rFonts w:ascii="Verdana" w:hAnsi="Verdana"/>
          <w:sz w:val="20"/>
          <w:szCs w:val="20"/>
        </w:rPr>
        <w:t xml:space="preserve">% de nationalité mauricienne, </w:t>
      </w:r>
    </w:p>
    <w:p w14:paraId="6FD1DF14" w14:textId="60E4FF11" w:rsidR="008A1133" w:rsidRDefault="00C43BC2"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13</w:t>
      </w:r>
      <w:r w:rsidR="008D1440">
        <w:rPr>
          <w:rFonts w:ascii="Verdana" w:hAnsi="Verdana"/>
          <w:sz w:val="20"/>
          <w:szCs w:val="20"/>
        </w:rPr>
        <w:t xml:space="preserve"> </w:t>
      </w:r>
      <w:r w:rsidR="008A1133" w:rsidRPr="00DA3A4F">
        <w:rPr>
          <w:rFonts w:ascii="Verdana" w:hAnsi="Verdana"/>
          <w:sz w:val="20"/>
          <w:szCs w:val="20"/>
        </w:rPr>
        <w:t xml:space="preserve">% de nationalité </w:t>
      </w:r>
      <w:r w:rsidR="008A1133">
        <w:rPr>
          <w:rFonts w:ascii="Verdana" w:hAnsi="Verdana"/>
          <w:sz w:val="20"/>
          <w:szCs w:val="20"/>
        </w:rPr>
        <w:t>française</w:t>
      </w:r>
      <w:r w:rsidR="008A1133" w:rsidRPr="00DA3A4F">
        <w:rPr>
          <w:rFonts w:ascii="Verdana" w:hAnsi="Verdana"/>
          <w:sz w:val="20"/>
          <w:szCs w:val="20"/>
        </w:rPr>
        <w:t>,</w:t>
      </w:r>
    </w:p>
    <w:p w14:paraId="6167E7CB" w14:textId="653A5D16" w:rsidR="008A1133" w:rsidRPr="00587A32" w:rsidRDefault="00C43BC2"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13</w:t>
      </w:r>
      <w:r w:rsidR="008D1440" w:rsidRPr="00587A32">
        <w:rPr>
          <w:rFonts w:ascii="Verdana" w:hAnsi="Verdana"/>
          <w:sz w:val="20"/>
          <w:szCs w:val="20"/>
        </w:rPr>
        <w:t xml:space="preserve"> </w:t>
      </w:r>
      <w:r w:rsidR="008A1133" w:rsidRPr="00587A32">
        <w:rPr>
          <w:rFonts w:ascii="Verdana" w:hAnsi="Verdana"/>
          <w:sz w:val="20"/>
          <w:szCs w:val="20"/>
        </w:rPr>
        <w:t xml:space="preserve">% de nationalité comorienne, </w:t>
      </w:r>
    </w:p>
    <w:p w14:paraId="6A343561" w14:textId="4D2BEEB6" w:rsidR="008A1133" w:rsidRPr="00587A32" w:rsidRDefault="00C43BC2"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4</w:t>
      </w:r>
      <w:r w:rsidR="008D1440">
        <w:rPr>
          <w:rFonts w:ascii="Verdana" w:hAnsi="Verdana"/>
          <w:sz w:val="20"/>
          <w:szCs w:val="20"/>
        </w:rPr>
        <w:t xml:space="preserve"> </w:t>
      </w:r>
      <w:r w:rsidR="008A1133" w:rsidRPr="00587A32">
        <w:rPr>
          <w:rFonts w:ascii="Verdana" w:hAnsi="Verdana"/>
          <w:sz w:val="20"/>
          <w:szCs w:val="20"/>
        </w:rPr>
        <w:t xml:space="preserve">% de nationalité seychelloise. </w:t>
      </w:r>
    </w:p>
    <w:p w14:paraId="6FF0B3E2" w14:textId="77777777" w:rsidR="008A1133" w:rsidRDefault="008A1133" w:rsidP="006B0F69">
      <w:pPr>
        <w:spacing w:after="0" w:line="240" w:lineRule="auto"/>
        <w:jc w:val="both"/>
        <w:rPr>
          <w:rFonts w:ascii="Verdana" w:hAnsi="Verdana"/>
          <w:sz w:val="20"/>
          <w:szCs w:val="20"/>
        </w:rPr>
      </w:pPr>
    </w:p>
    <w:p w14:paraId="3F74F934" w14:textId="77777777" w:rsidR="00857D2A" w:rsidRDefault="00857D2A" w:rsidP="006B0F69">
      <w:pPr>
        <w:spacing w:after="0" w:line="240" w:lineRule="auto"/>
        <w:jc w:val="both"/>
        <w:rPr>
          <w:rFonts w:ascii="Verdana" w:hAnsi="Verdana"/>
          <w:sz w:val="20"/>
          <w:szCs w:val="20"/>
        </w:rPr>
      </w:pPr>
    </w:p>
    <w:p w14:paraId="0031E9A7" w14:textId="184F27EA" w:rsidR="008A1133" w:rsidRDefault="008A1133" w:rsidP="006B0F69">
      <w:pPr>
        <w:spacing w:after="0" w:line="240" w:lineRule="auto"/>
        <w:jc w:val="both"/>
        <w:rPr>
          <w:rFonts w:ascii="Verdana" w:hAnsi="Verdana"/>
          <w:sz w:val="20"/>
          <w:szCs w:val="20"/>
        </w:rPr>
      </w:pPr>
      <w:r w:rsidRPr="00284246">
        <w:rPr>
          <w:rFonts w:ascii="Verdana" w:hAnsi="Verdana"/>
          <w:sz w:val="20"/>
          <w:szCs w:val="20"/>
        </w:rPr>
        <w:t xml:space="preserve">Le pourcentage </w:t>
      </w:r>
      <w:r>
        <w:rPr>
          <w:rFonts w:ascii="Verdana" w:hAnsi="Verdana"/>
          <w:sz w:val="20"/>
          <w:szCs w:val="20"/>
        </w:rPr>
        <w:t>de femmes</w:t>
      </w:r>
      <w:r w:rsidRPr="00284246">
        <w:rPr>
          <w:rFonts w:ascii="Verdana" w:hAnsi="Verdana"/>
          <w:sz w:val="20"/>
          <w:szCs w:val="20"/>
        </w:rPr>
        <w:t xml:space="preserve"> parmi l’effectif </w:t>
      </w:r>
      <w:r>
        <w:rPr>
          <w:rFonts w:ascii="Verdana" w:hAnsi="Verdana"/>
          <w:sz w:val="20"/>
          <w:szCs w:val="20"/>
        </w:rPr>
        <w:t xml:space="preserve">total </w:t>
      </w:r>
      <w:r w:rsidRPr="00284246">
        <w:rPr>
          <w:rFonts w:ascii="Verdana" w:hAnsi="Verdana"/>
          <w:sz w:val="20"/>
          <w:szCs w:val="20"/>
        </w:rPr>
        <w:t xml:space="preserve">est de </w:t>
      </w:r>
      <w:r w:rsidR="00247362">
        <w:rPr>
          <w:rFonts w:ascii="Verdana" w:hAnsi="Verdana"/>
          <w:sz w:val="20"/>
          <w:szCs w:val="20"/>
        </w:rPr>
        <w:t>33</w:t>
      </w:r>
      <w:r w:rsidR="0052699E" w:rsidRPr="00284246">
        <w:rPr>
          <w:rFonts w:ascii="Verdana" w:hAnsi="Verdana"/>
          <w:sz w:val="20"/>
          <w:szCs w:val="20"/>
        </w:rPr>
        <w:t xml:space="preserve"> </w:t>
      </w:r>
      <w:r w:rsidRPr="00284246">
        <w:rPr>
          <w:rFonts w:ascii="Verdana" w:hAnsi="Verdana"/>
          <w:sz w:val="20"/>
          <w:szCs w:val="20"/>
        </w:rPr>
        <w:t>% (</w:t>
      </w:r>
      <w:r w:rsidRPr="00284246">
        <w:rPr>
          <w:rFonts w:ascii="Verdana" w:hAnsi="Verdana"/>
          <w:b/>
          <w:bCs/>
          <w:sz w:val="20"/>
          <w:szCs w:val="20"/>
        </w:rPr>
        <w:t xml:space="preserve">Cf.  </w:t>
      </w:r>
      <w:bookmarkStart w:id="1" w:name="_Hlk120897431"/>
      <w:r w:rsidRPr="00284246">
        <w:rPr>
          <w:rFonts w:ascii="Verdana" w:hAnsi="Verdana"/>
          <w:b/>
          <w:bCs/>
          <w:sz w:val="20"/>
          <w:szCs w:val="20"/>
        </w:rPr>
        <w:t>Distribution du personnel par catégorie</w:t>
      </w:r>
      <w:bookmarkEnd w:id="1"/>
      <w:r w:rsidRPr="00284246">
        <w:rPr>
          <w:rFonts w:ascii="Verdana" w:hAnsi="Verdana"/>
          <w:b/>
          <w:bCs/>
          <w:sz w:val="20"/>
          <w:szCs w:val="20"/>
        </w:rPr>
        <w:t>-Annexe 2)</w:t>
      </w:r>
      <w:r w:rsidRPr="00284246">
        <w:rPr>
          <w:rFonts w:ascii="Verdana" w:hAnsi="Verdana"/>
          <w:sz w:val="20"/>
          <w:szCs w:val="20"/>
        </w:rPr>
        <w:t xml:space="preserve">   </w:t>
      </w:r>
    </w:p>
    <w:p w14:paraId="4D05E476" w14:textId="77777777" w:rsidR="003953C5" w:rsidRDefault="003953C5" w:rsidP="006B0F69">
      <w:pPr>
        <w:spacing w:after="0" w:line="240" w:lineRule="auto"/>
        <w:jc w:val="both"/>
        <w:rPr>
          <w:rFonts w:ascii="Verdana" w:hAnsi="Verdana"/>
          <w:sz w:val="20"/>
          <w:szCs w:val="20"/>
        </w:rPr>
      </w:pPr>
    </w:p>
    <w:p w14:paraId="4442B3AC" w14:textId="77777777" w:rsidR="00D14D1D" w:rsidRDefault="00D14D1D" w:rsidP="006B0F69">
      <w:pPr>
        <w:spacing w:after="0" w:line="240" w:lineRule="auto"/>
        <w:jc w:val="both"/>
        <w:rPr>
          <w:rFonts w:ascii="Verdana" w:hAnsi="Verdana"/>
          <w:sz w:val="20"/>
          <w:szCs w:val="20"/>
        </w:rPr>
      </w:pPr>
    </w:p>
    <w:p w14:paraId="19B9F20E" w14:textId="77777777" w:rsidR="00D14D1D" w:rsidRDefault="00D14D1D" w:rsidP="006B0F69">
      <w:pPr>
        <w:spacing w:after="0" w:line="240" w:lineRule="auto"/>
        <w:jc w:val="both"/>
        <w:rPr>
          <w:rFonts w:ascii="Verdana" w:hAnsi="Verdana"/>
          <w:sz w:val="20"/>
          <w:szCs w:val="20"/>
        </w:rPr>
      </w:pPr>
    </w:p>
    <w:p w14:paraId="2EC63232" w14:textId="77777777" w:rsidR="00D14D1D" w:rsidRDefault="00D14D1D" w:rsidP="006B0F69">
      <w:pPr>
        <w:spacing w:after="0" w:line="240" w:lineRule="auto"/>
        <w:jc w:val="both"/>
        <w:rPr>
          <w:rFonts w:ascii="Verdana" w:hAnsi="Verdana"/>
          <w:sz w:val="20"/>
          <w:szCs w:val="20"/>
        </w:rPr>
      </w:pPr>
    </w:p>
    <w:p w14:paraId="4EE8EA7A" w14:textId="77777777" w:rsidR="00D14D1D" w:rsidRDefault="00D14D1D" w:rsidP="006B0F69">
      <w:pPr>
        <w:spacing w:after="0" w:line="240" w:lineRule="auto"/>
        <w:jc w:val="both"/>
        <w:rPr>
          <w:rFonts w:ascii="Verdana" w:hAnsi="Verdana"/>
          <w:sz w:val="20"/>
          <w:szCs w:val="20"/>
        </w:rPr>
      </w:pPr>
    </w:p>
    <w:p w14:paraId="15BC574D" w14:textId="77777777" w:rsidR="00D14D1D" w:rsidRDefault="00D14D1D" w:rsidP="006B0F69">
      <w:pPr>
        <w:spacing w:after="0" w:line="240" w:lineRule="auto"/>
        <w:jc w:val="both"/>
        <w:rPr>
          <w:rFonts w:ascii="Verdana" w:hAnsi="Verdana"/>
          <w:sz w:val="20"/>
          <w:szCs w:val="20"/>
        </w:rPr>
      </w:pPr>
    </w:p>
    <w:p w14:paraId="11FBA69E" w14:textId="77777777" w:rsidR="00D14D1D" w:rsidRDefault="00D14D1D" w:rsidP="006B0F69">
      <w:pPr>
        <w:spacing w:after="0" w:line="240" w:lineRule="auto"/>
        <w:jc w:val="both"/>
        <w:rPr>
          <w:rFonts w:ascii="Verdana" w:hAnsi="Verdana"/>
          <w:sz w:val="20"/>
          <w:szCs w:val="20"/>
        </w:rPr>
      </w:pPr>
    </w:p>
    <w:p w14:paraId="1F895BE5" w14:textId="77777777" w:rsidR="00D14D1D" w:rsidRDefault="00D14D1D" w:rsidP="006B0F69">
      <w:pPr>
        <w:spacing w:after="0" w:line="240" w:lineRule="auto"/>
        <w:jc w:val="both"/>
        <w:rPr>
          <w:rFonts w:ascii="Verdana" w:hAnsi="Verdana"/>
          <w:sz w:val="20"/>
          <w:szCs w:val="20"/>
        </w:rPr>
      </w:pPr>
    </w:p>
    <w:p w14:paraId="07DFC185" w14:textId="77777777" w:rsidR="00D14D1D" w:rsidRDefault="00D14D1D" w:rsidP="006B0F69">
      <w:pPr>
        <w:spacing w:after="0" w:line="240" w:lineRule="auto"/>
        <w:jc w:val="both"/>
        <w:rPr>
          <w:rFonts w:ascii="Verdana" w:hAnsi="Verdana"/>
          <w:sz w:val="20"/>
          <w:szCs w:val="20"/>
        </w:rPr>
      </w:pPr>
    </w:p>
    <w:p w14:paraId="2B1D5A2E" w14:textId="77777777" w:rsidR="00D14D1D" w:rsidRDefault="00D14D1D" w:rsidP="006B0F69">
      <w:pPr>
        <w:spacing w:after="0" w:line="240" w:lineRule="auto"/>
        <w:jc w:val="both"/>
        <w:rPr>
          <w:rFonts w:ascii="Verdana" w:hAnsi="Verdana"/>
          <w:sz w:val="20"/>
          <w:szCs w:val="20"/>
        </w:rPr>
      </w:pPr>
    </w:p>
    <w:p w14:paraId="0A6469E2" w14:textId="77777777" w:rsidR="00D14D1D" w:rsidRDefault="00D14D1D" w:rsidP="006B0F69">
      <w:pPr>
        <w:spacing w:after="0" w:line="240" w:lineRule="auto"/>
        <w:jc w:val="both"/>
        <w:rPr>
          <w:rFonts w:ascii="Verdana" w:hAnsi="Verdana"/>
          <w:sz w:val="20"/>
          <w:szCs w:val="20"/>
        </w:rPr>
      </w:pPr>
    </w:p>
    <w:p w14:paraId="04B8AB69" w14:textId="77777777" w:rsidR="00D14D1D" w:rsidRDefault="00D14D1D" w:rsidP="006B0F69">
      <w:pPr>
        <w:spacing w:after="0" w:line="240" w:lineRule="auto"/>
        <w:jc w:val="both"/>
        <w:rPr>
          <w:rFonts w:ascii="Verdana" w:hAnsi="Verdana"/>
          <w:sz w:val="20"/>
          <w:szCs w:val="20"/>
        </w:rPr>
      </w:pPr>
    </w:p>
    <w:p w14:paraId="0BE079BC" w14:textId="70DC9017" w:rsidR="00D14D1D" w:rsidRPr="00D14D1D" w:rsidRDefault="007F2402" w:rsidP="006B0F69">
      <w:pPr>
        <w:spacing w:after="0" w:line="240" w:lineRule="auto"/>
        <w:jc w:val="both"/>
        <w:rPr>
          <w:rFonts w:ascii="Verdana" w:hAnsi="Verdana"/>
          <w:b/>
          <w:bCs/>
          <w:sz w:val="20"/>
          <w:szCs w:val="20"/>
        </w:rPr>
      </w:pPr>
      <w:r w:rsidRPr="00D14D1D">
        <w:rPr>
          <w:rFonts w:ascii="Verdana" w:hAnsi="Verdana"/>
          <w:b/>
          <w:bCs/>
          <w:sz w:val="20"/>
          <w:szCs w:val="20"/>
        </w:rPr>
        <w:t xml:space="preserve">Répartition </w:t>
      </w:r>
      <w:r w:rsidR="00D14D1D" w:rsidRPr="00D14D1D">
        <w:rPr>
          <w:rFonts w:ascii="Verdana" w:hAnsi="Verdana"/>
          <w:b/>
          <w:bCs/>
          <w:sz w:val="20"/>
          <w:szCs w:val="20"/>
        </w:rPr>
        <w:t xml:space="preserve">du personnel par âge : </w:t>
      </w:r>
    </w:p>
    <w:tbl>
      <w:tblPr>
        <w:tblW w:w="10467" w:type="dxa"/>
        <w:jc w:val="center"/>
        <w:tblLayout w:type="fixed"/>
        <w:tblLook w:val="04A0" w:firstRow="1" w:lastRow="0" w:firstColumn="1" w:lastColumn="0" w:noHBand="0" w:noVBand="1"/>
      </w:tblPr>
      <w:tblGrid>
        <w:gridCol w:w="2260"/>
        <w:gridCol w:w="1279"/>
        <w:gridCol w:w="1276"/>
        <w:gridCol w:w="1015"/>
        <w:gridCol w:w="1324"/>
        <w:gridCol w:w="970"/>
        <w:gridCol w:w="1163"/>
        <w:gridCol w:w="1180"/>
      </w:tblGrid>
      <w:tr w:rsidR="007F2402" w:rsidRPr="00E66029" w14:paraId="0FBA4249" w14:textId="77777777" w:rsidTr="00D14D1D">
        <w:trPr>
          <w:trHeight w:val="132"/>
          <w:jc w:val="center"/>
        </w:trPr>
        <w:tc>
          <w:tcPr>
            <w:tcW w:w="22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64249D" w14:textId="77777777" w:rsidR="007F2402" w:rsidRPr="00775A4E" w:rsidRDefault="007F2402" w:rsidP="008E7F5B">
            <w:pPr>
              <w:spacing w:after="0" w:line="240" w:lineRule="auto"/>
              <w:rPr>
                <w:rFonts w:ascii="Calibri" w:eastAsia="Times New Roman" w:hAnsi="Calibri" w:cs="Calibri"/>
                <w:b/>
                <w:bCs/>
                <w:color w:val="000000"/>
              </w:rPr>
            </w:pPr>
          </w:p>
        </w:tc>
        <w:tc>
          <w:tcPr>
            <w:tcW w:w="70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DD5C86"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Nationalité</w:t>
            </w:r>
          </w:p>
        </w:tc>
        <w:tc>
          <w:tcPr>
            <w:tcW w:w="118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335115" w14:textId="77777777" w:rsidR="007F2402" w:rsidRPr="00775A4E" w:rsidRDefault="007F2402" w:rsidP="008E7F5B">
            <w:pPr>
              <w:spacing w:after="0" w:line="240" w:lineRule="auto"/>
              <w:rPr>
                <w:rFonts w:ascii="Calibri" w:eastAsia="Times New Roman" w:hAnsi="Calibri" w:cs="Calibri"/>
                <w:b/>
                <w:bCs/>
                <w:color w:val="000000"/>
              </w:rPr>
            </w:pPr>
            <w:r w:rsidRPr="00775A4E">
              <w:rPr>
                <w:rFonts w:ascii="Calibri" w:eastAsia="Times New Roman" w:hAnsi="Calibri" w:cs="Calibri"/>
                <w:b/>
                <w:bCs/>
                <w:color w:val="000000"/>
              </w:rPr>
              <w:t> </w:t>
            </w:r>
          </w:p>
        </w:tc>
      </w:tr>
      <w:tr w:rsidR="007F2402" w:rsidRPr="00E66029" w14:paraId="64C7AC20" w14:textId="77777777" w:rsidTr="0031316B">
        <w:trPr>
          <w:trHeight w:val="300"/>
          <w:jc w:val="center"/>
        </w:trPr>
        <w:tc>
          <w:tcPr>
            <w:tcW w:w="226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78DB213" w14:textId="77777777" w:rsidR="007F2402" w:rsidRPr="00775A4E" w:rsidRDefault="007F2402" w:rsidP="008E7F5B">
            <w:pPr>
              <w:spacing w:after="0" w:line="240" w:lineRule="auto"/>
              <w:rPr>
                <w:rFonts w:ascii="Calibri" w:eastAsia="Times New Roman" w:hAnsi="Calibri" w:cs="Calibri"/>
                <w:b/>
                <w:bCs/>
                <w:color w:val="000000"/>
              </w:rPr>
            </w:pPr>
            <w:r w:rsidRPr="00775A4E">
              <w:rPr>
                <w:rFonts w:ascii="Calibri" w:eastAsia="Times New Roman" w:hAnsi="Calibri" w:cs="Calibri"/>
                <w:b/>
                <w:bCs/>
                <w:color w:val="000000"/>
              </w:rPr>
              <w:t>Groupe d'âge</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1F56EA7"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eastAsia="Times New Roman" w:hAnsi="Calibri" w:cs="Calibri"/>
                <w:b/>
                <w:bCs/>
                <w:color w:val="000000"/>
              </w:rPr>
              <w:t>Seychelles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A2B7F1"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eastAsia="Times New Roman" w:hAnsi="Calibri" w:cs="Calibri"/>
                <w:b/>
                <w:bCs/>
                <w:color w:val="000000"/>
              </w:rPr>
              <w:t>Comores</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70773FA9"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eastAsia="Times New Roman" w:hAnsi="Calibri" w:cs="Calibri"/>
                <w:b/>
                <w:bCs/>
                <w:color w:val="000000"/>
              </w:rPr>
              <w:t>France</w:t>
            </w:r>
          </w:p>
        </w:tc>
        <w:tc>
          <w:tcPr>
            <w:tcW w:w="1324" w:type="dxa"/>
            <w:tcBorders>
              <w:top w:val="single" w:sz="4" w:space="0" w:color="auto"/>
              <w:left w:val="single" w:sz="4" w:space="0" w:color="auto"/>
              <w:bottom w:val="single" w:sz="4" w:space="0" w:color="auto"/>
              <w:right w:val="single" w:sz="4" w:space="0" w:color="auto"/>
            </w:tcBorders>
            <w:noWrap/>
            <w:vAlign w:val="center"/>
            <w:hideMark/>
          </w:tcPr>
          <w:p w14:paraId="29D22F8E"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eastAsia="Times New Roman" w:hAnsi="Calibri" w:cs="Calibri"/>
                <w:b/>
                <w:bCs/>
                <w:color w:val="000000"/>
              </w:rPr>
              <w:t>Madagascar</w:t>
            </w:r>
          </w:p>
        </w:tc>
        <w:tc>
          <w:tcPr>
            <w:tcW w:w="970" w:type="dxa"/>
            <w:tcBorders>
              <w:top w:val="single" w:sz="4" w:space="0" w:color="auto"/>
              <w:left w:val="single" w:sz="4" w:space="0" w:color="auto"/>
              <w:bottom w:val="single" w:sz="4" w:space="0" w:color="auto"/>
              <w:right w:val="single" w:sz="4" w:space="0" w:color="auto"/>
            </w:tcBorders>
            <w:noWrap/>
            <w:vAlign w:val="center"/>
            <w:hideMark/>
          </w:tcPr>
          <w:p w14:paraId="7F77297B"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eastAsia="Times New Roman" w:hAnsi="Calibri" w:cs="Calibri"/>
                <w:b/>
                <w:bCs/>
                <w:color w:val="000000"/>
              </w:rPr>
              <w:t>Maurice</w:t>
            </w:r>
          </w:p>
        </w:tc>
        <w:tc>
          <w:tcPr>
            <w:tcW w:w="1163" w:type="dxa"/>
            <w:tcBorders>
              <w:top w:val="single" w:sz="4" w:space="0" w:color="auto"/>
              <w:left w:val="single" w:sz="4" w:space="0" w:color="auto"/>
              <w:bottom w:val="single" w:sz="4" w:space="0" w:color="auto"/>
              <w:right w:val="single" w:sz="4" w:space="0" w:color="auto"/>
            </w:tcBorders>
            <w:noWrap/>
            <w:vAlign w:val="center"/>
          </w:tcPr>
          <w:p w14:paraId="197F5E27" w14:textId="77777777" w:rsidR="007F2402" w:rsidRPr="00D14D1D" w:rsidRDefault="007F2402" w:rsidP="008E7F5B">
            <w:pPr>
              <w:spacing w:after="0" w:line="240" w:lineRule="auto"/>
              <w:jc w:val="center"/>
              <w:rPr>
                <w:rFonts w:ascii="Calibri" w:eastAsia="Times New Roman" w:hAnsi="Calibri" w:cs="Calibri"/>
                <w:b/>
                <w:bCs/>
                <w:color w:val="000000"/>
              </w:rPr>
            </w:pPr>
            <w:r w:rsidRPr="00D14D1D">
              <w:rPr>
                <w:rFonts w:ascii="Calibri" w:hAnsi="Calibri" w:cs="Calibri"/>
                <w:b/>
                <w:bCs/>
                <w:color w:val="000000"/>
              </w:rPr>
              <w:t>Autres</w:t>
            </w:r>
          </w:p>
        </w:tc>
        <w:tc>
          <w:tcPr>
            <w:tcW w:w="11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64BCB6B"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Grand Total</w:t>
            </w:r>
          </w:p>
        </w:tc>
      </w:tr>
      <w:tr w:rsidR="007F2402" w:rsidRPr="00775A4E" w14:paraId="74454402" w14:textId="77777777" w:rsidTr="00D14D1D">
        <w:trPr>
          <w:trHeight w:val="300"/>
          <w:jc w:val="center"/>
        </w:trPr>
        <w:tc>
          <w:tcPr>
            <w:tcW w:w="2260" w:type="dxa"/>
            <w:tcBorders>
              <w:top w:val="nil"/>
              <w:left w:val="single" w:sz="4" w:space="0" w:color="auto"/>
              <w:bottom w:val="single" w:sz="4" w:space="0" w:color="auto"/>
              <w:right w:val="single" w:sz="4" w:space="0" w:color="auto"/>
            </w:tcBorders>
            <w:noWrap/>
            <w:vAlign w:val="bottom"/>
            <w:hideMark/>
          </w:tcPr>
          <w:p w14:paraId="5B2322D0" w14:textId="77777777" w:rsidR="007F2402" w:rsidRPr="00775A4E" w:rsidRDefault="007F2402" w:rsidP="008E7F5B">
            <w:pPr>
              <w:spacing w:after="0" w:line="240" w:lineRule="auto"/>
              <w:rPr>
                <w:rFonts w:ascii="Calibri" w:eastAsia="Times New Roman" w:hAnsi="Calibri" w:cs="Calibri"/>
                <w:color w:val="000000"/>
              </w:rPr>
            </w:pPr>
            <w:r w:rsidRPr="00775A4E">
              <w:rPr>
                <w:rFonts w:ascii="Calibri" w:eastAsia="Times New Roman" w:hAnsi="Calibri" w:cs="Calibri"/>
                <w:color w:val="000000"/>
              </w:rPr>
              <w:t>20-30</w:t>
            </w:r>
          </w:p>
        </w:tc>
        <w:tc>
          <w:tcPr>
            <w:tcW w:w="1279" w:type="dxa"/>
            <w:tcBorders>
              <w:top w:val="nil"/>
              <w:left w:val="nil"/>
              <w:bottom w:val="single" w:sz="4" w:space="0" w:color="auto"/>
              <w:right w:val="single" w:sz="4" w:space="0" w:color="auto"/>
            </w:tcBorders>
            <w:noWrap/>
            <w:vAlign w:val="center"/>
            <w:hideMark/>
          </w:tcPr>
          <w:p w14:paraId="6DFB6192"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eastAsia="Times New Roman" w:hAnsi="Calibri" w:cs="Calibri"/>
                <w:color w:val="000000"/>
              </w:rPr>
              <w:t>0</w:t>
            </w:r>
          </w:p>
        </w:tc>
        <w:tc>
          <w:tcPr>
            <w:tcW w:w="1276" w:type="dxa"/>
            <w:tcBorders>
              <w:top w:val="nil"/>
              <w:left w:val="nil"/>
              <w:bottom w:val="single" w:sz="4" w:space="0" w:color="auto"/>
              <w:right w:val="single" w:sz="4" w:space="0" w:color="auto"/>
            </w:tcBorders>
            <w:noWrap/>
            <w:vAlign w:val="center"/>
            <w:hideMark/>
          </w:tcPr>
          <w:p w14:paraId="5FDB2056"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eastAsia="Times New Roman" w:hAnsi="Calibri" w:cs="Calibri"/>
                <w:color w:val="000000"/>
              </w:rPr>
              <w:t>0</w:t>
            </w:r>
          </w:p>
        </w:tc>
        <w:tc>
          <w:tcPr>
            <w:tcW w:w="1015" w:type="dxa"/>
            <w:tcBorders>
              <w:top w:val="nil"/>
              <w:left w:val="nil"/>
              <w:bottom w:val="single" w:sz="4" w:space="0" w:color="auto"/>
              <w:right w:val="single" w:sz="4" w:space="0" w:color="auto"/>
            </w:tcBorders>
            <w:noWrap/>
            <w:vAlign w:val="center"/>
            <w:hideMark/>
          </w:tcPr>
          <w:p w14:paraId="74747EA5"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4</w:t>
            </w:r>
          </w:p>
        </w:tc>
        <w:tc>
          <w:tcPr>
            <w:tcW w:w="1324" w:type="dxa"/>
            <w:tcBorders>
              <w:top w:val="nil"/>
              <w:left w:val="nil"/>
              <w:bottom w:val="single" w:sz="4" w:space="0" w:color="auto"/>
              <w:right w:val="single" w:sz="4" w:space="0" w:color="auto"/>
            </w:tcBorders>
            <w:noWrap/>
            <w:vAlign w:val="center"/>
            <w:hideMark/>
          </w:tcPr>
          <w:p w14:paraId="342B865D"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2</w:t>
            </w:r>
          </w:p>
        </w:tc>
        <w:tc>
          <w:tcPr>
            <w:tcW w:w="970" w:type="dxa"/>
            <w:tcBorders>
              <w:top w:val="nil"/>
              <w:left w:val="nil"/>
              <w:bottom w:val="single" w:sz="4" w:space="0" w:color="auto"/>
              <w:right w:val="single" w:sz="4" w:space="0" w:color="auto"/>
            </w:tcBorders>
            <w:noWrap/>
            <w:vAlign w:val="center"/>
            <w:hideMark/>
          </w:tcPr>
          <w:p w14:paraId="04CE7288"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4</w:t>
            </w:r>
          </w:p>
        </w:tc>
        <w:tc>
          <w:tcPr>
            <w:tcW w:w="1163" w:type="dxa"/>
            <w:tcBorders>
              <w:top w:val="nil"/>
              <w:left w:val="nil"/>
              <w:bottom w:val="single" w:sz="4" w:space="0" w:color="auto"/>
              <w:right w:val="single" w:sz="4" w:space="0" w:color="auto"/>
            </w:tcBorders>
            <w:noWrap/>
            <w:vAlign w:val="center"/>
          </w:tcPr>
          <w:p w14:paraId="7F0C8F96"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hAnsi="Calibri" w:cs="Calibri"/>
                <w:color w:val="000000"/>
              </w:rPr>
              <w:t> </w:t>
            </w:r>
            <w:r>
              <w:rPr>
                <w:rFonts w:ascii="Calibri" w:hAnsi="Calibri" w:cs="Calibri"/>
                <w:color w:val="000000"/>
              </w:rPr>
              <w:t>0</w:t>
            </w:r>
          </w:p>
        </w:tc>
        <w:tc>
          <w:tcPr>
            <w:tcW w:w="1180" w:type="dxa"/>
            <w:tcBorders>
              <w:top w:val="nil"/>
              <w:left w:val="nil"/>
              <w:bottom w:val="single" w:sz="4" w:space="0" w:color="auto"/>
              <w:right w:val="single" w:sz="4" w:space="0" w:color="auto"/>
            </w:tcBorders>
            <w:noWrap/>
            <w:vAlign w:val="center"/>
            <w:hideMark/>
          </w:tcPr>
          <w:p w14:paraId="1FED78F0"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10</w:t>
            </w:r>
          </w:p>
        </w:tc>
      </w:tr>
      <w:tr w:rsidR="007F2402" w:rsidRPr="00775A4E" w14:paraId="3E0D9C22" w14:textId="77777777" w:rsidTr="00D14D1D">
        <w:trPr>
          <w:trHeight w:val="300"/>
          <w:jc w:val="center"/>
        </w:trPr>
        <w:tc>
          <w:tcPr>
            <w:tcW w:w="2260" w:type="dxa"/>
            <w:tcBorders>
              <w:top w:val="nil"/>
              <w:left w:val="single" w:sz="4" w:space="0" w:color="auto"/>
              <w:bottom w:val="single" w:sz="4" w:space="0" w:color="auto"/>
              <w:right w:val="single" w:sz="4" w:space="0" w:color="auto"/>
            </w:tcBorders>
            <w:noWrap/>
            <w:vAlign w:val="bottom"/>
            <w:hideMark/>
          </w:tcPr>
          <w:p w14:paraId="204F031B" w14:textId="77777777" w:rsidR="007F2402" w:rsidRPr="00775A4E" w:rsidRDefault="007F2402" w:rsidP="008E7F5B">
            <w:pPr>
              <w:spacing w:after="0" w:line="240" w:lineRule="auto"/>
              <w:rPr>
                <w:rFonts w:ascii="Calibri" w:eastAsia="Times New Roman" w:hAnsi="Calibri" w:cs="Calibri"/>
                <w:color w:val="000000"/>
              </w:rPr>
            </w:pPr>
            <w:r w:rsidRPr="00775A4E">
              <w:rPr>
                <w:rFonts w:ascii="Calibri" w:eastAsia="Times New Roman" w:hAnsi="Calibri" w:cs="Calibri"/>
                <w:color w:val="000000"/>
              </w:rPr>
              <w:t>31-40</w:t>
            </w:r>
          </w:p>
        </w:tc>
        <w:tc>
          <w:tcPr>
            <w:tcW w:w="1279" w:type="dxa"/>
            <w:tcBorders>
              <w:top w:val="nil"/>
              <w:left w:val="nil"/>
              <w:bottom w:val="single" w:sz="4" w:space="0" w:color="auto"/>
              <w:right w:val="single" w:sz="4" w:space="0" w:color="auto"/>
            </w:tcBorders>
            <w:noWrap/>
            <w:vAlign w:val="center"/>
            <w:hideMark/>
          </w:tcPr>
          <w:p w14:paraId="1236D863"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eastAsia="Times New Roman" w:hAnsi="Calibri" w:cs="Calibri"/>
                <w:color w:val="000000"/>
              </w:rPr>
              <w:t>0</w:t>
            </w:r>
          </w:p>
        </w:tc>
        <w:tc>
          <w:tcPr>
            <w:tcW w:w="1276" w:type="dxa"/>
            <w:tcBorders>
              <w:top w:val="nil"/>
              <w:left w:val="nil"/>
              <w:bottom w:val="single" w:sz="4" w:space="0" w:color="auto"/>
              <w:right w:val="single" w:sz="4" w:space="0" w:color="auto"/>
            </w:tcBorders>
            <w:noWrap/>
            <w:vAlign w:val="center"/>
            <w:hideMark/>
          </w:tcPr>
          <w:p w14:paraId="5D17FC92"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2</w:t>
            </w:r>
          </w:p>
        </w:tc>
        <w:tc>
          <w:tcPr>
            <w:tcW w:w="1015" w:type="dxa"/>
            <w:tcBorders>
              <w:top w:val="nil"/>
              <w:left w:val="nil"/>
              <w:bottom w:val="single" w:sz="4" w:space="0" w:color="auto"/>
              <w:right w:val="single" w:sz="4" w:space="0" w:color="auto"/>
            </w:tcBorders>
            <w:noWrap/>
            <w:vAlign w:val="center"/>
            <w:hideMark/>
          </w:tcPr>
          <w:p w14:paraId="7C414620"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2</w:t>
            </w:r>
          </w:p>
        </w:tc>
        <w:tc>
          <w:tcPr>
            <w:tcW w:w="1324" w:type="dxa"/>
            <w:tcBorders>
              <w:top w:val="nil"/>
              <w:left w:val="nil"/>
              <w:bottom w:val="single" w:sz="4" w:space="0" w:color="auto"/>
              <w:right w:val="single" w:sz="4" w:space="0" w:color="auto"/>
            </w:tcBorders>
            <w:noWrap/>
            <w:vAlign w:val="center"/>
            <w:hideMark/>
          </w:tcPr>
          <w:p w14:paraId="6F2C38B3"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6</w:t>
            </w:r>
          </w:p>
        </w:tc>
        <w:tc>
          <w:tcPr>
            <w:tcW w:w="970" w:type="dxa"/>
            <w:tcBorders>
              <w:top w:val="nil"/>
              <w:left w:val="nil"/>
              <w:bottom w:val="single" w:sz="4" w:space="0" w:color="auto"/>
              <w:right w:val="single" w:sz="4" w:space="0" w:color="auto"/>
            </w:tcBorders>
            <w:noWrap/>
            <w:vAlign w:val="center"/>
            <w:hideMark/>
          </w:tcPr>
          <w:p w14:paraId="0E882DA1" w14:textId="77777777" w:rsidR="007F2402" w:rsidRPr="00775A4E" w:rsidRDefault="007F2402" w:rsidP="008E7F5B">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163" w:type="dxa"/>
            <w:tcBorders>
              <w:top w:val="nil"/>
              <w:left w:val="nil"/>
              <w:bottom w:val="single" w:sz="4" w:space="0" w:color="auto"/>
              <w:right w:val="single" w:sz="4" w:space="0" w:color="auto"/>
            </w:tcBorders>
            <w:noWrap/>
            <w:vAlign w:val="center"/>
          </w:tcPr>
          <w:p w14:paraId="194B440B"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hAnsi="Calibri" w:cs="Calibri"/>
                <w:color w:val="000000"/>
              </w:rPr>
              <w:t> </w:t>
            </w:r>
            <w:r>
              <w:rPr>
                <w:rFonts w:ascii="Calibri" w:hAnsi="Calibri" w:cs="Calibri"/>
                <w:color w:val="000000"/>
              </w:rPr>
              <w:t>0</w:t>
            </w:r>
          </w:p>
        </w:tc>
        <w:tc>
          <w:tcPr>
            <w:tcW w:w="1180" w:type="dxa"/>
            <w:tcBorders>
              <w:top w:val="nil"/>
              <w:left w:val="nil"/>
              <w:bottom w:val="single" w:sz="4" w:space="0" w:color="auto"/>
              <w:right w:val="single" w:sz="4" w:space="0" w:color="auto"/>
            </w:tcBorders>
            <w:noWrap/>
            <w:vAlign w:val="center"/>
            <w:hideMark/>
          </w:tcPr>
          <w:p w14:paraId="777E2991" w14:textId="77777777" w:rsidR="007F2402" w:rsidRPr="00775A4E" w:rsidRDefault="007F2402" w:rsidP="008E7F5B">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r>
      <w:tr w:rsidR="007F2402" w:rsidRPr="00775A4E" w14:paraId="5FE8A6BA" w14:textId="77777777" w:rsidTr="00D14D1D">
        <w:trPr>
          <w:trHeight w:val="300"/>
          <w:jc w:val="center"/>
        </w:trPr>
        <w:tc>
          <w:tcPr>
            <w:tcW w:w="2260" w:type="dxa"/>
            <w:tcBorders>
              <w:top w:val="nil"/>
              <w:left w:val="single" w:sz="4" w:space="0" w:color="auto"/>
              <w:bottom w:val="single" w:sz="4" w:space="0" w:color="auto"/>
              <w:right w:val="single" w:sz="4" w:space="0" w:color="auto"/>
            </w:tcBorders>
            <w:noWrap/>
            <w:vAlign w:val="bottom"/>
            <w:hideMark/>
          </w:tcPr>
          <w:p w14:paraId="2B2B92F4" w14:textId="77777777" w:rsidR="007F2402" w:rsidRPr="00775A4E" w:rsidRDefault="007F2402" w:rsidP="008E7F5B">
            <w:pPr>
              <w:spacing w:after="0" w:line="240" w:lineRule="auto"/>
              <w:rPr>
                <w:rFonts w:ascii="Calibri" w:eastAsia="Times New Roman" w:hAnsi="Calibri" w:cs="Calibri"/>
                <w:color w:val="000000"/>
              </w:rPr>
            </w:pPr>
            <w:r w:rsidRPr="00775A4E">
              <w:rPr>
                <w:rFonts w:ascii="Calibri" w:eastAsia="Times New Roman" w:hAnsi="Calibri" w:cs="Calibri"/>
                <w:color w:val="000000"/>
              </w:rPr>
              <w:t>41-50</w:t>
            </w:r>
          </w:p>
        </w:tc>
        <w:tc>
          <w:tcPr>
            <w:tcW w:w="1279" w:type="dxa"/>
            <w:tcBorders>
              <w:top w:val="nil"/>
              <w:left w:val="nil"/>
              <w:bottom w:val="single" w:sz="4" w:space="0" w:color="auto"/>
              <w:right w:val="single" w:sz="4" w:space="0" w:color="auto"/>
            </w:tcBorders>
            <w:noWrap/>
            <w:vAlign w:val="center"/>
            <w:hideMark/>
          </w:tcPr>
          <w:p w14:paraId="41B162DF"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w:t>
            </w:r>
          </w:p>
        </w:tc>
        <w:tc>
          <w:tcPr>
            <w:tcW w:w="1276" w:type="dxa"/>
            <w:tcBorders>
              <w:top w:val="nil"/>
              <w:left w:val="nil"/>
              <w:bottom w:val="single" w:sz="4" w:space="0" w:color="auto"/>
              <w:right w:val="single" w:sz="4" w:space="0" w:color="auto"/>
            </w:tcBorders>
            <w:noWrap/>
            <w:vAlign w:val="center"/>
            <w:hideMark/>
          </w:tcPr>
          <w:p w14:paraId="4D2AE2BF"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3</w:t>
            </w:r>
          </w:p>
        </w:tc>
        <w:tc>
          <w:tcPr>
            <w:tcW w:w="1015" w:type="dxa"/>
            <w:tcBorders>
              <w:top w:val="nil"/>
              <w:left w:val="nil"/>
              <w:bottom w:val="single" w:sz="4" w:space="0" w:color="auto"/>
              <w:right w:val="single" w:sz="4" w:space="0" w:color="auto"/>
            </w:tcBorders>
            <w:noWrap/>
            <w:vAlign w:val="center"/>
            <w:hideMark/>
          </w:tcPr>
          <w:p w14:paraId="01499C25"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9</w:t>
            </w:r>
          </w:p>
        </w:tc>
        <w:tc>
          <w:tcPr>
            <w:tcW w:w="1324" w:type="dxa"/>
            <w:tcBorders>
              <w:top w:val="nil"/>
              <w:left w:val="nil"/>
              <w:bottom w:val="single" w:sz="4" w:space="0" w:color="auto"/>
              <w:right w:val="single" w:sz="4" w:space="0" w:color="auto"/>
            </w:tcBorders>
            <w:noWrap/>
            <w:vAlign w:val="center"/>
            <w:hideMark/>
          </w:tcPr>
          <w:p w14:paraId="7FF7FA59"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10</w:t>
            </w:r>
          </w:p>
        </w:tc>
        <w:tc>
          <w:tcPr>
            <w:tcW w:w="970" w:type="dxa"/>
            <w:tcBorders>
              <w:top w:val="nil"/>
              <w:left w:val="nil"/>
              <w:bottom w:val="single" w:sz="4" w:space="0" w:color="auto"/>
              <w:right w:val="single" w:sz="4" w:space="0" w:color="auto"/>
            </w:tcBorders>
            <w:noWrap/>
            <w:vAlign w:val="center"/>
            <w:hideMark/>
          </w:tcPr>
          <w:p w14:paraId="674C3067"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8</w:t>
            </w:r>
          </w:p>
        </w:tc>
        <w:tc>
          <w:tcPr>
            <w:tcW w:w="1163" w:type="dxa"/>
            <w:tcBorders>
              <w:top w:val="nil"/>
              <w:left w:val="nil"/>
              <w:bottom w:val="single" w:sz="4" w:space="0" w:color="auto"/>
              <w:right w:val="single" w:sz="4" w:space="0" w:color="auto"/>
            </w:tcBorders>
            <w:noWrap/>
            <w:vAlign w:val="center"/>
          </w:tcPr>
          <w:p w14:paraId="70E9BF66"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hAnsi="Calibri" w:cs="Calibri"/>
                <w:color w:val="000000"/>
              </w:rPr>
              <w:t>2</w:t>
            </w:r>
          </w:p>
        </w:tc>
        <w:tc>
          <w:tcPr>
            <w:tcW w:w="1180" w:type="dxa"/>
            <w:tcBorders>
              <w:top w:val="nil"/>
              <w:left w:val="nil"/>
              <w:bottom w:val="single" w:sz="4" w:space="0" w:color="auto"/>
              <w:right w:val="single" w:sz="4" w:space="0" w:color="auto"/>
            </w:tcBorders>
            <w:noWrap/>
            <w:vAlign w:val="center"/>
            <w:hideMark/>
          </w:tcPr>
          <w:p w14:paraId="5260A00B"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33</w:t>
            </w:r>
          </w:p>
        </w:tc>
      </w:tr>
      <w:tr w:rsidR="007F2402" w:rsidRPr="00775A4E" w14:paraId="2CC5EEF8" w14:textId="77777777" w:rsidTr="00D14D1D">
        <w:trPr>
          <w:trHeight w:val="300"/>
          <w:jc w:val="center"/>
        </w:trPr>
        <w:tc>
          <w:tcPr>
            <w:tcW w:w="2260" w:type="dxa"/>
            <w:tcBorders>
              <w:top w:val="nil"/>
              <w:left w:val="single" w:sz="4" w:space="0" w:color="auto"/>
              <w:bottom w:val="single" w:sz="4" w:space="0" w:color="auto"/>
              <w:right w:val="single" w:sz="4" w:space="0" w:color="auto"/>
            </w:tcBorders>
            <w:noWrap/>
            <w:vAlign w:val="bottom"/>
            <w:hideMark/>
          </w:tcPr>
          <w:p w14:paraId="7B511A83" w14:textId="77777777" w:rsidR="007F2402" w:rsidRPr="00775A4E" w:rsidRDefault="007F2402" w:rsidP="008E7F5B">
            <w:pPr>
              <w:spacing w:after="0" w:line="240" w:lineRule="auto"/>
              <w:rPr>
                <w:rFonts w:ascii="Calibri" w:eastAsia="Times New Roman" w:hAnsi="Calibri" w:cs="Calibri"/>
                <w:color w:val="000000"/>
              </w:rPr>
            </w:pPr>
            <w:r w:rsidRPr="00775A4E">
              <w:rPr>
                <w:rFonts w:ascii="Calibri" w:eastAsia="Times New Roman" w:hAnsi="Calibri" w:cs="Calibri"/>
                <w:color w:val="000000"/>
              </w:rPr>
              <w:t>51-60</w:t>
            </w:r>
          </w:p>
        </w:tc>
        <w:tc>
          <w:tcPr>
            <w:tcW w:w="1279" w:type="dxa"/>
            <w:tcBorders>
              <w:top w:val="nil"/>
              <w:left w:val="nil"/>
              <w:bottom w:val="single" w:sz="4" w:space="0" w:color="auto"/>
              <w:right w:val="single" w:sz="4" w:space="0" w:color="auto"/>
            </w:tcBorders>
            <w:noWrap/>
            <w:vAlign w:val="center"/>
            <w:hideMark/>
          </w:tcPr>
          <w:p w14:paraId="717317D6"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2</w:t>
            </w:r>
          </w:p>
        </w:tc>
        <w:tc>
          <w:tcPr>
            <w:tcW w:w="1276" w:type="dxa"/>
            <w:tcBorders>
              <w:top w:val="nil"/>
              <w:left w:val="nil"/>
              <w:bottom w:val="single" w:sz="4" w:space="0" w:color="auto"/>
              <w:right w:val="single" w:sz="4" w:space="0" w:color="auto"/>
            </w:tcBorders>
            <w:noWrap/>
            <w:vAlign w:val="center"/>
            <w:hideMark/>
          </w:tcPr>
          <w:p w14:paraId="67665D82"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3</w:t>
            </w:r>
          </w:p>
        </w:tc>
        <w:tc>
          <w:tcPr>
            <w:tcW w:w="1015" w:type="dxa"/>
            <w:tcBorders>
              <w:top w:val="nil"/>
              <w:left w:val="nil"/>
              <w:bottom w:val="single" w:sz="4" w:space="0" w:color="auto"/>
              <w:right w:val="single" w:sz="4" w:space="0" w:color="auto"/>
            </w:tcBorders>
            <w:noWrap/>
            <w:vAlign w:val="center"/>
            <w:hideMark/>
          </w:tcPr>
          <w:p w14:paraId="5D1E2C4D"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3</w:t>
            </w:r>
          </w:p>
        </w:tc>
        <w:tc>
          <w:tcPr>
            <w:tcW w:w="1324" w:type="dxa"/>
            <w:tcBorders>
              <w:top w:val="nil"/>
              <w:left w:val="nil"/>
              <w:bottom w:val="single" w:sz="4" w:space="0" w:color="auto"/>
              <w:right w:val="single" w:sz="4" w:space="0" w:color="auto"/>
            </w:tcBorders>
            <w:noWrap/>
            <w:vAlign w:val="center"/>
            <w:hideMark/>
          </w:tcPr>
          <w:p w14:paraId="69966B46"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5</w:t>
            </w:r>
          </w:p>
        </w:tc>
        <w:tc>
          <w:tcPr>
            <w:tcW w:w="970" w:type="dxa"/>
            <w:tcBorders>
              <w:top w:val="nil"/>
              <w:left w:val="nil"/>
              <w:bottom w:val="single" w:sz="4" w:space="0" w:color="auto"/>
              <w:right w:val="single" w:sz="4" w:space="0" w:color="auto"/>
            </w:tcBorders>
            <w:noWrap/>
            <w:vAlign w:val="center"/>
            <w:hideMark/>
          </w:tcPr>
          <w:p w14:paraId="4A9E4C72"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10</w:t>
            </w:r>
          </w:p>
        </w:tc>
        <w:tc>
          <w:tcPr>
            <w:tcW w:w="1163" w:type="dxa"/>
            <w:tcBorders>
              <w:top w:val="nil"/>
              <w:left w:val="nil"/>
              <w:bottom w:val="single" w:sz="4" w:space="0" w:color="auto"/>
              <w:right w:val="single" w:sz="4" w:space="0" w:color="auto"/>
            </w:tcBorders>
            <w:noWrap/>
            <w:vAlign w:val="center"/>
          </w:tcPr>
          <w:p w14:paraId="35E7A075"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hAnsi="Calibri" w:cs="Calibri"/>
                <w:color w:val="000000"/>
              </w:rPr>
              <w:t>6</w:t>
            </w:r>
          </w:p>
        </w:tc>
        <w:tc>
          <w:tcPr>
            <w:tcW w:w="1180" w:type="dxa"/>
            <w:tcBorders>
              <w:top w:val="nil"/>
              <w:left w:val="nil"/>
              <w:bottom w:val="single" w:sz="4" w:space="0" w:color="auto"/>
              <w:right w:val="single" w:sz="4" w:space="0" w:color="auto"/>
            </w:tcBorders>
            <w:noWrap/>
            <w:vAlign w:val="center"/>
            <w:hideMark/>
          </w:tcPr>
          <w:p w14:paraId="120389B0"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29</w:t>
            </w:r>
          </w:p>
        </w:tc>
      </w:tr>
      <w:tr w:rsidR="007F2402" w:rsidRPr="00775A4E" w14:paraId="62B55B88" w14:textId="77777777" w:rsidTr="00D14D1D">
        <w:trPr>
          <w:trHeight w:val="300"/>
          <w:jc w:val="center"/>
        </w:trPr>
        <w:tc>
          <w:tcPr>
            <w:tcW w:w="2260" w:type="dxa"/>
            <w:tcBorders>
              <w:top w:val="nil"/>
              <w:left w:val="single" w:sz="4" w:space="0" w:color="auto"/>
              <w:bottom w:val="single" w:sz="4" w:space="0" w:color="auto"/>
              <w:right w:val="single" w:sz="4" w:space="0" w:color="auto"/>
            </w:tcBorders>
            <w:noWrap/>
            <w:vAlign w:val="bottom"/>
            <w:hideMark/>
          </w:tcPr>
          <w:p w14:paraId="406D6541" w14:textId="77777777" w:rsidR="007F2402" w:rsidRPr="00775A4E" w:rsidRDefault="007F2402" w:rsidP="008E7F5B">
            <w:pPr>
              <w:spacing w:after="0" w:line="240" w:lineRule="auto"/>
              <w:rPr>
                <w:rFonts w:ascii="Calibri" w:eastAsia="Times New Roman" w:hAnsi="Calibri" w:cs="Calibri"/>
                <w:color w:val="000000"/>
              </w:rPr>
            </w:pPr>
            <w:r w:rsidRPr="00775A4E">
              <w:rPr>
                <w:rFonts w:ascii="Calibri" w:eastAsia="Times New Roman" w:hAnsi="Calibri" w:cs="Calibri"/>
                <w:color w:val="000000"/>
              </w:rPr>
              <w:t>60+</w:t>
            </w:r>
          </w:p>
        </w:tc>
        <w:tc>
          <w:tcPr>
            <w:tcW w:w="1279" w:type="dxa"/>
            <w:tcBorders>
              <w:top w:val="nil"/>
              <w:left w:val="nil"/>
              <w:bottom w:val="single" w:sz="4" w:space="0" w:color="auto"/>
              <w:right w:val="single" w:sz="4" w:space="0" w:color="auto"/>
            </w:tcBorders>
            <w:noWrap/>
            <w:vAlign w:val="center"/>
            <w:hideMark/>
          </w:tcPr>
          <w:p w14:paraId="3FD23B31"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w:t>
            </w:r>
          </w:p>
        </w:tc>
        <w:tc>
          <w:tcPr>
            <w:tcW w:w="1276" w:type="dxa"/>
            <w:tcBorders>
              <w:top w:val="nil"/>
              <w:left w:val="nil"/>
              <w:bottom w:val="single" w:sz="4" w:space="0" w:color="auto"/>
              <w:right w:val="single" w:sz="4" w:space="0" w:color="auto"/>
            </w:tcBorders>
            <w:noWrap/>
            <w:vAlign w:val="center"/>
            <w:hideMark/>
          </w:tcPr>
          <w:p w14:paraId="7F3592B3"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eastAsia="Times New Roman" w:hAnsi="Calibri" w:cs="Calibri"/>
                <w:color w:val="000000"/>
              </w:rPr>
              <w:t>0</w:t>
            </w:r>
          </w:p>
        </w:tc>
        <w:tc>
          <w:tcPr>
            <w:tcW w:w="1015" w:type="dxa"/>
            <w:tcBorders>
              <w:top w:val="nil"/>
              <w:left w:val="nil"/>
              <w:bottom w:val="single" w:sz="4" w:space="0" w:color="auto"/>
              <w:right w:val="single" w:sz="4" w:space="0" w:color="auto"/>
            </w:tcBorders>
            <w:noWrap/>
            <w:vAlign w:val="center"/>
            <w:hideMark/>
          </w:tcPr>
          <w:p w14:paraId="4549DD4E"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eastAsia="Times New Roman" w:hAnsi="Calibri" w:cs="Calibri"/>
                <w:color w:val="000000"/>
              </w:rPr>
              <w:t>0</w:t>
            </w:r>
          </w:p>
        </w:tc>
        <w:tc>
          <w:tcPr>
            <w:tcW w:w="1324" w:type="dxa"/>
            <w:tcBorders>
              <w:top w:val="nil"/>
              <w:left w:val="nil"/>
              <w:bottom w:val="single" w:sz="4" w:space="0" w:color="auto"/>
              <w:right w:val="single" w:sz="4" w:space="0" w:color="auto"/>
            </w:tcBorders>
            <w:noWrap/>
            <w:vAlign w:val="center"/>
            <w:hideMark/>
          </w:tcPr>
          <w:p w14:paraId="3DBBD1FA"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5</w:t>
            </w:r>
          </w:p>
        </w:tc>
        <w:tc>
          <w:tcPr>
            <w:tcW w:w="970" w:type="dxa"/>
            <w:tcBorders>
              <w:top w:val="nil"/>
              <w:left w:val="nil"/>
              <w:bottom w:val="single" w:sz="4" w:space="0" w:color="auto"/>
              <w:right w:val="single" w:sz="4" w:space="0" w:color="auto"/>
            </w:tcBorders>
            <w:noWrap/>
            <w:vAlign w:val="center"/>
            <w:hideMark/>
          </w:tcPr>
          <w:p w14:paraId="69733916"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4</w:t>
            </w:r>
          </w:p>
        </w:tc>
        <w:tc>
          <w:tcPr>
            <w:tcW w:w="1163" w:type="dxa"/>
            <w:tcBorders>
              <w:top w:val="nil"/>
              <w:left w:val="nil"/>
              <w:bottom w:val="single" w:sz="4" w:space="0" w:color="auto"/>
              <w:right w:val="single" w:sz="4" w:space="0" w:color="auto"/>
            </w:tcBorders>
            <w:noWrap/>
            <w:vAlign w:val="center"/>
          </w:tcPr>
          <w:p w14:paraId="0461F5F6" w14:textId="77777777" w:rsidR="007F2402" w:rsidRPr="00775A4E" w:rsidRDefault="007F2402" w:rsidP="008E7F5B">
            <w:pPr>
              <w:spacing w:after="0" w:line="240" w:lineRule="auto"/>
              <w:jc w:val="center"/>
              <w:rPr>
                <w:rFonts w:ascii="Calibri" w:eastAsia="Times New Roman" w:hAnsi="Calibri" w:cs="Calibri"/>
                <w:color w:val="000000"/>
              </w:rPr>
            </w:pPr>
            <w:r w:rsidRPr="00E66029">
              <w:rPr>
                <w:rFonts w:ascii="Calibri" w:hAnsi="Calibri" w:cs="Calibri"/>
                <w:color w:val="000000"/>
              </w:rPr>
              <w:t>2</w:t>
            </w:r>
          </w:p>
        </w:tc>
        <w:tc>
          <w:tcPr>
            <w:tcW w:w="1180" w:type="dxa"/>
            <w:tcBorders>
              <w:top w:val="nil"/>
              <w:left w:val="nil"/>
              <w:bottom w:val="single" w:sz="4" w:space="0" w:color="auto"/>
              <w:right w:val="single" w:sz="4" w:space="0" w:color="auto"/>
            </w:tcBorders>
            <w:noWrap/>
            <w:vAlign w:val="center"/>
            <w:hideMark/>
          </w:tcPr>
          <w:p w14:paraId="3D25803C" w14:textId="77777777" w:rsidR="007F2402" w:rsidRPr="00775A4E" w:rsidRDefault="007F2402" w:rsidP="008E7F5B">
            <w:pPr>
              <w:spacing w:after="0" w:line="240" w:lineRule="auto"/>
              <w:jc w:val="center"/>
              <w:rPr>
                <w:rFonts w:ascii="Calibri" w:eastAsia="Times New Roman" w:hAnsi="Calibri" w:cs="Calibri"/>
                <w:color w:val="000000"/>
              </w:rPr>
            </w:pPr>
            <w:r w:rsidRPr="00775A4E">
              <w:rPr>
                <w:rFonts w:ascii="Calibri" w:eastAsia="Times New Roman" w:hAnsi="Calibri" w:cs="Calibri"/>
                <w:color w:val="000000"/>
              </w:rPr>
              <w:t>12</w:t>
            </w:r>
          </w:p>
        </w:tc>
      </w:tr>
      <w:tr w:rsidR="007F2402" w:rsidRPr="00775A4E" w14:paraId="253A475C" w14:textId="77777777" w:rsidTr="00D14D1D">
        <w:trPr>
          <w:trHeight w:val="165"/>
          <w:jc w:val="center"/>
        </w:trPr>
        <w:tc>
          <w:tcPr>
            <w:tcW w:w="22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2855329" w14:textId="77777777" w:rsidR="007F2402" w:rsidRPr="00775A4E" w:rsidRDefault="007F2402" w:rsidP="008E7F5B">
            <w:pPr>
              <w:spacing w:after="0" w:line="240" w:lineRule="auto"/>
              <w:rPr>
                <w:rFonts w:ascii="Calibri" w:eastAsia="Times New Roman" w:hAnsi="Calibri" w:cs="Calibri"/>
                <w:b/>
                <w:bCs/>
                <w:color w:val="000000"/>
              </w:rPr>
            </w:pPr>
            <w:r w:rsidRPr="00775A4E">
              <w:rPr>
                <w:rFonts w:ascii="Calibri" w:eastAsia="Times New Roman" w:hAnsi="Calibri" w:cs="Calibri"/>
                <w:b/>
                <w:bCs/>
                <w:color w:val="000000"/>
              </w:rPr>
              <w:t>Grand Total</w:t>
            </w:r>
          </w:p>
        </w:tc>
        <w:tc>
          <w:tcPr>
            <w:tcW w:w="127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FD4352C"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089453"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8</w:t>
            </w:r>
          </w:p>
        </w:tc>
        <w:tc>
          <w:tcPr>
            <w:tcW w:w="10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2F2EF6"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18</w:t>
            </w:r>
          </w:p>
        </w:tc>
        <w:tc>
          <w:tcPr>
            <w:tcW w:w="132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29621F"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28</w:t>
            </w:r>
          </w:p>
        </w:tc>
        <w:tc>
          <w:tcPr>
            <w:tcW w:w="97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A5EF12" w14:textId="77777777" w:rsidR="007F2402" w:rsidRPr="00775A4E" w:rsidRDefault="007F2402" w:rsidP="008E7F5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38</w:t>
            </w:r>
          </w:p>
        </w:tc>
        <w:tc>
          <w:tcPr>
            <w:tcW w:w="1163" w:type="dxa"/>
            <w:tcBorders>
              <w:top w:val="single" w:sz="4" w:space="0" w:color="auto"/>
              <w:left w:val="single" w:sz="4" w:space="0" w:color="auto"/>
              <w:bottom w:val="single" w:sz="4" w:space="0" w:color="auto"/>
              <w:right w:val="single" w:sz="4" w:space="0" w:color="auto"/>
            </w:tcBorders>
            <w:shd w:val="clear" w:color="D9E1F2" w:fill="D9E1F2"/>
            <w:noWrap/>
            <w:vAlign w:val="center"/>
          </w:tcPr>
          <w:p w14:paraId="02D134AC" w14:textId="77777777" w:rsidR="007F2402" w:rsidRPr="00775A4E" w:rsidRDefault="007F2402" w:rsidP="008E7F5B">
            <w:pPr>
              <w:spacing w:after="0" w:line="240" w:lineRule="auto"/>
              <w:jc w:val="center"/>
              <w:rPr>
                <w:rFonts w:ascii="Calibri" w:eastAsia="Times New Roman" w:hAnsi="Calibri" w:cs="Calibri"/>
                <w:b/>
                <w:bCs/>
                <w:color w:val="000000"/>
              </w:rPr>
            </w:pPr>
            <w:r w:rsidRPr="00E66029">
              <w:rPr>
                <w:rFonts w:ascii="Calibri" w:hAnsi="Calibri" w:cs="Calibri"/>
                <w:b/>
                <w:bCs/>
                <w:color w:val="000000"/>
              </w:rPr>
              <w:t>10</w:t>
            </w:r>
          </w:p>
        </w:tc>
        <w:tc>
          <w:tcPr>
            <w:tcW w:w="118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EDE67A1" w14:textId="77777777" w:rsidR="007F2402" w:rsidRPr="00775A4E" w:rsidRDefault="007F2402" w:rsidP="008E7F5B">
            <w:pPr>
              <w:spacing w:after="0" w:line="240" w:lineRule="auto"/>
              <w:jc w:val="center"/>
              <w:rPr>
                <w:rFonts w:ascii="Calibri" w:eastAsia="Times New Roman" w:hAnsi="Calibri" w:cs="Calibri"/>
                <w:b/>
                <w:bCs/>
                <w:color w:val="000000"/>
              </w:rPr>
            </w:pPr>
            <w:r w:rsidRPr="00775A4E">
              <w:rPr>
                <w:rFonts w:ascii="Calibri" w:eastAsia="Times New Roman" w:hAnsi="Calibri" w:cs="Calibri"/>
                <w:b/>
                <w:bCs/>
                <w:color w:val="000000"/>
              </w:rPr>
              <w:t>10</w:t>
            </w:r>
            <w:r>
              <w:rPr>
                <w:rFonts w:ascii="Calibri" w:eastAsia="Times New Roman" w:hAnsi="Calibri" w:cs="Calibri"/>
                <w:b/>
                <w:bCs/>
                <w:color w:val="000000"/>
              </w:rPr>
              <w:t>6</w:t>
            </w:r>
          </w:p>
        </w:tc>
      </w:tr>
    </w:tbl>
    <w:p w14:paraId="0A84ABD6" w14:textId="77777777" w:rsidR="00C45BFC" w:rsidRDefault="00C45BFC" w:rsidP="006B0F69">
      <w:pPr>
        <w:spacing w:after="0" w:line="240" w:lineRule="auto"/>
        <w:jc w:val="both"/>
        <w:rPr>
          <w:rFonts w:ascii="Verdana" w:hAnsi="Verdana"/>
          <w:sz w:val="20"/>
          <w:szCs w:val="20"/>
        </w:rPr>
      </w:pPr>
    </w:p>
    <w:p w14:paraId="5F099B55" w14:textId="77777777" w:rsidR="005E5B55" w:rsidRDefault="005E5B55" w:rsidP="006B0F69">
      <w:pPr>
        <w:spacing w:after="0" w:line="240" w:lineRule="auto"/>
        <w:jc w:val="both"/>
        <w:rPr>
          <w:rFonts w:ascii="Verdana" w:hAnsi="Verdana"/>
          <w:sz w:val="20"/>
          <w:szCs w:val="20"/>
        </w:rPr>
      </w:pPr>
    </w:p>
    <w:p w14:paraId="6706604D" w14:textId="25ED39A5" w:rsidR="00562E4C" w:rsidRDefault="0039325B" w:rsidP="006B0F69">
      <w:pPr>
        <w:spacing w:after="0" w:line="240" w:lineRule="auto"/>
        <w:jc w:val="both"/>
        <w:rPr>
          <w:rFonts w:ascii="Verdana" w:hAnsi="Verdana"/>
          <w:sz w:val="20"/>
          <w:szCs w:val="20"/>
        </w:rPr>
      </w:pPr>
      <w:r>
        <w:rPr>
          <w:noProof/>
        </w:rPr>
        <w:drawing>
          <wp:inline distT="0" distB="0" distL="0" distR="0" wp14:anchorId="18C9256B" wp14:editId="7FBE054E">
            <wp:extent cx="5760720" cy="2835237"/>
            <wp:effectExtent l="0" t="0" r="11430" b="3810"/>
            <wp:docPr id="837367367" name="Chart 1">
              <a:extLst xmlns:a="http://schemas.openxmlformats.org/drawingml/2006/main">
                <a:ext uri="{FF2B5EF4-FFF2-40B4-BE49-F238E27FC236}">
                  <a16:creationId xmlns:a16="http://schemas.microsoft.com/office/drawing/2014/main" id="{3E1A3E5B-8175-C3E5-4A50-F8F5AFCE5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D6E49D" w14:textId="77777777" w:rsidR="00562E4C" w:rsidRDefault="00562E4C" w:rsidP="006B0F69">
      <w:pPr>
        <w:spacing w:after="0" w:line="240" w:lineRule="auto"/>
        <w:jc w:val="both"/>
        <w:rPr>
          <w:rFonts w:ascii="Verdana" w:hAnsi="Verdana"/>
          <w:sz w:val="20"/>
          <w:szCs w:val="20"/>
        </w:rPr>
      </w:pPr>
    </w:p>
    <w:p w14:paraId="7AE8A928" w14:textId="77777777" w:rsidR="00C45BFC" w:rsidRDefault="00C45BFC" w:rsidP="006B0F69">
      <w:pPr>
        <w:spacing w:after="0" w:line="240" w:lineRule="auto"/>
        <w:jc w:val="both"/>
        <w:rPr>
          <w:rFonts w:ascii="Verdana" w:hAnsi="Verdana"/>
          <w:sz w:val="20"/>
          <w:szCs w:val="20"/>
        </w:rPr>
      </w:pPr>
    </w:p>
    <w:p w14:paraId="68009DDB" w14:textId="310BD11B" w:rsidR="0008468B" w:rsidRDefault="00955BB3" w:rsidP="006B0F69">
      <w:pPr>
        <w:pStyle w:val="Titrepartie"/>
      </w:pPr>
      <w:r w:rsidRPr="0008468B">
        <w:t>Etat d’avancement</w:t>
      </w:r>
      <w:r w:rsidR="00F71F8D">
        <w:t xml:space="preserve"> </w:t>
      </w:r>
    </w:p>
    <w:p w14:paraId="48AB0783" w14:textId="56C5F33A" w:rsidR="00426673" w:rsidRPr="00426673" w:rsidRDefault="00B571FA" w:rsidP="006B0F69">
      <w:pPr>
        <w:pStyle w:val="Sous-partie2"/>
      </w:pPr>
      <w:r>
        <w:t xml:space="preserve">Renforcement de la COI en ressources </w:t>
      </w:r>
      <w:r w:rsidR="005B3353">
        <w:t>humaines -</w:t>
      </w:r>
      <w:r w:rsidR="00236E50">
        <w:t xml:space="preserve"> </w:t>
      </w:r>
      <w:r w:rsidR="00F71F8D">
        <w:t xml:space="preserve">Recrutement des 12 postes approuvés </w:t>
      </w:r>
      <w:r w:rsidR="00155011">
        <w:t>le 12 avril 2024 par procédure écrite</w:t>
      </w:r>
    </w:p>
    <w:p w14:paraId="1BD0A243" w14:textId="2C4D66CE" w:rsidR="00140AF8" w:rsidRDefault="00667533" w:rsidP="006B0F69">
      <w:pPr>
        <w:pStyle w:val="Paragraphe"/>
      </w:pPr>
      <w:r>
        <w:t xml:space="preserve">Les recrutements des 12 postes du Secrétariat </w:t>
      </w:r>
      <w:r w:rsidR="00F819E5">
        <w:t>g</w:t>
      </w:r>
      <w:r>
        <w:t xml:space="preserve">énéral ont </w:t>
      </w:r>
      <w:r w:rsidR="00140AF8">
        <w:t>été finalisés.</w:t>
      </w:r>
    </w:p>
    <w:tbl>
      <w:tblPr>
        <w:tblW w:w="5316" w:type="pct"/>
        <w:tblLayout w:type="fixed"/>
        <w:tblLook w:val="04A0" w:firstRow="1" w:lastRow="0" w:firstColumn="1" w:lastColumn="0" w:noHBand="0" w:noVBand="1"/>
      </w:tblPr>
      <w:tblGrid>
        <w:gridCol w:w="564"/>
        <w:gridCol w:w="2411"/>
        <w:gridCol w:w="3823"/>
        <w:gridCol w:w="1276"/>
        <w:gridCol w:w="1561"/>
      </w:tblGrid>
      <w:tr w:rsidR="00550A29" w:rsidRPr="003D5BF3" w14:paraId="4BF5A523"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7139EF"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No</w:t>
            </w:r>
          </w:p>
        </w:tc>
        <w:tc>
          <w:tcPr>
            <w:tcW w:w="125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C85CD2"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Nom</w:t>
            </w:r>
          </w:p>
        </w:tc>
        <w:tc>
          <w:tcPr>
            <w:tcW w:w="198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9D9359"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Poste</w:t>
            </w:r>
          </w:p>
        </w:tc>
        <w:tc>
          <w:tcPr>
            <w:tcW w:w="662"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2A7380"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Catégorie de contrat</w:t>
            </w:r>
          </w:p>
        </w:tc>
        <w:tc>
          <w:tcPr>
            <w:tcW w:w="8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9E0238"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Date de prise de poste</w:t>
            </w:r>
          </w:p>
        </w:tc>
      </w:tr>
      <w:tr w:rsidR="002E1D97" w:rsidRPr="003D5BF3" w14:paraId="5F1E0F82"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hideMark/>
          </w:tcPr>
          <w:p w14:paraId="0B812EB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75E8CDC2" w14:textId="77777777" w:rsidR="003D5BF3" w:rsidRPr="00CA09B9" w:rsidRDefault="003D5BF3" w:rsidP="006B0F69">
            <w:pPr>
              <w:spacing w:after="0" w:line="240" w:lineRule="auto"/>
              <w:jc w:val="both"/>
              <w:rPr>
                <w:rFonts w:ascii="Aptos Narrow" w:eastAsia="Times New Roman" w:hAnsi="Aptos Narrow" w:cs="Times New Roman"/>
                <w:color w:val="000000"/>
                <w:lang w:val="es-ES"/>
              </w:rPr>
            </w:pPr>
            <w:r w:rsidRPr="00CA09B9">
              <w:rPr>
                <w:rFonts w:ascii="Aptos Narrow" w:eastAsia="Times New Roman" w:hAnsi="Aptos Narrow" w:cs="Times New Roman"/>
                <w:color w:val="000000"/>
                <w:lang w:val="es-ES"/>
              </w:rPr>
              <w:t>EL-ANZIZE Ali Boana Hidi</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7F2A71A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Passation de marchés et dématérialisation</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1A57F0C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3ABC2682" w14:textId="01915138" w:rsidR="003D5BF3" w:rsidRPr="003D5BF3" w:rsidRDefault="001327E4"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30-août-</w:t>
            </w:r>
            <w:r w:rsidR="003D5BF3" w:rsidRPr="003D5BF3">
              <w:rPr>
                <w:rFonts w:ascii="Aptos Narrow" w:eastAsia="Times New Roman" w:hAnsi="Aptos Narrow" w:cs="Times New Roman"/>
                <w:color w:val="000000"/>
              </w:rPr>
              <w:t>24</w:t>
            </w:r>
          </w:p>
        </w:tc>
      </w:tr>
      <w:tr w:rsidR="002E1D97" w:rsidRPr="003D5BF3" w14:paraId="39EF5C98"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hideMark/>
          </w:tcPr>
          <w:p w14:paraId="1F45D69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2</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5546ACC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APPASAMY-KISTNASAMY Kaleivani</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135E6E0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Assistante Ressources Humaines</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28AF334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644EB129"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02-Sep-24</w:t>
            </w:r>
          </w:p>
        </w:tc>
      </w:tr>
      <w:tr w:rsidR="002E1D97" w:rsidRPr="003D5BF3" w14:paraId="17A3106F"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hideMark/>
          </w:tcPr>
          <w:p w14:paraId="2EBFFFDF"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16C7E0E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SAHABUN Muhammad Ziyaad Islam</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0D0B13E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Gestion des Risques et Conformité</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7D07113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132BF00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09-Sep-24</w:t>
            </w:r>
          </w:p>
        </w:tc>
      </w:tr>
      <w:tr w:rsidR="002E1D97" w:rsidRPr="003D5BF3" w14:paraId="32959BB5"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hideMark/>
          </w:tcPr>
          <w:p w14:paraId="65BA436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4</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35B8681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RANDIMBIARIMANANA Sandaniaina Louisa</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7E7CF6A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Responsable de la gestion administrative et logistique </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1B0EE0B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24CEF4E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30-Sep-24</w:t>
            </w:r>
          </w:p>
        </w:tc>
      </w:tr>
      <w:tr w:rsidR="002E1D97" w:rsidRPr="003D5BF3" w14:paraId="6D4C9639"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hideMark/>
          </w:tcPr>
          <w:p w14:paraId="3083302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5</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33DBAB0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ANDRIAMAHEFAZAFY Aina Liselle</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0D3DEBD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Spécialiste en planification, suivi, évaluation et rapport </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1B8E4478"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3BE5788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30-Sep-24</w:t>
            </w:r>
          </w:p>
        </w:tc>
      </w:tr>
      <w:tr w:rsidR="002E1D97" w:rsidRPr="003D5BF3" w14:paraId="79BDA19B"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44563FD5" w14:textId="0669438E"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6</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3BDB949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MERMERA Catherine</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71E01FE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Adjointe au Responsable de Communication</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3E34997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02F12FA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03-Mars-25</w:t>
            </w:r>
          </w:p>
        </w:tc>
      </w:tr>
      <w:tr w:rsidR="002E1D97" w:rsidRPr="003D5BF3" w14:paraId="2DA70E43"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67000BC3" w14:textId="0F51542A"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7</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07D02A8F"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ITTOO Rudy</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57FD66F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Budget et Finance</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2F63383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0C6F875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550A29" w:rsidRPr="003D5BF3" w14:paraId="3B3CDD56"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7CDAE007" w14:textId="3E167DDD"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8</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73D1558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RAKOTONDRAMANANA Alihasina</w:t>
            </w:r>
          </w:p>
        </w:tc>
        <w:tc>
          <w:tcPr>
            <w:tcW w:w="1984" w:type="pct"/>
            <w:tcBorders>
              <w:top w:val="single" w:sz="4" w:space="0" w:color="156082"/>
              <w:left w:val="single" w:sz="4" w:space="0" w:color="auto"/>
              <w:bottom w:val="nil"/>
              <w:right w:val="single" w:sz="4" w:space="0" w:color="auto"/>
            </w:tcBorders>
            <w:noWrap/>
            <w:vAlign w:val="bottom"/>
            <w:hideMark/>
          </w:tcPr>
          <w:p w14:paraId="40CA953A"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mobilisation des ressources</w:t>
            </w:r>
          </w:p>
        </w:tc>
        <w:tc>
          <w:tcPr>
            <w:tcW w:w="662" w:type="pct"/>
            <w:tcBorders>
              <w:top w:val="single" w:sz="4" w:space="0" w:color="156082"/>
              <w:left w:val="single" w:sz="4" w:space="0" w:color="auto"/>
              <w:bottom w:val="nil"/>
              <w:right w:val="single" w:sz="4" w:space="0" w:color="auto"/>
            </w:tcBorders>
            <w:noWrap/>
            <w:vAlign w:val="bottom"/>
            <w:hideMark/>
          </w:tcPr>
          <w:p w14:paraId="36CB97AE"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3B86BE3C"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29-Sep-25</w:t>
            </w:r>
          </w:p>
        </w:tc>
      </w:tr>
      <w:tr w:rsidR="002E1D97" w:rsidRPr="003D5BF3" w14:paraId="06351C8D"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29040868" w14:textId="7FE7605F"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9</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1AC3414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SYLVA Géraldine</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4FACA6F9"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 (Budget et Finance)</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2D8E784C"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4DA9CD48"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2E1D97" w:rsidRPr="003D5BF3" w14:paraId="2D1D6027"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3E94F516" w14:textId="5D544C17"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10</w:t>
            </w:r>
          </w:p>
        </w:tc>
        <w:tc>
          <w:tcPr>
            <w:tcW w:w="1251" w:type="pct"/>
            <w:tcBorders>
              <w:top w:val="single" w:sz="4" w:space="0" w:color="auto"/>
              <w:left w:val="single" w:sz="4" w:space="0" w:color="auto"/>
              <w:bottom w:val="single" w:sz="4" w:space="0" w:color="auto"/>
              <w:right w:val="single" w:sz="4" w:space="0" w:color="auto"/>
            </w:tcBorders>
            <w:noWrap/>
            <w:vAlign w:val="bottom"/>
            <w:hideMark/>
          </w:tcPr>
          <w:p w14:paraId="738B18BE"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SCHOUPPE Claudia</w:t>
            </w:r>
          </w:p>
        </w:tc>
        <w:tc>
          <w:tcPr>
            <w:tcW w:w="1984" w:type="pct"/>
            <w:tcBorders>
              <w:top w:val="single" w:sz="4" w:space="0" w:color="auto"/>
              <w:left w:val="single" w:sz="4" w:space="0" w:color="auto"/>
              <w:bottom w:val="single" w:sz="4" w:space="0" w:color="auto"/>
              <w:right w:val="single" w:sz="4" w:space="0" w:color="auto"/>
            </w:tcBorders>
            <w:noWrap/>
            <w:vAlign w:val="bottom"/>
            <w:hideMark/>
          </w:tcPr>
          <w:p w14:paraId="3A41235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Secrétaire auprès de la direction </w:t>
            </w:r>
          </w:p>
        </w:tc>
        <w:tc>
          <w:tcPr>
            <w:tcW w:w="662" w:type="pct"/>
            <w:tcBorders>
              <w:top w:val="single" w:sz="4" w:space="0" w:color="auto"/>
              <w:left w:val="single" w:sz="4" w:space="0" w:color="auto"/>
              <w:bottom w:val="single" w:sz="4" w:space="0" w:color="auto"/>
              <w:right w:val="single" w:sz="4" w:space="0" w:color="auto"/>
            </w:tcBorders>
            <w:noWrap/>
            <w:vAlign w:val="bottom"/>
            <w:hideMark/>
          </w:tcPr>
          <w:p w14:paraId="6FF687D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10" w:type="pct"/>
            <w:tcBorders>
              <w:top w:val="single" w:sz="4" w:space="0" w:color="auto"/>
              <w:left w:val="single" w:sz="4" w:space="0" w:color="auto"/>
              <w:bottom w:val="single" w:sz="4" w:space="0" w:color="auto"/>
              <w:right w:val="single" w:sz="4" w:space="0" w:color="auto"/>
            </w:tcBorders>
            <w:noWrap/>
            <w:vAlign w:val="bottom"/>
            <w:hideMark/>
          </w:tcPr>
          <w:p w14:paraId="5FC53F6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550A29" w:rsidRPr="003D5BF3" w14:paraId="7ABA28BF"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53B7254A" w14:textId="16061023" w:rsidR="00550A29"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11</w:t>
            </w:r>
          </w:p>
        </w:tc>
        <w:tc>
          <w:tcPr>
            <w:tcW w:w="1251" w:type="pct"/>
            <w:tcBorders>
              <w:top w:val="single" w:sz="4" w:space="0" w:color="auto"/>
              <w:left w:val="single" w:sz="4" w:space="0" w:color="auto"/>
              <w:bottom w:val="single" w:sz="4" w:space="0" w:color="auto"/>
              <w:right w:val="single" w:sz="4" w:space="0" w:color="auto"/>
            </w:tcBorders>
            <w:noWrap/>
            <w:vAlign w:val="bottom"/>
          </w:tcPr>
          <w:p w14:paraId="341E6ADD" w14:textId="21EEEFC5"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JEEBODH </w:t>
            </w:r>
            <w:proofErr w:type="spellStart"/>
            <w:r w:rsidRPr="003D5BF3">
              <w:rPr>
                <w:rFonts w:ascii="Aptos Narrow" w:eastAsia="Times New Roman" w:hAnsi="Aptos Narrow" w:cs="Times New Roman"/>
                <w:color w:val="000000"/>
              </w:rPr>
              <w:t>Bineshwaree</w:t>
            </w:r>
            <w:proofErr w:type="spellEnd"/>
            <w:r w:rsidRPr="003D5BF3">
              <w:rPr>
                <w:rFonts w:ascii="Aptos Narrow" w:eastAsia="Times New Roman" w:hAnsi="Aptos Narrow" w:cs="Times New Roman"/>
                <w:color w:val="000000"/>
              </w:rPr>
              <w:t xml:space="preserve"> </w:t>
            </w:r>
          </w:p>
        </w:tc>
        <w:tc>
          <w:tcPr>
            <w:tcW w:w="1984" w:type="pct"/>
            <w:tcBorders>
              <w:top w:val="single" w:sz="4" w:space="0" w:color="auto"/>
              <w:left w:val="single" w:sz="4" w:space="0" w:color="auto"/>
              <w:bottom w:val="single" w:sz="4" w:space="0" w:color="auto"/>
              <w:right w:val="single" w:sz="4" w:space="0" w:color="auto"/>
            </w:tcBorders>
            <w:noWrap/>
            <w:vAlign w:val="bottom"/>
          </w:tcPr>
          <w:p w14:paraId="0DF6781B" w14:textId="66710AD7"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 (Audit Interne)</w:t>
            </w:r>
          </w:p>
        </w:tc>
        <w:tc>
          <w:tcPr>
            <w:tcW w:w="662" w:type="pct"/>
            <w:tcBorders>
              <w:top w:val="single" w:sz="4" w:space="0" w:color="auto"/>
              <w:left w:val="single" w:sz="4" w:space="0" w:color="auto"/>
              <w:bottom w:val="single" w:sz="4" w:space="0" w:color="auto"/>
              <w:right w:val="single" w:sz="4" w:space="0" w:color="auto"/>
            </w:tcBorders>
            <w:noWrap/>
            <w:vAlign w:val="bottom"/>
          </w:tcPr>
          <w:p w14:paraId="436A52CA" w14:textId="19B9D5BD"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10" w:type="pct"/>
            <w:tcBorders>
              <w:top w:val="single" w:sz="4" w:space="0" w:color="auto"/>
              <w:left w:val="single" w:sz="4" w:space="0" w:color="auto"/>
              <w:bottom w:val="single" w:sz="4" w:space="0" w:color="auto"/>
              <w:right w:val="single" w:sz="4" w:space="0" w:color="auto"/>
            </w:tcBorders>
            <w:noWrap/>
            <w:vAlign w:val="bottom"/>
          </w:tcPr>
          <w:p w14:paraId="60F6E4F3" w14:textId="09498243"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16-Avril-25</w:t>
            </w:r>
          </w:p>
        </w:tc>
      </w:tr>
      <w:tr w:rsidR="00550A29" w:rsidRPr="003D5BF3" w14:paraId="072DA526" w14:textId="77777777" w:rsidTr="00496D17">
        <w:trPr>
          <w:trHeight w:val="300"/>
        </w:trPr>
        <w:tc>
          <w:tcPr>
            <w:tcW w:w="293" w:type="pct"/>
            <w:tcBorders>
              <w:top w:val="single" w:sz="4" w:space="0" w:color="auto"/>
              <w:left w:val="single" w:sz="4" w:space="0" w:color="auto"/>
              <w:bottom w:val="single" w:sz="4" w:space="0" w:color="auto"/>
              <w:right w:val="single" w:sz="4" w:space="0" w:color="auto"/>
            </w:tcBorders>
            <w:noWrap/>
            <w:vAlign w:val="bottom"/>
          </w:tcPr>
          <w:p w14:paraId="68C656E7" w14:textId="4F2602D3" w:rsidR="00550A29"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12</w:t>
            </w:r>
          </w:p>
        </w:tc>
        <w:tc>
          <w:tcPr>
            <w:tcW w:w="1251" w:type="pct"/>
            <w:tcBorders>
              <w:top w:val="single" w:sz="4" w:space="0" w:color="auto"/>
              <w:left w:val="single" w:sz="4" w:space="0" w:color="auto"/>
              <w:bottom w:val="single" w:sz="4" w:space="0" w:color="auto"/>
              <w:right w:val="single" w:sz="4" w:space="0" w:color="auto"/>
            </w:tcBorders>
            <w:noWrap/>
            <w:vAlign w:val="bottom"/>
          </w:tcPr>
          <w:p w14:paraId="1C00D29B" w14:textId="2C894BD2" w:rsidR="00550A29" w:rsidRPr="003D5BF3" w:rsidRDefault="00494E63"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 xml:space="preserve">AREKLION Jean Claude </w:t>
            </w:r>
          </w:p>
        </w:tc>
        <w:tc>
          <w:tcPr>
            <w:tcW w:w="1984" w:type="pct"/>
            <w:tcBorders>
              <w:top w:val="single" w:sz="4" w:space="0" w:color="auto"/>
              <w:left w:val="single" w:sz="4" w:space="0" w:color="auto"/>
              <w:bottom w:val="single" w:sz="4" w:space="0" w:color="auto"/>
              <w:right w:val="single" w:sz="4" w:space="0" w:color="auto"/>
            </w:tcBorders>
            <w:noWrap/>
            <w:vAlign w:val="bottom"/>
          </w:tcPr>
          <w:p w14:paraId="669C535B" w14:textId="32437BD4"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administratif - Passation de Marchés</w:t>
            </w:r>
          </w:p>
        </w:tc>
        <w:tc>
          <w:tcPr>
            <w:tcW w:w="662" w:type="pct"/>
            <w:tcBorders>
              <w:top w:val="single" w:sz="4" w:space="0" w:color="auto"/>
              <w:left w:val="single" w:sz="4" w:space="0" w:color="auto"/>
              <w:bottom w:val="single" w:sz="4" w:space="0" w:color="auto"/>
              <w:right w:val="single" w:sz="4" w:space="0" w:color="auto"/>
            </w:tcBorders>
            <w:noWrap/>
            <w:vAlign w:val="bottom"/>
          </w:tcPr>
          <w:p w14:paraId="1636BC1A" w14:textId="61F25220"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10" w:type="pct"/>
            <w:tcBorders>
              <w:top w:val="single" w:sz="4" w:space="0" w:color="auto"/>
              <w:left w:val="single" w:sz="4" w:space="0" w:color="auto"/>
              <w:bottom w:val="single" w:sz="4" w:space="0" w:color="auto"/>
              <w:right w:val="single" w:sz="4" w:space="0" w:color="auto"/>
            </w:tcBorders>
            <w:noWrap/>
            <w:vAlign w:val="bottom"/>
          </w:tcPr>
          <w:p w14:paraId="4CDAF674" w14:textId="2FDE71E2" w:rsidR="00550A29" w:rsidRPr="003D5BF3" w:rsidRDefault="00494E63"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w:t>
            </w:r>
            <w:r w:rsidR="00F716BE" w:rsidRPr="003D5BF3">
              <w:rPr>
                <w:rFonts w:ascii="Aptos Narrow" w:eastAsia="Times New Roman" w:hAnsi="Aptos Narrow" w:cs="Times New Roman"/>
                <w:color w:val="000000"/>
              </w:rPr>
              <w:t>-Avril-2</w:t>
            </w:r>
            <w:r w:rsidR="00F716BE">
              <w:rPr>
                <w:rFonts w:ascii="Aptos Narrow" w:eastAsia="Times New Roman" w:hAnsi="Aptos Narrow" w:cs="Times New Roman"/>
                <w:color w:val="000000"/>
              </w:rPr>
              <w:t>6</w:t>
            </w:r>
          </w:p>
        </w:tc>
      </w:tr>
    </w:tbl>
    <w:p w14:paraId="303A5F38" w14:textId="77777777" w:rsidR="00562E4C" w:rsidRDefault="00562E4C" w:rsidP="006B0F69">
      <w:pPr>
        <w:spacing w:after="0" w:line="240" w:lineRule="auto"/>
        <w:jc w:val="both"/>
        <w:rPr>
          <w:rFonts w:ascii="Verdana" w:hAnsi="Verdana"/>
          <w:sz w:val="20"/>
          <w:szCs w:val="20"/>
        </w:rPr>
      </w:pPr>
    </w:p>
    <w:p w14:paraId="413FA4C8" w14:textId="77777777" w:rsidR="00420C8B" w:rsidRDefault="00420C8B" w:rsidP="006B0F69">
      <w:pPr>
        <w:spacing w:after="0" w:line="240" w:lineRule="auto"/>
        <w:jc w:val="both"/>
        <w:rPr>
          <w:rFonts w:ascii="Verdana" w:hAnsi="Verdana"/>
          <w:sz w:val="20"/>
          <w:szCs w:val="20"/>
        </w:rPr>
      </w:pPr>
    </w:p>
    <w:p w14:paraId="0437EC8E" w14:textId="5BD6B0CA" w:rsidR="00420C8B" w:rsidRDefault="00806840" w:rsidP="00FA15FB">
      <w:pPr>
        <w:pStyle w:val="Sous-partie2"/>
        <w:numPr>
          <w:ilvl w:val="0"/>
          <w:numId w:val="0"/>
        </w:numPr>
        <w:ind w:left="360"/>
      </w:pPr>
      <w:r>
        <w:t>2.</w:t>
      </w:r>
      <w:r w:rsidR="0046566D">
        <w:t>2</w:t>
      </w:r>
      <w:r>
        <w:t xml:space="preserve">. </w:t>
      </w:r>
      <w:r w:rsidR="00420C8B">
        <w:t xml:space="preserve">Formation  </w:t>
      </w:r>
    </w:p>
    <w:p w14:paraId="04EE5AD7" w14:textId="77777777" w:rsidR="001B512C" w:rsidRPr="001B512C" w:rsidRDefault="001B512C" w:rsidP="001B512C">
      <w:pPr>
        <w:spacing w:after="0" w:line="240" w:lineRule="auto"/>
        <w:jc w:val="both"/>
        <w:rPr>
          <w:rFonts w:ascii="Verdana" w:hAnsi="Verdana"/>
          <w:sz w:val="20"/>
          <w:szCs w:val="20"/>
        </w:rPr>
      </w:pPr>
      <w:r w:rsidRPr="001B512C">
        <w:rPr>
          <w:rFonts w:ascii="Verdana" w:hAnsi="Verdana"/>
          <w:sz w:val="20"/>
          <w:szCs w:val="20"/>
        </w:rPr>
        <w:t>Dans le cadre du processus de modernisation de la COI et en lien avec l’accréditation aux neuf piliers, un plan de formation pluriannuel couvrant la période 2025–2027 a été élaboré. Financée en grande partie par le projet Horizon 2030, cette démarche prévoit un dispositif combinant des formations assurées par les assistants techniques du projet, des sessions organisées en interne ainsi que des formations dispensées par des prestataires externes.</w:t>
      </w:r>
    </w:p>
    <w:p w14:paraId="471F9C3B" w14:textId="77777777" w:rsidR="001B512C" w:rsidRPr="001B512C" w:rsidRDefault="001B512C" w:rsidP="001B512C">
      <w:pPr>
        <w:spacing w:after="0" w:line="240" w:lineRule="auto"/>
        <w:jc w:val="both"/>
        <w:rPr>
          <w:rFonts w:ascii="Verdana" w:hAnsi="Verdana"/>
          <w:sz w:val="20"/>
          <w:szCs w:val="20"/>
        </w:rPr>
      </w:pPr>
      <w:r w:rsidRPr="001B512C">
        <w:rPr>
          <w:rFonts w:ascii="Verdana" w:hAnsi="Verdana"/>
          <w:sz w:val="20"/>
          <w:szCs w:val="20"/>
        </w:rPr>
        <w:t>Ce plan vise à renforcer les compétences du personnel afin de répondre aux priorités définies dans le Plan de Développement Stratégique (PDS) et d’accompagner efficacement la mise en œuvre des projets régionaux. À ce titre, plusieurs appels d’offres seront lancés afin de mobiliser des prestataires externes spécialisés. Le plan de formation constitue ainsi un levier essentiel de professionnalisation et de performance organisationnelle, contribuant directement à la modernisation de la COI et à l’atteinte de ses objectifs stratégiques.</w:t>
      </w:r>
    </w:p>
    <w:p w14:paraId="22B97121" w14:textId="77777777" w:rsidR="001B512C" w:rsidRPr="001B512C" w:rsidRDefault="001B512C" w:rsidP="001B512C">
      <w:pPr>
        <w:spacing w:after="0" w:line="240" w:lineRule="auto"/>
        <w:jc w:val="both"/>
        <w:rPr>
          <w:rFonts w:ascii="Verdana" w:hAnsi="Verdana"/>
          <w:sz w:val="20"/>
          <w:szCs w:val="20"/>
        </w:rPr>
      </w:pPr>
      <w:r w:rsidRPr="001B512C">
        <w:rPr>
          <w:rFonts w:ascii="Verdana" w:hAnsi="Verdana"/>
          <w:sz w:val="20"/>
          <w:szCs w:val="20"/>
        </w:rPr>
        <w:t>Le plan de formation a été présenté lors du COPIL Horizon 2030. Dans ce cadre, trois appels à manifestation d’intérêt ont été lancés en décembre 2025 en vue de la mise en place de trois contrats-cadres, avec une date de clôture fixée au 13 février 2026, portant sur les thématiques suivantes :</w:t>
      </w:r>
    </w:p>
    <w:p w14:paraId="3F35D5D5" w14:textId="77777777" w:rsidR="001B512C" w:rsidRPr="001B512C" w:rsidRDefault="001B512C" w:rsidP="001B512C">
      <w:pPr>
        <w:numPr>
          <w:ilvl w:val="0"/>
          <w:numId w:val="22"/>
        </w:numPr>
        <w:spacing w:after="0" w:line="240" w:lineRule="auto"/>
        <w:jc w:val="both"/>
        <w:rPr>
          <w:rFonts w:ascii="Verdana" w:hAnsi="Verdana"/>
          <w:sz w:val="20"/>
          <w:szCs w:val="20"/>
        </w:rPr>
      </w:pPr>
      <w:proofErr w:type="gramStart"/>
      <w:r w:rsidRPr="001B512C">
        <w:rPr>
          <w:rFonts w:ascii="Verdana" w:hAnsi="Verdana"/>
          <w:sz w:val="20"/>
          <w:szCs w:val="20"/>
        </w:rPr>
        <w:t>formations</w:t>
      </w:r>
      <w:proofErr w:type="gramEnd"/>
      <w:r w:rsidRPr="001B512C">
        <w:rPr>
          <w:rFonts w:ascii="Verdana" w:hAnsi="Verdana"/>
          <w:sz w:val="20"/>
          <w:szCs w:val="20"/>
        </w:rPr>
        <w:t xml:space="preserve"> informatiques ; </w:t>
      </w:r>
    </w:p>
    <w:p w14:paraId="0F5913DD" w14:textId="77777777" w:rsidR="001B512C" w:rsidRPr="001B512C" w:rsidRDefault="001B512C" w:rsidP="001B512C">
      <w:pPr>
        <w:numPr>
          <w:ilvl w:val="0"/>
          <w:numId w:val="22"/>
        </w:numPr>
        <w:spacing w:after="0" w:line="240" w:lineRule="auto"/>
        <w:jc w:val="both"/>
        <w:rPr>
          <w:rFonts w:ascii="Verdana" w:hAnsi="Verdana"/>
          <w:sz w:val="20"/>
          <w:szCs w:val="20"/>
        </w:rPr>
      </w:pPr>
      <w:proofErr w:type="gramStart"/>
      <w:r w:rsidRPr="001B512C">
        <w:rPr>
          <w:rFonts w:ascii="Verdana" w:hAnsi="Verdana"/>
          <w:sz w:val="20"/>
          <w:szCs w:val="20"/>
        </w:rPr>
        <w:t>compétences</w:t>
      </w:r>
      <w:proofErr w:type="gramEnd"/>
      <w:r w:rsidRPr="001B512C">
        <w:rPr>
          <w:rFonts w:ascii="Verdana" w:hAnsi="Verdana"/>
          <w:sz w:val="20"/>
          <w:szCs w:val="20"/>
        </w:rPr>
        <w:t xml:space="preserve"> transversales ; </w:t>
      </w:r>
    </w:p>
    <w:p w14:paraId="675BC3B3" w14:textId="77777777" w:rsidR="001B512C" w:rsidRPr="001B512C" w:rsidRDefault="001B512C" w:rsidP="001B512C">
      <w:pPr>
        <w:numPr>
          <w:ilvl w:val="0"/>
          <w:numId w:val="22"/>
        </w:numPr>
        <w:spacing w:after="0" w:line="240" w:lineRule="auto"/>
        <w:jc w:val="both"/>
        <w:rPr>
          <w:rFonts w:ascii="Verdana" w:hAnsi="Verdana"/>
          <w:sz w:val="20"/>
          <w:szCs w:val="20"/>
        </w:rPr>
      </w:pPr>
      <w:proofErr w:type="gramStart"/>
      <w:r w:rsidRPr="001B512C">
        <w:rPr>
          <w:rFonts w:ascii="Verdana" w:hAnsi="Verdana"/>
          <w:sz w:val="20"/>
          <w:szCs w:val="20"/>
        </w:rPr>
        <w:t>team</w:t>
      </w:r>
      <w:proofErr w:type="gramEnd"/>
      <w:r w:rsidRPr="001B512C">
        <w:rPr>
          <w:rFonts w:ascii="Verdana" w:hAnsi="Verdana"/>
          <w:sz w:val="20"/>
          <w:szCs w:val="20"/>
        </w:rPr>
        <w:t xml:space="preserve"> building. </w:t>
      </w:r>
    </w:p>
    <w:p w14:paraId="466F8FA1" w14:textId="77777777" w:rsidR="001B512C" w:rsidRPr="001B512C" w:rsidRDefault="001B512C" w:rsidP="001B512C">
      <w:pPr>
        <w:spacing w:after="0" w:line="240" w:lineRule="auto"/>
        <w:jc w:val="both"/>
        <w:rPr>
          <w:rFonts w:ascii="Verdana" w:hAnsi="Verdana"/>
          <w:sz w:val="20"/>
          <w:szCs w:val="20"/>
        </w:rPr>
      </w:pPr>
      <w:r w:rsidRPr="001B512C">
        <w:rPr>
          <w:rFonts w:ascii="Verdana" w:hAnsi="Verdana"/>
          <w:sz w:val="20"/>
          <w:szCs w:val="20"/>
        </w:rPr>
        <w:t>Les offres reçues ont été évaluées par les comités compétents. À l’issue de cette étape, les appels d’offres ont été lancés par le Service des Marchés et Contrats (SMC) auprès des prestataires présélectionnés, avec une date limite de soumission fixée au 30 avril 2026. La finalisation des contrats est prévue au cours du mois de mai 2026.</w:t>
      </w:r>
    </w:p>
    <w:p w14:paraId="7DCFF3BA" w14:textId="77777777" w:rsidR="00805977" w:rsidRPr="001B512C" w:rsidRDefault="00805977" w:rsidP="006B0F69">
      <w:pPr>
        <w:spacing w:after="0" w:line="240" w:lineRule="auto"/>
        <w:jc w:val="both"/>
        <w:rPr>
          <w:rFonts w:ascii="Verdana" w:hAnsi="Verdana"/>
          <w:sz w:val="20"/>
          <w:szCs w:val="20"/>
        </w:rPr>
      </w:pPr>
    </w:p>
    <w:p w14:paraId="2F7F5914" w14:textId="608AD6BB" w:rsidR="00955BB3" w:rsidRPr="0008468B" w:rsidRDefault="00955BB3" w:rsidP="006B0F69">
      <w:pPr>
        <w:pStyle w:val="Titrepartie"/>
      </w:pPr>
      <w:r w:rsidRPr="0008468B">
        <w:t>Proposition de décision</w:t>
      </w:r>
    </w:p>
    <w:p w14:paraId="05F1F967" w14:textId="4CB2A247" w:rsidR="0008468B" w:rsidRPr="004F5C4B" w:rsidRDefault="0008468B" w:rsidP="006B0F69">
      <w:pPr>
        <w:pStyle w:val="Paragraphe"/>
      </w:pPr>
      <w:r w:rsidRPr="004F5C4B">
        <w:t xml:space="preserve">Le Comité des </w:t>
      </w:r>
      <w:r w:rsidR="00367777" w:rsidRPr="004F5C4B">
        <w:t>OPL</w:t>
      </w:r>
      <w:r w:rsidR="00367777">
        <w:t xml:space="preserve"> :</w:t>
      </w:r>
    </w:p>
    <w:p w14:paraId="1928F4CC" w14:textId="7A704F55" w:rsidR="008E70AB" w:rsidRDefault="008E70AB" w:rsidP="006B0F69">
      <w:pPr>
        <w:pStyle w:val="Paragraphe"/>
        <w:numPr>
          <w:ilvl w:val="0"/>
          <w:numId w:val="6"/>
        </w:numPr>
      </w:pPr>
      <w:r>
        <w:t xml:space="preserve">Félicite le </w:t>
      </w:r>
      <w:r w:rsidR="00676D6F">
        <w:t>S</w:t>
      </w:r>
      <w:r>
        <w:t xml:space="preserve">ecrétariat général pour </w:t>
      </w:r>
      <w:r w:rsidR="00F64118">
        <w:t>s</w:t>
      </w:r>
      <w:r>
        <w:t>es efforts dans le renforcement du personnel</w:t>
      </w:r>
      <w:r w:rsidR="00676D6F">
        <w:t> ;</w:t>
      </w:r>
    </w:p>
    <w:p w14:paraId="0B008DC9" w14:textId="4CB1A937" w:rsidR="00F3688F" w:rsidRDefault="00CE01FA" w:rsidP="006B0F69">
      <w:pPr>
        <w:pStyle w:val="Paragraphe"/>
        <w:numPr>
          <w:ilvl w:val="0"/>
          <w:numId w:val="6"/>
        </w:numPr>
      </w:pPr>
      <w:r w:rsidRPr="00CE01FA">
        <w:t xml:space="preserve">Prend note de l’élaboration par le Secrétariat général </w:t>
      </w:r>
      <w:r w:rsidR="00B91EEC">
        <w:t xml:space="preserve">du </w:t>
      </w:r>
      <w:r w:rsidRPr="00CE01FA">
        <w:t>lancement des appels d’offres, tout en saluant les efforts continus de renforcement des capacités</w:t>
      </w:r>
      <w:r w:rsidR="005A17E8">
        <w:t>.</w:t>
      </w:r>
    </w:p>
    <w:p w14:paraId="430A2641" w14:textId="77777777" w:rsidR="008573BA" w:rsidRPr="00AB0FFE" w:rsidRDefault="008573BA" w:rsidP="006B0F69">
      <w:pPr>
        <w:pStyle w:val="Paragraphe"/>
        <w:ind w:left="720"/>
      </w:pPr>
    </w:p>
    <w:bookmarkEnd w:id="0"/>
    <w:p w14:paraId="1D6F1669" w14:textId="617B840F" w:rsidR="00417683" w:rsidRPr="0008468B" w:rsidRDefault="00417683" w:rsidP="006B0F69">
      <w:pPr>
        <w:pStyle w:val="Titrepartie"/>
      </w:pPr>
      <w:r w:rsidRPr="0008468B">
        <w:t>Annexe</w:t>
      </w:r>
      <w:r w:rsidR="008F173C" w:rsidRPr="0008468B">
        <w:t>s</w:t>
      </w:r>
      <w:r w:rsidRPr="0008468B">
        <w:t> :</w:t>
      </w:r>
    </w:p>
    <w:p w14:paraId="30A264E1" w14:textId="7061C98B" w:rsidR="00206E8F" w:rsidRDefault="00206E8F" w:rsidP="006B0F69">
      <w:pPr>
        <w:pStyle w:val="Paragraphe"/>
        <w:numPr>
          <w:ilvl w:val="0"/>
          <w:numId w:val="13"/>
        </w:numPr>
      </w:pPr>
      <w:r>
        <w:t>Annexe 1 : Arrivée et départs 202</w:t>
      </w:r>
      <w:r w:rsidR="002A0C23">
        <w:t>6</w:t>
      </w:r>
      <w:r w:rsidR="00B00115">
        <w:t xml:space="preserve"> </w:t>
      </w:r>
    </w:p>
    <w:p w14:paraId="6104D458" w14:textId="77777777" w:rsidR="00206E8F" w:rsidRDefault="00206E8F" w:rsidP="006B0F69">
      <w:pPr>
        <w:pStyle w:val="Paragraphe"/>
        <w:numPr>
          <w:ilvl w:val="0"/>
          <w:numId w:val="13"/>
        </w:numPr>
      </w:pPr>
      <w:r>
        <w:t>Annexe 2 : Distribution du personnel par catégorie</w:t>
      </w:r>
    </w:p>
    <w:p w14:paraId="50265A38" w14:textId="591DB5B2" w:rsidR="009526D7" w:rsidRPr="00620B90" w:rsidRDefault="005A17E8" w:rsidP="004D44BC">
      <w:pPr>
        <w:pStyle w:val="Paragraphe"/>
        <w:numPr>
          <w:ilvl w:val="0"/>
          <w:numId w:val="13"/>
        </w:numPr>
      </w:pPr>
      <w:r>
        <w:t xml:space="preserve">Annexe </w:t>
      </w:r>
      <w:r w:rsidR="004769C8">
        <w:t>3</w:t>
      </w:r>
      <w:r>
        <w:t xml:space="preserve"> : </w:t>
      </w:r>
      <w:r w:rsidR="00130B5A">
        <w:t>Organigramme</w:t>
      </w:r>
    </w:p>
    <w:sectPr w:rsidR="009526D7" w:rsidRPr="00620B90" w:rsidSect="00FA15FB">
      <w:headerReference w:type="default" r:id="rId12"/>
      <w:footerReference w:type="default" r:id="rId13"/>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DE59" w14:textId="77777777" w:rsidR="00170CF3" w:rsidRDefault="00170CF3">
      <w:pPr>
        <w:spacing w:after="0" w:line="240" w:lineRule="auto"/>
      </w:pPr>
      <w:r>
        <w:separator/>
      </w:r>
    </w:p>
  </w:endnote>
  <w:endnote w:type="continuationSeparator" w:id="0">
    <w:p w14:paraId="2587C957" w14:textId="77777777" w:rsidR="00170CF3" w:rsidRDefault="0017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311D" w14:textId="77777777" w:rsidR="00170CF3" w:rsidRDefault="00170CF3">
      <w:pPr>
        <w:spacing w:after="0" w:line="240" w:lineRule="auto"/>
      </w:pPr>
      <w:r>
        <w:separator/>
      </w:r>
    </w:p>
  </w:footnote>
  <w:footnote w:type="continuationSeparator" w:id="0">
    <w:p w14:paraId="435285C6" w14:textId="77777777" w:rsidR="00170CF3" w:rsidRDefault="0017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274215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773521694" name="Image 77352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B116A1"/>
    <w:multiLevelType w:val="multilevel"/>
    <w:tmpl w:val="82F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57274">
    <w:abstractNumId w:val="5"/>
  </w:num>
  <w:num w:numId="2" w16cid:durableId="693463901">
    <w:abstractNumId w:val="13"/>
  </w:num>
  <w:num w:numId="3" w16cid:durableId="821701795">
    <w:abstractNumId w:val="3"/>
  </w:num>
  <w:num w:numId="4" w16cid:durableId="1419017904">
    <w:abstractNumId w:val="1"/>
  </w:num>
  <w:num w:numId="5" w16cid:durableId="1097139959">
    <w:abstractNumId w:val="11"/>
  </w:num>
  <w:num w:numId="6" w16cid:durableId="2071610087">
    <w:abstractNumId w:val="4"/>
  </w:num>
  <w:num w:numId="7" w16cid:durableId="2107577626">
    <w:abstractNumId w:val="7"/>
  </w:num>
  <w:num w:numId="8" w16cid:durableId="1778521923">
    <w:abstractNumId w:val="3"/>
    <w:lvlOverride w:ilvl="0">
      <w:startOverride w:val="1"/>
    </w:lvlOverride>
  </w:num>
  <w:num w:numId="9" w16cid:durableId="2010212023">
    <w:abstractNumId w:val="2"/>
  </w:num>
  <w:num w:numId="10" w16cid:durableId="1521746232">
    <w:abstractNumId w:val="8"/>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2"/>
  </w:num>
  <w:num w:numId="14" w16cid:durableId="246353209">
    <w:abstractNumId w:val="3"/>
  </w:num>
  <w:num w:numId="15" w16cid:durableId="438792381">
    <w:abstractNumId w:val="3"/>
  </w:num>
  <w:num w:numId="16" w16cid:durableId="1429961536">
    <w:abstractNumId w:val="0"/>
  </w:num>
  <w:num w:numId="17" w16cid:durableId="656954349">
    <w:abstractNumId w:val="10"/>
  </w:num>
  <w:num w:numId="18" w16cid:durableId="1868371592">
    <w:abstractNumId w:val="9"/>
  </w:num>
  <w:num w:numId="19" w16cid:durableId="1107430927">
    <w:abstractNumId w:val="3"/>
  </w:num>
  <w:num w:numId="20" w16cid:durableId="553079148">
    <w:abstractNumId w:val="3"/>
  </w:num>
  <w:num w:numId="21" w16cid:durableId="286550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659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7B6C"/>
    <w:rsid w:val="00022EC7"/>
    <w:rsid w:val="00023F49"/>
    <w:rsid w:val="00030009"/>
    <w:rsid w:val="0003441F"/>
    <w:rsid w:val="000373B2"/>
    <w:rsid w:val="00042CF5"/>
    <w:rsid w:val="00046928"/>
    <w:rsid w:val="000556C9"/>
    <w:rsid w:val="00056C26"/>
    <w:rsid w:val="00060619"/>
    <w:rsid w:val="00060CA0"/>
    <w:rsid w:val="00063A26"/>
    <w:rsid w:val="00066581"/>
    <w:rsid w:val="0008468B"/>
    <w:rsid w:val="000936FC"/>
    <w:rsid w:val="000A23AA"/>
    <w:rsid w:val="000A468A"/>
    <w:rsid w:val="000A6422"/>
    <w:rsid w:val="000B0FBD"/>
    <w:rsid w:val="000B1938"/>
    <w:rsid w:val="000B4009"/>
    <w:rsid w:val="000D0EB1"/>
    <w:rsid w:val="000D72DA"/>
    <w:rsid w:val="000E50B6"/>
    <w:rsid w:val="000F4728"/>
    <w:rsid w:val="000F790A"/>
    <w:rsid w:val="00100726"/>
    <w:rsid w:val="00104FC5"/>
    <w:rsid w:val="00107D9D"/>
    <w:rsid w:val="00112550"/>
    <w:rsid w:val="001127CD"/>
    <w:rsid w:val="001177D1"/>
    <w:rsid w:val="001177FB"/>
    <w:rsid w:val="001271C8"/>
    <w:rsid w:val="00130B5A"/>
    <w:rsid w:val="001327E4"/>
    <w:rsid w:val="00136B62"/>
    <w:rsid w:val="00140AF8"/>
    <w:rsid w:val="00141948"/>
    <w:rsid w:val="00150AC5"/>
    <w:rsid w:val="0015294B"/>
    <w:rsid w:val="00155011"/>
    <w:rsid w:val="00156EE3"/>
    <w:rsid w:val="0016192F"/>
    <w:rsid w:val="0016246C"/>
    <w:rsid w:val="001675BC"/>
    <w:rsid w:val="00170CF3"/>
    <w:rsid w:val="001729B2"/>
    <w:rsid w:val="0018252D"/>
    <w:rsid w:val="00183D04"/>
    <w:rsid w:val="0018498A"/>
    <w:rsid w:val="00197B37"/>
    <w:rsid w:val="001A1B43"/>
    <w:rsid w:val="001A2A9A"/>
    <w:rsid w:val="001A56F1"/>
    <w:rsid w:val="001B3A8D"/>
    <w:rsid w:val="001B4738"/>
    <w:rsid w:val="001B512C"/>
    <w:rsid w:val="001B71A4"/>
    <w:rsid w:val="001D6D52"/>
    <w:rsid w:val="001E1D66"/>
    <w:rsid w:val="001E35DE"/>
    <w:rsid w:val="001E592A"/>
    <w:rsid w:val="001E6336"/>
    <w:rsid w:val="00201AE9"/>
    <w:rsid w:val="00206E8F"/>
    <w:rsid w:val="0021063C"/>
    <w:rsid w:val="00214D5A"/>
    <w:rsid w:val="00215683"/>
    <w:rsid w:val="00220795"/>
    <w:rsid w:val="0022240D"/>
    <w:rsid w:val="002242B3"/>
    <w:rsid w:val="002242D3"/>
    <w:rsid w:val="002274FC"/>
    <w:rsid w:val="00227B22"/>
    <w:rsid w:val="00236E50"/>
    <w:rsid w:val="00247362"/>
    <w:rsid w:val="00254C08"/>
    <w:rsid w:val="00260240"/>
    <w:rsid w:val="00260991"/>
    <w:rsid w:val="002662B2"/>
    <w:rsid w:val="00272D9E"/>
    <w:rsid w:val="00274FF9"/>
    <w:rsid w:val="00281C93"/>
    <w:rsid w:val="00291BD4"/>
    <w:rsid w:val="0029209A"/>
    <w:rsid w:val="002A0933"/>
    <w:rsid w:val="002A096E"/>
    <w:rsid w:val="002A0C23"/>
    <w:rsid w:val="002B2D79"/>
    <w:rsid w:val="002B62D4"/>
    <w:rsid w:val="002C250A"/>
    <w:rsid w:val="002C56ED"/>
    <w:rsid w:val="002D43AC"/>
    <w:rsid w:val="002D6D00"/>
    <w:rsid w:val="002E1D97"/>
    <w:rsid w:val="002E370A"/>
    <w:rsid w:val="002E3BD5"/>
    <w:rsid w:val="002E5F9D"/>
    <w:rsid w:val="00303D80"/>
    <w:rsid w:val="0031316B"/>
    <w:rsid w:val="0031378A"/>
    <w:rsid w:val="003202A9"/>
    <w:rsid w:val="00332AA2"/>
    <w:rsid w:val="00333481"/>
    <w:rsid w:val="003376D1"/>
    <w:rsid w:val="00344FBE"/>
    <w:rsid w:val="003454D7"/>
    <w:rsid w:val="003604B9"/>
    <w:rsid w:val="003605C7"/>
    <w:rsid w:val="00360B33"/>
    <w:rsid w:val="0036287B"/>
    <w:rsid w:val="00367777"/>
    <w:rsid w:val="00375425"/>
    <w:rsid w:val="003772FB"/>
    <w:rsid w:val="00380B24"/>
    <w:rsid w:val="00385DAC"/>
    <w:rsid w:val="00391152"/>
    <w:rsid w:val="003922FC"/>
    <w:rsid w:val="0039325B"/>
    <w:rsid w:val="003953C5"/>
    <w:rsid w:val="003A0CE5"/>
    <w:rsid w:val="003A2E01"/>
    <w:rsid w:val="003A335B"/>
    <w:rsid w:val="003A3425"/>
    <w:rsid w:val="003A4ED0"/>
    <w:rsid w:val="003A6631"/>
    <w:rsid w:val="003A6EEB"/>
    <w:rsid w:val="003A73E9"/>
    <w:rsid w:val="003B0954"/>
    <w:rsid w:val="003B2ADC"/>
    <w:rsid w:val="003C2538"/>
    <w:rsid w:val="003D485F"/>
    <w:rsid w:val="003D5328"/>
    <w:rsid w:val="003D5BF3"/>
    <w:rsid w:val="003D7611"/>
    <w:rsid w:val="003E0417"/>
    <w:rsid w:val="003E5CCF"/>
    <w:rsid w:val="003E60F0"/>
    <w:rsid w:val="003E6B49"/>
    <w:rsid w:val="003F2170"/>
    <w:rsid w:val="003F4C68"/>
    <w:rsid w:val="003F7937"/>
    <w:rsid w:val="00406B0C"/>
    <w:rsid w:val="00407172"/>
    <w:rsid w:val="00407BBC"/>
    <w:rsid w:val="0041278C"/>
    <w:rsid w:val="00414789"/>
    <w:rsid w:val="004167CA"/>
    <w:rsid w:val="00417683"/>
    <w:rsid w:val="00420C8B"/>
    <w:rsid w:val="004218E9"/>
    <w:rsid w:val="0042442D"/>
    <w:rsid w:val="0042455B"/>
    <w:rsid w:val="00426673"/>
    <w:rsid w:val="00430220"/>
    <w:rsid w:val="00433CD5"/>
    <w:rsid w:val="00442532"/>
    <w:rsid w:val="0044552A"/>
    <w:rsid w:val="00447FA5"/>
    <w:rsid w:val="00454457"/>
    <w:rsid w:val="004607F7"/>
    <w:rsid w:val="00462EB1"/>
    <w:rsid w:val="0046566D"/>
    <w:rsid w:val="0047203D"/>
    <w:rsid w:val="004769C8"/>
    <w:rsid w:val="00480D04"/>
    <w:rsid w:val="0048229E"/>
    <w:rsid w:val="00491281"/>
    <w:rsid w:val="0049155E"/>
    <w:rsid w:val="00493AF7"/>
    <w:rsid w:val="0049438B"/>
    <w:rsid w:val="00494E63"/>
    <w:rsid w:val="00495B0D"/>
    <w:rsid w:val="00496D17"/>
    <w:rsid w:val="004A2698"/>
    <w:rsid w:val="004A67C2"/>
    <w:rsid w:val="004A6B13"/>
    <w:rsid w:val="004B16E5"/>
    <w:rsid w:val="004B48C7"/>
    <w:rsid w:val="004B5F39"/>
    <w:rsid w:val="004C0474"/>
    <w:rsid w:val="004C74DF"/>
    <w:rsid w:val="004E5297"/>
    <w:rsid w:val="004F21DE"/>
    <w:rsid w:val="004F5C4B"/>
    <w:rsid w:val="004F687D"/>
    <w:rsid w:val="00510250"/>
    <w:rsid w:val="00511F93"/>
    <w:rsid w:val="00513A6A"/>
    <w:rsid w:val="00515A1D"/>
    <w:rsid w:val="00523ECE"/>
    <w:rsid w:val="0052699E"/>
    <w:rsid w:val="00527180"/>
    <w:rsid w:val="00527968"/>
    <w:rsid w:val="0053773D"/>
    <w:rsid w:val="00547C67"/>
    <w:rsid w:val="00550A29"/>
    <w:rsid w:val="005611F7"/>
    <w:rsid w:val="005625CC"/>
    <w:rsid w:val="00562E4C"/>
    <w:rsid w:val="0056546F"/>
    <w:rsid w:val="00576329"/>
    <w:rsid w:val="0057744F"/>
    <w:rsid w:val="00585186"/>
    <w:rsid w:val="00587A32"/>
    <w:rsid w:val="005974E3"/>
    <w:rsid w:val="00597F09"/>
    <w:rsid w:val="005A17E8"/>
    <w:rsid w:val="005A2CAC"/>
    <w:rsid w:val="005A3E13"/>
    <w:rsid w:val="005A6B5A"/>
    <w:rsid w:val="005A7948"/>
    <w:rsid w:val="005B3350"/>
    <w:rsid w:val="005B3353"/>
    <w:rsid w:val="005B7D30"/>
    <w:rsid w:val="005C5AB0"/>
    <w:rsid w:val="005D5B1B"/>
    <w:rsid w:val="005E05A2"/>
    <w:rsid w:val="005E14AB"/>
    <w:rsid w:val="005E54D5"/>
    <w:rsid w:val="005E5B5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3787E"/>
    <w:rsid w:val="00650370"/>
    <w:rsid w:val="006516F2"/>
    <w:rsid w:val="0065177D"/>
    <w:rsid w:val="006548BF"/>
    <w:rsid w:val="00660504"/>
    <w:rsid w:val="006609B8"/>
    <w:rsid w:val="00660AEB"/>
    <w:rsid w:val="0066387A"/>
    <w:rsid w:val="00667533"/>
    <w:rsid w:val="00675365"/>
    <w:rsid w:val="00676D6F"/>
    <w:rsid w:val="00686D65"/>
    <w:rsid w:val="00694B9C"/>
    <w:rsid w:val="0069628B"/>
    <w:rsid w:val="006A2E19"/>
    <w:rsid w:val="006A4C6F"/>
    <w:rsid w:val="006A60DB"/>
    <w:rsid w:val="006A772F"/>
    <w:rsid w:val="006B0F69"/>
    <w:rsid w:val="006B4F92"/>
    <w:rsid w:val="006C0E5D"/>
    <w:rsid w:val="006C42E2"/>
    <w:rsid w:val="006D0C67"/>
    <w:rsid w:val="006E2D9E"/>
    <w:rsid w:val="006E3C85"/>
    <w:rsid w:val="006F2C29"/>
    <w:rsid w:val="006F62AD"/>
    <w:rsid w:val="006F6D81"/>
    <w:rsid w:val="006F74B4"/>
    <w:rsid w:val="0070269B"/>
    <w:rsid w:val="00705325"/>
    <w:rsid w:val="0070690B"/>
    <w:rsid w:val="007210EC"/>
    <w:rsid w:val="00726BED"/>
    <w:rsid w:val="0073304B"/>
    <w:rsid w:val="00734CCF"/>
    <w:rsid w:val="00734D35"/>
    <w:rsid w:val="00736609"/>
    <w:rsid w:val="00742398"/>
    <w:rsid w:val="00743516"/>
    <w:rsid w:val="00745652"/>
    <w:rsid w:val="00745ECE"/>
    <w:rsid w:val="00746020"/>
    <w:rsid w:val="00751BB3"/>
    <w:rsid w:val="00754F77"/>
    <w:rsid w:val="00756917"/>
    <w:rsid w:val="00760405"/>
    <w:rsid w:val="00761F87"/>
    <w:rsid w:val="00763270"/>
    <w:rsid w:val="0076562C"/>
    <w:rsid w:val="0077212B"/>
    <w:rsid w:val="00775835"/>
    <w:rsid w:val="0078076F"/>
    <w:rsid w:val="0078165B"/>
    <w:rsid w:val="00783B45"/>
    <w:rsid w:val="00793469"/>
    <w:rsid w:val="00796D8B"/>
    <w:rsid w:val="007A1D41"/>
    <w:rsid w:val="007B1C8A"/>
    <w:rsid w:val="007B245C"/>
    <w:rsid w:val="007B6555"/>
    <w:rsid w:val="007C100E"/>
    <w:rsid w:val="007C141B"/>
    <w:rsid w:val="007C3836"/>
    <w:rsid w:val="007C78FC"/>
    <w:rsid w:val="007D15DA"/>
    <w:rsid w:val="007E7342"/>
    <w:rsid w:val="007E7EF3"/>
    <w:rsid w:val="007F2402"/>
    <w:rsid w:val="00804D7A"/>
    <w:rsid w:val="00805977"/>
    <w:rsid w:val="00805FA4"/>
    <w:rsid w:val="00806840"/>
    <w:rsid w:val="00813BE9"/>
    <w:rsid w:val="008151B8"/>
    <w:rsid w:val="00816DAC"/>
    <w:rsid w:val="0082083E"/>
    <w:rsid w:val="0082762E"/>
    <w:rsid w:val="008315C0"/>
    <w:rsid w:val="0083290E"/>
    <w:rsid w:val="00833A35"/>
    <w:rsid w:val="00843FF2"/>
    <w:rsid w:val="008445C6"/>
    <w:rsid w:val="008453AB"/>
    <w:rsid w:val="00854EEA"/>
    <w:rsid w:val="008551DA"/>
    <w:rsid w:val="008573BA"/>
    <w:rsid w:val="008577F2"/>
    <w:rsid w:val="00857D2A"/>
    <w:rsid w:val="0086036A"/>
    <w:rsid w:val="008629B5"/>
    <w:rsid w:val="00862D92"/>
    <w:rsid w:val="008639A5"/>
    <w:rsid w:val="00866FC7"/>
    <w:rsid w:val="00873171"/>
    <w:rsid w:val="008805EC"/>
    <w:rsid w:val="008909B5"/>
    <w:rsid w:val="008910E9"/>
    <w:rsid w:val="008A1133"/>
    <w:rsid w:val="008B1A22"/>
    <w:rsid w:val="008B1AAD"/>
    <w:rsid w:val="008B7BAF"/>
    <w:rsid w:val="008D1440"/>
    <w:rsid w:val="008D193F"/>
    <w:rsid w:val="008D4EB4"/>
    <w:rsid w:val="008D6A3D"/>
    <w:rsid w:val="008E046B"/>
    <w:rsid w:val="008E70AB"/>
    <w:rsid w:val="008F173C"/>
    <w:rsid w:val="00902F5E"/>
    <w:rsid w:val="00905A0D"/>
    <w:rsid w:val="00905E95"/>
    <w:rsid w:val="009116DE"/>
    <w:rsid w:val="00915853"/>
    <w:rsid w:val="009242CD"/>
    <w:rsid w:val="009328EA"/>
    <w:rsid w:val="00933A89"/>
    <w:rsid w:val="00945E64"/>
    <w:rsid w:val="00946CCD"/>
    <w:rsid w:val="009526D7"/>
    <w:rsid w:val="00955BB3"/>
    <w:rsid w:val="00960A70"/>
    <w:rsid w:val="00961DAA"/>
    <w:rsid w:val="009662CA"/>
    <w:rsid w:val="00967E9F"/>
    <w:rsid w:val="00974CFB"/>
    <w:rsid w:val="00977A3E"/>
    <w:rsid w:val="009845C1"/>
    <w:rsid w:val="009A3619"/>
    <w:rsid w:val="009A38AD"/>
    <w:rsid w:val="009C07BA"/>
    <w:rsid w:val="009C0A02"/>
    <w:rsid w:val="009C3D43"/>
    <w:rsid w:val="009C54B2"/>
    <w:rsid w:val="009C7E92"/>
    <w:rsid w:val="009D681B"/>
    <w:rsid w:val="009E030F"/>
    <w:rsid w:val="009E4014"/>
    <w:rsid w:val="009F09F3"/>
    <w:rsid w:val="009F5CB0"/>
    <w:rsid w:val="009F6177"/>
    <w:rsid w:val="00A05B9F"/>
    <w:rsid w:val="00A142C7"/>
    <w:rsid w:val="00A148A1"/>
    <w:rsid w:val="00A20DD7"/>
    <w:rsid w:val="00A212E7"/>
    <w:rsid w:val="00A23319"/>
    <w:rsid w:val="00A2450B"/>
    <w:rsid w:val="00A348E1"/>
    <w:rsid w:val="00A36C09"/>
    <w:rsid w:val="00A37C9F"/>
    <w:rsid w:val="00A42D23"/>
    <w:rsid w:val="00A452FB"/>
    <w:rsid w:val="00A45DF1"/>
    <w:rsid w:val="00A469FE"/>
    <w:rsid w:val="00A52EE2"/>
    <w:rsid w:val="00A67E71"/>
    <w:rsid w:val="00A70123"/>
    <w:rsid w:val="00A71718"/>
    <w:rsid w:val="00A71AA1"/>
    <w:rsid w:val="00A73F34"/>
    <w:rsid w:val="00A74438"/>
    <w:rsid w:val="00A76B07"/>
    <w:rsid w:val="00A806E1"/>
    <w:rsid w:val="00A81B98"/>
    <w:rsid w:val="00A81BFE"/>
    <w:rsid w:val="00A851BF"/>
    <w:rsid w:val="00A90305"/>
    <w:rsid w:val="00A945AE"/>
    <w:rsid w:val="00A948D4"/>
    <w:rsid w:val="00A94CBF"/>
    <w:rsid w:val="00A97494"/>
    <w:rsid w:val="00AA17C1"/>
    <w:rsid w:val="00AA63A3"/>
    <w:rsid w:val="00AA74AB"/>
    <w:rsid w:val="00AB0FFE"/>
    <w:rsid w:val="00AB5EB7"/>
    <w:rsid w:val="00AB712D"/>
    <w:rsid w:val="00AC3CC8"/>
    <w:rsid w:val="00AC3F3A"/>
    <w:rsid w:val="00AD32F9"/>
    <w:rsid w:val="00AD4724"/>
    <w:rsid w:val="00AD4CCE"/>
    <w:rsid w:val="00AD4D97"/>
    <w:rsid w:val="00AD4F3D"/>
    <w:rsid w:val="00AE15C5"/>
    <w:rsid w:val="00AE2453"/>
    <w:rsid w:val="00AE2630"/>
    <w:rsid w:val="00AE4A93"/>
    <w:rsid w:val="00AF02AA"/>
    <w:rsid w:val="00AF4AE2"/>
    <w:rsid w:val="00B00115"/>
    <w:rsid w:val="00B00EE2"/>
    <w:rsid w:val="00B0195F"/>
    <w:rsid w:val="00B05700"/>
    <w:rsid w:val="00B05DFC"/>
    <w:rsid w:val="00B072F6"/>
    <w:rsid w:val="00B13158"/>
    <w:rsid w:val="00B22EC6"/>
    <w:rsid w:val="00B2572E"/>
    <w:rsid w:val="00B30795"/>
    <w:rsid w:val="00B36EEA"/>
    <w:rsid w:val="00B40EC9"/>
    <w:rsid w:val="00B44F01"/>
    <w:rsid w:val="00B452CA"/>
    <w:rsid w:val="00B50EED"/>
    <w:rsid w:val="00B571FA"/>
    <w:rsid w:val="00B73E52"/>
    <w:rsid w:val="00B82CC7"/>
    <w:rsid w:val="00B8429B"/>
    <w:rsid w:val="00B865DB"/>
    <w:rsid w:val="00B91EEC"/>
    <w:rsid w:val="00B95060"/>
    <w:rsid w:val="00BA4B55"/>
    <w:rsid w:val="00BB0D5D"/>
    <w:rsid w:val="00BB314F"/>
    <w:rsid w:val="00BB53BB"/>
    <w:rsid w:val="00BC5500"/>
    <w:rsid w:val="00BD03BA"/>
    <w:rsid w:val="00BD0526"/>
    <w:rsid w:val="00BD2DEA"/>
    <w:rsid w:val="00BD544E"/>
    <w:rsid w:val="00BE7D84"/>
    <w:rsid w:val="00BF58A7"/>
    <w:rsid w:val="00C02228"/>
    <w:rsid w:val="00C03292"/>
    <w:rsid w:val="00C112A7"/>
    <w:rsid w:val="00C11C9C"/>
    <w:rsid w:val="00C12C93"/>
    <w:rsid w:val="00C1575A"/>
    <w:rsid w:val="00C2286D"/>
    <w:rsid w:val="00C325F5"/>
    <w:rsid w:val="00C35ED7"/>
    <w:rsid w:val="00C3612B"/>
    <w:rsid w:val="00C43BC2"/>
    <w:rsid w:val="00C43FB6"/>
    <w:rsid w:val="00C457E8"/>
    <w:rsid w:val="00C45BFC"/>
    <w:rsid w:val="00C567C5"/>
    <w:rsid w:val="00C5712F"/>
    <w:rsid w:val="00C609B9"/>
    <w:rsid w:val="00C61A45"/>
    <w:rsid w:val="00C61D15"/>
    <w:rsid w:val="00C72894"/>
    <w:rsid w:val="00C91A58"/>
    <w:rsid w:val="00CA09B9"/>
    <w:rsid w:val="00CA73A9"/>
    <w:rsid w:val="00CC0E71"/>
    <w:rsid w:val="00CD384B"/>
    <w:rsid w:val="00CD426F"/>
    <w:rsid w:val="00CD52EF"/>
    <w:rsid w:val="00CE01FA"/>
    <w:rsid w:val="00CE2386"/>
    <w:rsid w:val="00CE3B43"/>
    <w:rsid w:val="00CE42B4"/>
    <w:rsid w:val="00CE7347"/>
    <w:rsid w:val="00CF4ED9"/>
    <w:rsid w:val="00CF5B97"/>
    <w:rsid w:val="00CF7A07"/>
    <w:rsid w:val="00D05557"/>
    <w:rsid w:val="00D109F0"/>
    <w:rsid w:val="00D14D1D"/>
    <w:rsid w:val="00D2497D"/>
    <w:rsid w:val="00D324FA"/>
    <w:rsid w:val="00D37487"/>
    <w:rsid w:val="00D424FF"/>
    <w:rsid w:val="00D47E6C"/>
    <w:rsid w:val="00D5308B"/>
    <w:rsid w:val="00D557DD"/>
    <w:rsid w:val="00D60761"/>
    <w:rsid w:val="00D718BD"/>
    <w:rsid w:val="00D77712"/>
    <w:rsid w:val="00D83DEF"/>
    <w:rsid w:val="00DA2B4A"/>
    <w:rsid w:val="00DA2EE0"/>
    <w:rsid w:val="00DA4009"/>
    <w:rsid w:val="00DA53DC"/>
    <w:rsid w:val="00DA678C"/>
    <w:rsid w:val="00DB78E4"/>
    <w:rsid w:val="00DC7986"/>
    <w:rsid w:val="00DD036C"/>
    <w:rsid w:val="00DD43DD"/>
    <w:rsid w:val="00DD7CAC"/>
    <w:rsid w:val="00DE5263"/>
    <w:rsid w:val="00DF05A1"/>
    <w:rsid w:val="00E042F8"/>
    <w:rsid w:val="00E04C96"/>
    <w:rsid w:val="00E32408"/>
    <w:rsid w:val="00E324EC"/>
    <w:rsid w:val="00E344E0"/>
    <w:rsid w:val="00E3543E"/>
    <w:rsid w:val="00E51DD6"/>
    <w:rsid w:val="00E60B60"/>
    <w:rsid w:val="00E61F54"/>
    <w:rsid w:val="00E713BA"/>
    <w:rsid w:val="00E763AB"/>
    <w:rsid w:val="00E77CDC"/>
    <w:rsid w:val="00E80F6E"/>
    <w:rsid w:val="00E831DE"/>
    <w:rsid w:val="00E845D4"/>
    <w:rsid w:val="00EA259F"/>
    <w:rsid w:val="00EA293E"/>
    <w:rsid w:val="00EB1650"/>
    <w:rsid w:val="00EB2C98"/>
    <w:rsid w:val="00EB3DCF"/>
    <w:rsid w:val="00EB6D9E"/>
    <w:rsid w:val="00EC22CC"/>
    <w:rsid w:val="00EC2430"/>
    <w:rsid w:val="00EC2E79"/>
    <w:rsid w:val="00EC36F7"/>
    <w:rsid w:val="00EC58D3"/>
    <w:rsid w:val="00ED07C0"/>
    <w:rsid w:val="00ED1185"/>
    <w:rsid w:val="00ED1F94"/>
    <w:rsid w:val="00ED30E8"/>
    <w:rsid w:val="00ED3D2A"/>
    <w:rsid w:val="00ED6B69"/>
    <w:rsid w:val="00ED71F6"/>
    <w:rsid w:val="00EE34F4"/>
    <w:rsid w:val="00EE4D6A"/>
    <w:rsid w:val="00EE4F4F"/>
    <w:rsid w:val="00EF22A4"/>
    <w:rsid w:val="00F00C50"/>
    <w:rsid w:val="00F12B14"/>
    <w:rsid w:val="00F13A29"/>
    <w:rsid w:val="00F14443"/>
    <w:rsid w:val="00F20BBD"/>
    <w:rsid w:val="00F2399D"/>
    <w:rsid w:val="00F26658"/>
    <w:rsid w:val="00F33FDB"/>
    <w:rsid w:val="00F34A73"/>
    <w:rsid w:val="00F3688F"/>
    <w:rsid w:val="00F36C98"/>
    <w:rsid w:val="00F37BB2"/>
    <w:rsid w:val="00F43983"/>
    <w:rsid w:val="00F44CC3"/>
    <w:rsid w:val="00F510C3"/>
    <w:rsid w:val="00F51750"/>
    <w:rsid w:val="00F54EA0"/>
    <w:rsid w:val="00F62676"/>
    <w:rsid w:val="00F64118"/>
    <w:rsid w:val="00F716BE"/>
    <w:rsid w:val="00F71F8D"/>
    <w:rsid w:val="00F81965"/>
    <w:rsid w:val="00F819E5"/>
    <w:rsid w:val="00F92844"/>
    <w:rsid w:val="00F96812"/>
    <w:rsid w:val="00F96EE9"/>
    <w:rsid w:val="00FA07F3"/>
    <w:rsid w:val="00FA15FB"/>
    <w:rsid w:val="00FA1975"/>
    <w:rsid w:val="00FA1E3E"/>
    <w:rsid w:val="00FB0949"/>
    <w:rsid w:val="00FB4231"/>
    <w:rsid w:val="00FC30F8"/>
    <w:rsid w:val="00FC3D52"/>
    <w:rsid w:val="00FC4FBC"/>
    <w:rsid w:val="00FD44C2"/>
    <w:rsid w:val="00FD5CB9"/>
    <w:rsid w:val="00FE0298"/>
    <w:rsid w:val="00FE285D"/>
    <w:rsid w:val="00FE5DB0"/>
    <w:rsid w:val="00FE63A1"/>
    <w:rsid w:val="00FE642F"/>
    <w:rsid w:val="00FF554E"/>
    <w:rsid w:val="00FF6FCF"/>
    <w:rsid w:val="01E4D1B1"/>
    <w:rsid w:val="09C484C5"/>
    <w:rsid w:val="0ACB8A0D"/>
    <w:rsid w:val="0C3E63A5"/>
    <w:rsid w:val="0DE66FFE"/>
    <w:rsid w:val="1C6C6017"/>
    <w:rsid w:val="215D3073"/>
    <w:rsid w:val="22019E7E"/>
    <w:rsid w:val="23D05CBB"/>
    <w:rsid w:val="25197BF9"/>
    <w:rsid w:val="2D9ED7F2"/>
    <w:rsid w:val="30774EFB"/>
    <w:rsid w:val="35B3F31A"/>
    <w:rsid w:val="37642332"/>
    <w:rsid w:val="376D25D8"/>
    <w:rsid w:val="3E34685E"/>
    <w:rsid w:val="40BBC2DE"/>
    <w:rsid w:val="4265FB9C"/>
    <w:rsid w:val="42CC4454"/>
    <w:rsid w:val="45352666"/>
    <w:rsid w:val="46CE7BBA"/>
    <w:rsid w:val="49AB1D35"/>
    <w:rsid w:val="4B11608A"/>
    <w:rsid w:val="50F0D213"/>
    <w:rsid w:val="51F21B43"/>
    <w:rsid w:val="56C78628"/>
    <w:rsid w:val="5853A96C"/>
    <w:rsid w:val="58899CB2"/>
    <w:rsid w:val="619EE8CF"/>
    <w:rsid w:val="63859032"/>
    <w:rsid w:val="647E2787"/>
    <w:rsid w:val="64B24A94"/>
    <w:rsid w:val="6BCC363E"/>
    <w:rsid w:val="75734158"/>
    <w:rsid w:val="779085E1"/>
    <w:rsid w:val="79DEFEE0"/>
    <w:rsid w:val="7E3AE4E3"/>
    <w:rsid w:val="7FE1F9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leivani.K\Desktop\Rapport%20R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omoceanindien.sharepoint.com/sites/COISecretariat/Service%20RH/10.%20DEPT%20RH/3.%20Rapport%20RH/Rapport%20RH%202026/Liste%20T&#233;moins/004%20HIRS%20Liste%20du%20personnel%20de%20la%20COI%20avril%2020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654254414454107"/>
          <c:y val="0.21587651759047363"/>
          <c:w val="0.81388888888888888"/>
          <c:h val="0.66745953630796151"/>
        </c:manualLayout>
      </c:layout>
      <c:pie3DChart>
        <c:varyColors val="1"/>
        <c:ser>
          <c:idx val="0"/>
          <c:order val="0"/>
          <c:dPt>
            <c:idx val="0"/>
            <c:bubble3D val="0"/>
            <c:spPr>
              <a:solidFill>
                <a:schemeClr val="tx2">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05-4C6B-AE1F-5D57D5596B5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05-4C6B-AE1F-5D57D5596B5C}"/>
              </c:ext>
            </c:extLst>
          </c:dPt>
          <c:dPt>
            <c:idx val="2"/>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05-4C6B-AE1F-5D57D5596B5C}"/>
              </c:ext>
            </c:extLst>
          </c:dPt>
          <c:dPt>
            <c:idx val="3"/>
            <c:bubble3D val="0"/>
            <c:spPr>
              <a:solidFill>
                <a:schemeClr val="accent6">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605-4C6B-AE1F-5D57D5596B5C}"/>
              </c:ext>
            </c:extLst>
          </c:dPt>
          <c:dPt>
            <c:idx val="4"/>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605-4C6B-AE1F-5D57D5596B5C}"/>
              </c:ext>
            </c:extLst>
          </c:dPt>
          <c:dLbls>
            <c:dLbl>
              <c:idx val="0"/>
              <c:layout>
                <c:manualLayout>
                  <c:x val="-0.24848293963254592"/>
                  <c:y val="-0.1793915864683581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05-4C6B-AE1F-5D57D5596B5C}"/>
                </c:ext>
              </c:extLst>
            </c:dLbl>
            <c:dLbl>
              <c:idx val="1"/>
              <c:layout>
                <c:manualLayout>
                  <c:x val="-1.9726345151106266E-2"/>
                  <c:y val="-0.11152689965478453"/>
                </c:manualLayout>
              </c:layout>
              <c:showLegendKey val="0"/>
              <c:showVal val="1"/>
              <c:showCatName val="1"/>
              <c:showSerName val="0"/>
              <c:showPercent val="0"/>
              <c:showBubbleSize val="0"/>
              <c:extLst>
                <c:ext xmlns:c15="http://schemas.microsoft.com/office/drawing/2012/chart" uri="{CE6537A1-D6FC-4f65-9D91-7224C49458BB}">
                  <c15:layout>
                    <c:manualLayout>
                      <c:w val="0.21633408763628884"/>
                      <c:h val="0.28903940886699508"/>
                    </c:manualLayout>
                  </c15:layout>
                </c:ext>
                <c:ext xmlns:c16="http://schemas.microsoft.com/office/drawing/2014/chart" uri="{C3380CC4-5D6E-409C-BE32-E72D297353CC}">
                  <c16:uniqueId val="{00000003-1605-4C6B-AE1F-5D57D5596B5C}"/>
                </c:ext>
              </c:extLst>
            </c:dLbl>
            <c:dLbl>
              <c:idx val="2"/>
              <c:layout>
                <c:manualLayout>
                  <c:x val="-2.2326006124234472E-2"/>
                  <c:y val="-3.5202682997958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05-4C6B-AE1F-5D57D5596B5C}"/>
                </c:ext>
              </c:extLst>
            </c:dLbl>
            <c:dLbl>
              <c:idx val="3"/>
              <c:layout>
                <c:manualLayout>
                  <c:x val="3.2716863517060366E-2"/>
                  <c:y val="-3.98603820355788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05-4C6B-AE1F-5D57D5596B5C}"/>
                </c:ext>
              </c:extLst>
            </c:dLbl>
            <c:dLbl>
              <c:idx val="4"/>
              <c:layout>
                <c:manualLayout>
                  <c:x val="9.1214676290463689E-2"/>
                  <c:y val="-2.82822980460775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05-4C6B-AE1F-5D57D5596B5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MU"/>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Sheet1!$B$16:$B$20</c:f>
              <c:strCache>
                <c:ptCount val="5"/>
                <c:pt idx="0">
                  <c:v>Contrat COI employé</c:v>
                </c:pt>
                <c:pt idx="1">
                  <c:v>Consultants en contrat COI</c:v>
                </c:pt>
                <c:pt idx="2">
                  <c:v>Assistant Technique</c:v>
                </c:pt>
                <c:pt idx="3">
                  <c:v>Mise à disposition</c:v>
                </c:pt>
                <c:pt idx="4">
                  <c:v>VSI</c:v>
                </c:pt>
              </c:strCache>
            </c:strRef>
          </c:cat>
          <c:val>
            <c:numRef>
              <c:f>Sheet1!$C$16:$C$20</c:f>
              <c:numCache>
                <c:formatCode>0%</c:formatCode>
                <c:ptCount val="5"/>
                <c:pt idx="0">
                  <c:v>0.62264150943396224</c:v>
                </c:pt>
                <c:pt idx="1">
                  <c:v>9.4339622641509441E-2</c:v>
                </c:pt>
                <c:pt idx="2">
                  <c:v>0.18867924528301888</c:v>
                </c:pt>
                <c:pt idx="3">
                  <c:v>5.6603773584905662E-2</c:v>
                </c:pt>
                <c:pt idx="4">
                  <c:v>3.7735849056603772E-2</c:v>
                </c:pt>
              </c:numCache>
            </c:numRef>
          </c:val>
          <c:extLst>
            <c:ext xmlns:c16="http://schemas.microsoft.com/office/drawing/2014/chart" uri="{C3380CC4-5D6E-409C-BE32-E72D297353CC}">
              <c16:uniqueId val="{0000000A-1605-4C6B-AE1F-5D57D5596B5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[004 HIRS Liste du personnel de la COI avril 2026.xlsx]Age group_Nationalité!PivotTable3</c:name>
    <c:fmtId val="-1"/>
  </c:pivotSource>
  <c:chart>
    <c:autoTitleDeleted val="0"/>
    <c:pivotFmts>
      <c:pivotFmt>
        <c:idx val="0"/>
        <c:spPr>
          <a:solidFill>
            <a:schemeClr val="bg2">
              <a:lumMod val="2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lumMod val="7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7030A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5">
              <a:lumMod val="60000"/>
              <a:lumOff val="40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7030A0"/>
          </a:solidFill>
          <a:ln>
            <a:noFill/>
          </a:ln>
          <a:effectLst/>
          <a:sp3d/>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fld id="{E17D93A8-917C-4BD2-9238-912531FB4E70}" type="VALUE">
                  <a:rPr lang="en-US">
                    <a:solidFill>
                      <a:schemeClr val="bg1"/>
                    </a:solidFill>
                  </a:rPr>
                  <a:pPr>
                    <a:defRPr sz="900" b="1" i="0" u="none" strike="noStrike" kern="1200" baseline="0">
                      <a:solidFill>
                        <a:schemeClr val="bg1"/>
                      </a:solidFill>
                      <a:latin typeface="+mn-lt"/>
                      <a:ea typeface="+mn-ea"/>
                      <a:cs typeface="+mn-cs"/>
                    </a:defRPr>
                  </a:pPr>
                  <a:t>[VALEUR]</a:t>
                </a:fld>
                <a:endParaRPr lang="fr-F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12"/>
        <c:spPr>
          <a:solidFill>
            <a:schemeClr val="bg2">
              <a:lumMod val="2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lumMod val="7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7030A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rgbClr val="7030A0"/>
          </a:solidFill>
          <a:ln>
            <a:noFill/>
          </a:ln>
          <a:effectLst/>
          <a:sp3d/>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fld id="{E17D93A8-917C-4BD2-9238-912531FB4E70}" type="VALUE">
                  <a:rPr lang="en-US">
                    <a:solidFill>
                      <a:schemeClr val="bg1"/>
                    </a:solidFill>
                  </a:rPr>
                  <a:pPr>
                    <a:defRPr sz="900" b="1" i="0" u="none" strike="noStrike" kern="1200" baseline="0">
                      <a:solidFill>
                        <a:schemeClr val="bg1"/>
                      </a:solidFill>
                      <a:latin typeface="+mn-lt"/>
                      <a:ea typeface="+mn-ea"/>
                      <a:cs typeface="+mn-cs"/>
                    </a:defRPr>
                  </a:pPr>
                  <a:t>[VALEUR]</a:t>
                </a:fld>
                <a:endParaRPr lang="fr-F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16"/>
        <c:spPr>
          <a:solidFill>
            <a:schemeClr val="accent5">
              <a:lumMod val="60000"/>
              <a:lumOff val="40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bg2">
              <a:lumMod val="2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75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rgbClr val="7030A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rgbClr val="7030A0"/>
          </a:solidFill>
          <a:ln>
            <a:noFill/>
          </a:ln>
          <a:effectLst/>
          <a:sp3d/>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fld id="{E17D93A8-917C-4BD2-9238-912531FB4E70}" type="VALUE">
                  <a:rPr lang="en-US">
                    <a:solidFill>
                      <a:schemeClr val="bg1"/>
                    </a:solidFill>
                  </a:rPr>
                  <a:pPr>
                    <a:defRPr sz="900" b="1" i="0" u="none" strike="noStrike" kern="1200" baseline="0">
                      <a:solidFill>
                        <a:schemeClr val="bg1"/>
                      </a:solidFill>
                      <a:latin typeface="+mn-lt"/>
                      <a:ea typeface="+mn-ea"/>
                      <a:cs typeface="+mn-cs"/>
                    </a:defRPr>
                  </a:pPr>
                  <a:t>[VALEUR]</a:t>
                </a:fld>
                <a:endParaRPr lang="fr-F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28"/>
        <c:spPr>
          <a:solidFill>
            <a:schemeClr val="accent5">
              <a:lumMod val="60000"/>
              <a:lumOff val="40000"/>
            </a:schemeClr>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5">
              <a:lumMod val="60000"/>
              <a:lumOff val="40000"/>
            </a:schemeClr>
          </a:solidFill>
          <a:ln>
            <a:noFill/>
          </a:ln>
          <a:effectLst/>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rgbClr val="C00000"/>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'Age group_Nationalité'!$B$3:$B$4</c:f>
              <c:strCache>
                <c:ptCount val="1"/>
                <c:pt idx="0">
                  <c:v>Autres</c:v>
                </c:pt>
              </c:strCache>
            </c:strRef>
          </c:tx>
          <c:spPr>
            <a:solidFill>
              <a:schemeClr val="bg2">
                <a:lumMod val="2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group_Nationalité'!$B$5:$B$10</c:f>
              <c:numCache>
                <c:formatCode>General</c:formatCode>
                <c:ptCount val="5"/>
                <c:pt idx="2">
                  <c:v>2</c:v>
                </c:pt>
                <c:pt idx="3">
                  <c:v>6</c:v>
                </c:pt>
                <c:pt idx="4">
                  <c:v>2</c:v>
                </c:pt>
              </c:numCache>
            </c:numRef>
          </c:val>
          <c:extLst>
            <c:ext xmlns:c16="http://schemas.microsoft.com/office/drawing/2014/chart" uri="{C3380CC4-5D6E-409C-BE32-E72D297353CC}">
              <c16:uniqueId val="{00000000-1DA6-4ECB-AC8B-58E6E514F11C}"/>
            </c:ext>
          </c:extLst>
        </c:ser>
        <c:ser>
          <c:idx val="1"/>
          <c:order val="1"/>
          <c:tx>
            <c:strRef>
              <c:f>'Age group_Nationalité'!$C$3:$C$4</c:f>
              <c:strCache>
                <c:ptCount val="1"/>
                <c:pt idx="0">
                  <c:v>Comores</c:v>
                </c:pt>
              </c:strCache>
            </c:strRef>
          </c:tx>
          <c:spPr>
            <a:solidFill>
              <a:schemeClr val="accent6">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group_Nationalité'!$C$5:$C$10</c:f>
              <c:numCache>
                <c:formatCode>General</c:formatCode>
                <c:ptCount val="5"/>
                <c:pt idx="1">
                  <c:v>2</c:v>
                </c:pt>
                <c:pt idx="2">
                  <c:v>3</c:v>
                </c:pt>
                <c:pt idx="3">
                  <c:v>3</c:v>
                </c:pt>
              </c:numCache>
            </c:numRef>
          </c:val>
          <c:extLst>
            <c:ext xmlns:c16="http://schemas.microsoft.com/office/drawing/2014/chart" uri="{C3380CC4-5D6E-409C-BE32-E72D297353CC}">
              <c16:uniqueId val="{00000001-1DA6-4ECB-AC8B-58E6E514F11C}"/>
            </c:ext>
          </c:extLst>
        </c:ser>
        <c:ser>
          <c:idx val="2"/>
          <c:order val="2"/>
          <c:tx>
            <c:strRef>
              <c:f>'Age group_Nationalité'!$D$3:$D$4</c:f>
              <c:strCache>
                <c:ptCount val="1"/>
                <c:pt idx="0">
                  <c:v>France</c:v>
                </c:pt>
              </c:strCache>
            </c:strRef>
          </c:tx>
          <c:spPr>
            <a:solidFill>
              <a:srgbClr val="7030A0"/>
            </a:solidFill>
            <a:ln>
              <a:noFill/>
            </a:ln>
            <a:effectLst/>
            <a:sp3d/>
          </c:spPr>
          <c:invertIfNegative val="0"/>
          <c:dPt>
            <c:idx val="3"/>
            <c:invertIfNegative val="0"/>
            <c:bubble3D val="0"/>
            <c:spPr>
              <a:solidFill>
                <a:srgbClr val="7030A0"/>
              </a:solidFill>
              <a:ln>
                <a:noFill/>
              </a:ln>
              <a:effectLst/>
              <a:sp3d/>
            </c:spPr>
            <c:extLst>
              <c:ext xmlns:c16="http://schemas.microsoft.com/office/drawing/2014/chart" uri="{C3380CC4-5D6E-409C-BE32-E72D297353CC}">
                <c16:uniqueId val="{00000003-1DA6-4ECB-AC8B-58E6E514F11C}"/>
              </c:ext>
            </c:extLst>
          </c:dPt>
          <c:dLbls>
            <c:dLbl>
              <c:idx val="3"/>
              <c:tx>
                <c:rich>
                  <a:bodyPr/>
                  <a:lstStyle/>
                  <a:p>
                    <a:fld id="{E17D93A8-917C-4BD2-9238-912531FB4E70}" type="VALUE">
                      <a:rPr lang="en-US">
                        <a:solidFill>
                          <a:schemeClr val="bg1"/>
                        </a:solidFill>
                      </a:rPr>
                      <a:pPr/>
                      <a:t>[VALEUR]</a:t>
                    </a:fld>
                    <a:endParaRPr lang="fr-F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DA6-4ECB-AC8B-58E6E514F11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group_Nationalité'!$D$5:$D$10</c:f>
              <c:numCache>
                <c:formatCode>General</c:formatCode>
                <c:ptCount val="5"/>
                <c:pt idx="0">
                  <c:v>4</c:v>
                </c:pt>
                <c:pt idx="1">
                  <c:v>2</c:v>
                </c:pt>
                <c:pt idx="2">
                  <c:v>9</c:v>
                </c:pt>
                <c:pt idx="3">
                  <c:v>3</c:v>
                </c:pt>
              </c:numCache>
            </c:numRef>
          </c:val>
          <c:extLst>
            <c:ext xmlns:c16="http://schemas.microsoft.com/office/drawing/2014/chart" uri="{C3380CC4-5D6E-409C-BE32-E72D297353CC}">
              <c16:uniqueId val="{00000004-1DA6-4ECB-AC8B-58E6E514F11C}"/>
            </c:ext>
          </c:extLst>
        </c:ser>
        <c:ser>
          <c:idx val="3"/>
          <c:order val="3"/>
          <c:tx>
            <c:strRef>
              <c:f>'Age group_Nationalité'!$E$3:$E$4</c:f>
              <c:strCache>
                <c:ptCount val="1"/>
                <c:pt idx="0">
                  <c:v>Madagascar</c:v>
                </c:pt>
              </c:strCache>
            </c:strRef>
          </c:tx>
          <c:spPr>
            <a:solidFill>
              <a:schemeClr val="accent5">
                <a:lumMod val="60000"/>
                <a:lumOff val="40000"/>
              </a:schemeClr>
            </a:solidFill>
            <a:ln>
              <a:noFill/>
            </a:ln>
            <a:effectLst/>
            <a:sp3d/>
          </c:spPr>
          <c:invertIfNegative val="0"/>
          <c:dPt>
            <c:idx val="0"/>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6-1DA6-4ECB-AC8B-58E6E514F11C}"/>
              </c:ext>
            </c:extLst>
          </c:dPt>
          <c:dPt>
            <c:idx val="1"/>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8-1DA6-4ECB-AC8B-58E6E514F11C}"/>
              </c:ext>
            </c:extLst>
          </c:dPt>
          <c:dPt>
            <c:idx val="2"/>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A-1DA6-4ECB-AC8B-58E6E514F11C}"/>
              </c:ext>
            </c:extLst>
          </c:dPt>
          <c:dPt>
            <c:idx val="3"/>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C-1DA6-4ECB-AC8B-58E6E514F11C}"/>
              </c:ext>
            </c:extLst>
          </c:dPt>
          <c:dPt>
            <c:idx val="4"/>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E-1DA6-4ECB-AC8B-58E6E514F11C}"/>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A6-4ECB-AC8B-58E6E514F11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A6-4ECB-AC8B-58E6E514F11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A6-4ECB-AC8B-58E6E514F11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A6-4ECB-AC8B-58E6E514F11C}"/>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A6-4ECB-AC8B-58E6E514F11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group_Nationalité'!$E$5:$E$10</c:f>
              <c:numCache>
                <c:formatCode>General</c:formatCode>
                <c:ptCount val="5"/>
                <c:pt idx="0">
                  <c:v>2</c:v>
                </c:pt>
                <c:pt idx="1">
                  <c:v>6</c:v>
                </c:pt>
                <c:pt idx="2">
                  <c:v>10</c:v>
                </c:pt>
                <c:pt idx="3">
                  <c:v>5</c:v>
                </c:pt>
                <c:pt idx="4">
                  <c:v>5</c:v>
                </c:pt>
              </c:numCache>
            </c:numRef>
          </c:val>
          <c:extLst>
            <c:ext xmlns:c16="http://schemas.microsoft.com/office/drawing/2014/chart" uri="{C3380CC4-5D6E-409C-BE32-E72D297353CC}">
              <c16:uniqueId val="{0000000F-1DA6-4ECB-AC8B-58E6E514F11C}"/>
            </c:ext>
          </c:extLst>
        </c:ser>
        <c:ser>
          <c:idx val="4"/>
          <c:order val="4"/>
          <c:tx>
            <c:strRef>
              <c:f>'Age group_Nationalité'!$F$3:$F$4</c:f>
              <c:strCache>
                <c:ptCount val="1"/>
                <c:pt idx="0">
                  <c:v>Maurice</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group_Nationalité'!$F$5:$F$10</c:f>
              <c:numCache>
                <c:formatCode>General</c:formatCode>
                <c:ptCount val="5"/>
                <c:pt idx="0">
                  <c:v>4</c:v>
                </c:pt>
                <c:pt idx="1">
                  <c:v>12</c:v>
                </c:pt>
                <c:pt idx="2">
                  <c:v>8</c:v>
                </c:pt>
                <c:pt idx="3">
                  <c:v>10</c:v>
                </c:pt>
                <c:pt idx="4">
                  <c:v>4</c:v>
                </c:pt>
              </c:numCache>
            </c:numRef>
          </c:val>
          <c:extLst>
            <c:ext xmlns:c16="http://schemas.microsoft.com/office/drawing/2014/chart" uri="{C3380CC4-5D6E-409C-BE32-E72D297353CC}">
              <c16:uniqueId val="{00000010-1DA6-4ECB-AC8B-58E6E514F11C}"/>
            </c:ext>
          </c:extLst>
        </c:ser>
        <c:ser>
          <c:idx val="5"/>
          <c:order val="5"/>
          <c:tx>
            <c:strRef>
              <c:f>'Age group_Nationalité'!$G$3:$G$4</c:f>
              <c:strCache>
                <c:ptCount val="1"/>
                <c:pt idx="0">
                  <c:v>Seychelles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M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group_Nationalité'!$A$5:$A$10</c:f>
              <c:strCache>
                <c:ptCount val="5"/>
                <c:pt idx="0">
                  <c:v>20-30</c:v>
                </c:pt>
                <c:pt idx="1">
                  <c:v>31-40</c:v>
                </c:pt>
                <c:pt idx="2">
                  <c:v>41-50</c:v>
                </c:pt>
                <c:pt idx="3">
                  <c:v>51-60</c:v>
                </c:pt>
                <c:pt idx="4">
                  <c:v>60+</c:v>
                </c:pt>
              </c:strCache>
            </c:strRef>
          </c:cat>
          <c:val>
            <c:numRef>
              <c:f>'Age group_Nationalité'!$G$5:$G$10</c:f>
              <c:numCache>
                <c:formatCode>General</c:formatCode>
                <c:ptCount val="5"/>
                <c:pt idx="2">
                  <c:v>1</c:v>
                </c:pt>
                <c:pt idx="3">
                  <c:v>2</c:v>
                </c:pt>
                <c:pt idx="4">
                  <c:v>1</c:v>
                </c:pt>
              </c:numCache>
            </c:numRef>
          </c:val>
          <c:extLst>
            <c:ext xmlns:c16="http://schemas.microsoft.com/office/drawing/2014/chart" uri="{C3380CC4-5D6E-409C-BE32-E72D297353CC}">
              <c16:uniqueId val="{00000011-1DA6-4ECB-AC8B-58E6E514F11C}"/>
            </c:ext>
          </c:extLst>
        </c:ser>
        <c:dLbls>
          <c:showLegendKey val="0"/>
          <c:showVal val="0"/>
          <c:showCatName val="0"/>
          <c:showSerName val="0"/>
          <c:showPercent val="0"/>
          <c:showBubbleSize val="0"/>
        </c:dLbls>
        <c:gapWidth val="150"/>
        <c:shape val="box"/>
        <c:axId val="1723800303"/>
        <c:axId val="1723804623"/>
        <c:axId val="0"/>
      </c:bar3DChart>
      <c:catAx>
        <c:axId val="1723800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U"/>
          </a:p>
        </c:txPr>
        <c:crossAx val="1723804623"/>
        <c:crosses val="autoZero"/>
        <c:auto val="1"/>
        <c:lblAlgn val="ctr"/>
        <c:lblOffset val="100"/>
        <c:noMultiLvlLbl val="0"/>
      </c:catAx>
      <c:valAx>
        <c:axId val="1723804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U"/>
          </a:p>
        </c:txPr>
        <c:crossAx val="1723800303"/>
        <c:crosses val="autoZero"/>
        <c:crossBetween val="between"/>
      </c:valAx>
      <c:spPr>
        <a:noFill/>
        <a:ln>
          <a:noFill/>
        </a:ln>
        <a:effectLst/>
      </c:spPr>
    </c:plotArea>
    <c:legend>
      <c:legendPos val="r"/>
      <c:layout>
        <c:manualLayout>
          <c:xMode val="edge"/>
          <c:yMode val="edge"/>
          <c:x val="0.85529373403970244"/>
          <c:y val="0.29082153203407607"/>
          <c:w val="0.1447062659602974"/>
          <c:h val="0.60563763631558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U"/>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5F89A53FC26438C12D3B0E6AE3539" ma:contentTypeVersion="12" ma:contentTypeDescription="Create a new document." ma:contentTypeScope="" ma:versionID="f19c7ec5e70a2d7b1aaf8087e552b7a7">
  <xsd:schema xmlns:xsd="http://www.w3.org/2001/XMLSchema" xmlns:xs="http://www.w3.org/2001/XMLSchema" xmlns:p="http://schemas.microsoft.com/office/2006/metadata/properties" xmlns:ns2="b610b3e2-9218-4b5f-aa42-ae42b433a612" xmlns:ns3="4d8e5188-369a-4cb2-b081-5715404a7824" targetNamespace="http://schemas.microsoft.com/office/2006/metadata/properties" ma:root="true" ma:fieldsID="4ed801a434d475e5de27c73d4e7dceb5" ns2:_="" ns3:_="">
    <xsd:import namespace="b610b3e2-9218-4b5f-aa42-ae42b433a612"/>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b3e2-9218-4b5f-aa42-ae42b433a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b3e2-9218-4b5f-aa42-ae42b433a612">
      <Terms xmlns="http://schemas.microsoft.com/office/infopath/2007/PartnerControls"/>
    </lcf76f155ced4ddcb4097134ff3c332f>
    <TaxCatchAll xmlns="4d8e5188-369a-4cb2-b081-5715404a7824" xsi:nil="true"/>
  </documentManagement>
</p:properties>
</file>

<file path=customXml/itemProps1.xml><?xml version="1.0" encoding="utf-8"?>
<ds:datastoreItem xmlns:ds="http://schemas.openxmlformats.org/officeDocument/2006/customXml" ds:itemID="{9B531C4D-0494-4F47-8027-65310DEB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b3e2-9218-4b5f-aa42-ae42b433a612"/>
    <ds:schemaRef ds:uri="4d8e5188-369a-4cb2-b081-5715404a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E6A63-0A21-46FE-98A8-58A9B0A978F3}">
  <ds:schemaRefs>
    <ds:schemaRef ds:uri="http://schemas.microsoft.com/sharepoint/v3/contenttype/forms"/>
  </ds:schemaRefs>
</ds:datastoreItem>
</file>

<file path=customXml/itemProps3.xml><?xml version="1.0" encoding="utf-8"?>
<ds:datastoreItem xmlns:ds="http://schemas.openxmlformats.org/officeDocument/2006/customXml" ds:itemID="{B67BB31F-5DCB-4CF0-AB1C-9AC78012996F}">
  <ds:schemaRefs>
    <ds:schemaRef ds:uri="http://schemas.microsoft.com/office/2006/metadata/properties"/>
    <ds:schemaRef ds:uri="http://schemas.microsoft.com/office/infopath/2007/PartnerControls"/>
    <ds:schemaRef ds:uri="b610b3e2-9218-4b5f-aa42-ae42b433a612"/>
    <ds:schemaRef ds:uri="4d8e5188-369a-4cb2-b081-5715404a78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4146</Characters>
  <Application>Microsoft Office Word</Application>
  <DocSecurity>0</DocSecurity>
  <Lines>283</Lines>
  <Paragraphs>200</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2026-04-28T10:20:00Z</dcterms:created>
  <dcterms:modified xsi:type="dcterms:W3CDTF">2026-04-28T10:20:00Z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0x010100B555F89A53FC26438C12D3B0E6AE3539</vt:lpwstr>
  </property>
  <property fmtid="{D5CDD505-2E9C-101B-9397-08002B2CF9AE}" pid="3" name="Order">
    <vt:r8>11337000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