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2C5DFD" w:rsidRDefault="00C12C93" w:rsidP="00243910">
      <w:pPr>
        <w:spacing w:after="120"/>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2C5DFD" w14:paraId="51109D41" w14:textId="77777777" w:rsidTr="009144E0">
        <w:tc>
          <w:tcPr>
            <w:tcW w:w="9062" w:type="dxa"/>
            <w:gridSpan w:val="2"/>
          </w:tcPr>
          <w:p w14:paraId="6FC76F95" w14:textId="2ECB36C7" w:rsidR="00EC22CC" w:rsidRPr="002C5DFD" w:rsidRDefault="00B133B6" w:rsidP="00243910">
            <w:pPr>
              <w:spacing w:after="120" w:line="259" w:lineRule="auto"/>
              <w:jc w:val="center"/>
              <w:rPr>
                <w:rFonts w:ascii="Verdana" w:hAnsi="Verdana"/>
                <w:b/>
                <w:bCs/>
                <w:sz w:val="20"/>
                <w:szCs w:val="20"/>
              </w:rPr>
            </w:pPr>
            <w:r w:rsidRPr="002C5DFD">
              <w:rPr>
                <w:rFonts w:ascii="Verdana" w:hAnsi="Verdana"/>
                <w:b/>
                <w:bCs/>
              </w:rPr>
              <w:t>Projet Gouvernance, Paix, Stabilité (GPS)</w:t>
            </w:r>
            <w:r w:rsidR="00DA2650">
              <w:rPr>
                <w:rFonts w:ascii="Verdana" w:hAnsi="Verdana"/>
                <w:b/>
                <w:bCs/>
              </w:rPr>
              <w:t xml:space="preserve"> </w:t>
            </w:r>
            <w:r w:rsidR="00807982">
              <w:rPr>
                <w:rFonts w:ascii="Verdana" w:hAnsi="Verdana"/>
                <w:b/>
                <w:bCs/>
              </w:rPr>
              <w:t>- Unité de gouvernance</w:t>
            </w:r>
          </w:p>
        </w:tc>
      </w:tr>
      <w:tr w:rsidR="00EC22CC" w:rsidRPr="002C5DFD" w14:paraId="7F1B63D2" w14:textId="77777777" w:rsidTr="002A0933">
        <w:tc>
          <w:tcPr>
            <w:tcW w:w="7225" w:type="dxa"/>
          </w:tcPr>
          <w:p w14:paraId="056D9B10" w14:textId="44401071" w:rsidR="00EC22CC" w:rsidRPr="002C5DFD" w:rsidRDefault="00C8650C" w:rsidP="00243910">
            <w:pPr>
              <w:spacing w:after="120" w:line="259" w:lineRule="auto"/>
              <w:rPr>
                <w:rFonts w:ascii="Verdana" w:hAnsi="Verdana"/>
                <w:sz w:val="20"/>
                <w:szCs w:val="20"/>
              </w:rPr>
            </w:pPr>
            <w:r w:rsidRPr="002C5DFD">
              <w:rPr>
                <w:rFonts w:ascii="Verdana" w:hAnsi="Verdana"/>
                <w:sz w:val="20"/>
                <w:szCs w:val="20"/>
              </w:rPr>
              <w:t>Comité des OPL</w:t>
            </w:r>
            <w:r w:rsidR="00B60697" w:rsidRPr="002C5DFD">
              <w:rPr>
                <w:rFonts w:ascii="Verdana" w:hAnsi="Verdana"/>
                <w:sz w:val="20"/>
                <w:szCs w:val="20"/>
              </w:rPr>
              <w:t xml:space="preserve"> n°0</w:t>
            </w:r>
            <w:r w:rsidR="000B05CF">
              <w:rPr>
                <w:rFonts w:ascii="Verdana" w:hAnsi="Verdana"/>
                <w:sz w:val="20"/>
                <w:szCs w:val="20"/>
              </w:rPr>
              <w:t>2</w:t>
            </w:r>
            <w:r w:rsidR="00B60697" w:rsidRPr="002C5DFD">
              <w:rPr>
                <w:rFonts w:ascii="Verdana" w:hAnsi="Verdana"/>
                <w:sz w:val="20"/>
                <w:szCs w:val="20"/>
              </w:rPr>
              <w:t>/202</w:t>
            </w:r>
            <w:r w:rsidR="00807982">
              <w:rPr>
                <w:rFonts w:ascii="Verdana" w:hAnsi="Verdana"/>
                <w:sz w:val="20"/>
                <w:szCs w:val="20"/>
              </w:rPr>
              <w:t>6</w:t>
            </w:r>
            <w:r w:rsidR="00B60697" w:rsidRPr="002C5DFD">
              <w:rPr>
                <w:rFonts w:ascii="Verdana" w:hAnsi="Verdana"/>
                <w:sz w:val="20"/>
                <w:szCs w:val="20"/>
              </w:rPr>
              <w:t xml:space="preserve"> | </w:t>
            </w:r>
            <w:r w:rsidR="000B05CF">
              <w:rPr>
                <w:rFonts w:ascii="Verdana" w:hAnsi="Verdana"/>
                <w:sz w:val="20"/>
                <w:szCs w:val="20"/>
              </w:rPr>
              <w:t>05-07 mai</w:t>
            </w:r>
            <w:r w:rsidRPr="002C5DFD">
              <w:rPr>
                <w:rFonts w:ascii="Verdana" w:hAnsi="Verdana"/>
                <w:sz w:val="20"/>
                <w:szCs w:val="20"/>
              </w:rPr>
              <w:t xml:space="preserve"> 202</w:t>
            </w:r>
            <w:r w:rsidR="00807982">
              <w:rPr>
                <w:rFonts w:ascii="Verdana" w:hAnsi="Verdana"/>
                <w:sz w:val="20"/>
                <w:szCs w:val="20"/>
              </w:rPr>
              <w:t>6</w:t>
            </w:r>
          </w:p>
        </w:tc>
        <w:tc>
          <w:tcPr>
            <w:tcW w:w="1837" w:type="dxa"/>
          </w:tcPr>
          <w:p w14:paraId="58E25D1F" w14:textId="35E86F29" w:rsidR="00EC22CC" w:rsidRPr="002C5DFD" w:rsidRDefault="00EC22CC" w:rsidP="00243910">
            <w:pPr>
              <w:spacing w:after="120" w:line="259" w:lineRule="auto"/>
              <w:jc w:val="center"/>
              <w:rPr>
                <w:rFonts w:ascii="Verdana" w:hAnsi="Verdana"/>
                <w:sz w:val="20"/>
                <w:szCs w:val="20"/>
              </w:rPr>
            </w:pPr>
          </w:p>
        </w:tc>
      </w:tr>
      <w:tr w:rsidR="00EC22CC" w:rsidRPr="002C5DFD" w14:paraId="537D1DE5" w14:textId="77777777" w:rsidTr="002A0933">
        <w:tc>
          <w:tcPr>
            <w:tcW w:w="7225" w:type="dxa"/>
          </w:tcPr>
          <w:p w14:paraId="43DEF09E" w14:textId="262C6478" w:rsidR="00EC22CC" w:rsidRPr="002C5DFD" w:rsidRDefault="00A148A1" w:rsidP="00243910">
            <w:pPr>
              <w:spacing w:after="120" w:line="259" w:lineRule="auto"/>
              <w:rPr>
                <w:rFonts w:ascii="Verdana" w:hAnsi="Verdana"/>
                <w:sz w:val="20"/>
                <w:szCs w:val="20"/>
              </w:rPr>
            </w:pPr>
            <w:r w:rsidRPr="002C5DFD">
              <w:rPr>
                <w:rFonts w:ascii="Verdana" w:hAnsi="Verdana"/>
                <w:i/>
                <w:iCs/>
                <w:sz w:val="20"/>
                <w:szCs w:val="20"/>
              </w:rPr>
              <w:t>Dossier suivi par :</w:t>
            </w:r>
            <w:r w:rsidR="00EC22CC" w:rsidRPr="002C5DFD">
              <w:rPr>
                <w:rFonts w:ascii="Verdana" w:hAnsi="Verdana"/>
                <w:sz w:val="20"/>
                <w:szCs w:val="20"/>
              </w:rPr>
              <w:t xml:space="preserve"> </w:t>
            </w:r>
            <w:r w:rsidR="00B133B6" w:rsidRPr="002C5DFD">
              <w:rPr>
                <w:rFonts w:ascii="Verdana" w:hAnsi="Verdana"/>
                <w:sz w:val="20"/>
                <w:szCs w:val="20"/>
              </w:rPr>
              <w:t xml:space="preserve">Marc </w:t>
            </w:r>
            <w:r w:rsidR="00223158" w:rsidRPr="002C5DFD">
              <w:rPr>
                <w:rFonts w:ascii="Verdana" w:hAnsi="Verdana"/>
                <w:sz w:val="20"/>
                <w:szCs w:val="20"/>
              </w:rPr>
              <w:t>MAMINIAINA</w:t>
            </w:r>
            <w:r w:rsidR="00B133B6" w:rsidRPr="002C5DFD">
              <w:rPr>
                <w:rFonts w:ascii="Verdana" w:hAnsi="Verdana"/>
                <w:sz w:val="20"/>
                <w:szCs w:val="20"/>
              </w:rPr>
              <w:t>, chargé de mission DI 3</w:t>
            </w:r>
          </w:p>
        </w:tc>
        <w:tc>
          <w:tcPr>
            <w:tcW w:w="1837" w:type="dxa"/>
          </w:tcPr>
          <w:p w14:paraId="5AC1AFAB" w14:textId="14BC5EDD" w:rsidR="00EC22CC" w:rsidRPr="002C5DFD" w:rsidRDefault="001669C3" w:rsidP="00243910">
            <w:pPr>
              <w:spacing w:after="120" w:line="259" w:lineRule="auto"/>
              <w:jc w:val="center"/>
              <w:rPr>
                <w:rFonts w:ascii="Verdana" w:hAnsi="Verdana"/>
                <w:sz w:val="20"/>
                <w:szCs w:val="20"/>
              </w:rPr>
            </w:pPr>
            <w:r w:rsidRPr="002C5DFD">
              <w:rPr>
                <w:rFonts w:ascii="Verdana" w:hAnsi="Verdana"/>
                <w:sz w:val="20"/>
                <w:szCs w:val="20"/>
              </w:rPr>
              <w:t>Décision</w:t>
            </w:r>
            <w:r w:rsidR="00C51E50" w:rsidRPr="002C5DFD">
              <w:rPr>
                <w:rFonts w:ascii="Verdana" w:hAnsi="Verdana"/>
                <w:sz w:val="20"/>
                <w:szCs w:val="20"/>
              </w:rPr>
              <w:t xml:space="preserve"> </w:t>
            </w:r>
          </w:p>
        </w:tc>
      </w:tr>
      <w:tr w:rsidR="00470784" w:rsidRPr="002C5DFD" w14:paraId="1BE62D8F" w14:textId="77777777" w:rsidTr="005A0088">
        <w:tc>
          <w:tcPr>
            <w:tcW w:w="9062" w:type="dxa"/>
            <w:gridSpan w:val="2"/>
          </w:tcPr>
          <w:p w14:paraId="68583B41" w14:textId="07CD18CA" w:rsidR="00470784" w:rsidRPr="002C5DFD" w:rsidRDefault="00470784" w:rsidP="00243910">
            <w:pPr>
              <w:spacing w:after="120" w:line="259" w:lineRule="auto"/>
              <w:rPr>
                <w:rFonts w:ascii="Verdana" w:hAnsi="Verdana"/>
                <w:sz w:val="20"/>
                <w:szCs w:val="20"/>
              </w:rPr>
            </w:pPr>
            <w:r w:rsidRPr="002C5DFD">
              <w:rPr>
                <w:rFonts w:ascii="Verdana" w:hAnsi="Verdana"/>
                <w:i/>
                <w:iCs/>
                <w:sz w:val="20"/>
                <w:szCs w:val="20"/>
              </w:rPr>
              <w:t xml:space="preserve">Version du </w:t>
            </w:r>
            <w:r w:rsidR="00807982">
              <w:rPr>
                <w:rFonts w:ascii="Verdana" w:hAnsi="Verdana"/>
                <w:i/>
                <w:iCs/>
                <w:sz w:val="20"/>
                <w:szCs w:val="20"/>
              </w:rPr>
              <w:t>20</w:t>
            </w:r>
            <w:r w:rsidR="002C5DFD" w:rsidRPr="002C5DFD">
              <w:rPr>
                <w:rFonts w:ascii="Verdana" w:hAnsi="Verdana"/>
                <w:i/>
                <w:iCs/>
                <w:sz w:val="20"/>
                <w:szCs w:val="20"/>
              </w:rPr>
              <w:t>/</w:t>
            </w:r>
            <w:r w:rsidR="00807982">
              <w:rPr>
                <w:rFonts w:ascii="Verdana" w:hAnsi="Verdana"/>
                <w:i/>
                <w:iCs/>
                <w:sz w:val="20"/>
                <w:szCs w:val="20"/>
              </w:rPr>
              <w:t>04</w:t>
            </w:r>
            <w:r w:rsidR="002C5DFD" w:rsidRPr="002C5DFD">
              <w:rPr>
                <w:rFonts w:ascii="Verdana" w:hAnsi="Verdana"/>
                <w:i/>
                <w:iCs/>
                <w:sz w:val="20"/>
                <w:szCs w:val="20"/>
              </w:rPr>
              <w:t>/</w:t>
            </w:r>
            <w:r w:rsidRPr="002C5DFD">
              <w:rPr>
                <w:rFonts w:ascii="Verdana" w:hAnsi="Verdana"/>
                <w:i/>
                <w:iCs/>
                <w:sz w:val="20"/>
                <w:szCs w:val="20"/>
              </w:rPr>
              <w:t>202</w:t>
            </w:r>
            <w:r w:rsidR="00807982">
              <w:rPr>
                <w:rFonts w:ascii="Verdana" w:hAnsi="Verdana"/>
                <w:i/>
                <w:iCs/>
                <w:sz w:val="20"/>
                <w:szCs w:val="20"/>
              </w:rPr>
              <w:t>6</w:t>
            </w:r>
          </w:p>
        </w:tc>
      </w:tr>
    </w:tbl>
    <w:p w14:paraId="2E2C07A2" w14:textId="77777777" w:rsidR="002C5DFD" w:rsidRDefault="002C5DFD" w:rsidP="00243910">
      <w:pPr>
        <w:pStyle w:val="Sous-partie2"/>
        <w:spacing w:after="120"/>
        <w:contextualSpacing w:val="0"/>
      </w:pPr>
      <w:bookmarkStart w:id="0" w:name="_Hlk24535240"/>
      <w:bookmarkStart w:id="1" w:name="_Hlk210838810"/>
    </w:p>
    <w:p w14:paraId="4447E513" w14:textId="5FABA068" w:rsidR="00747397" w:rsidRPr="002C5DFD" w:rsidRDefault="00053B08" w:rsidP="00243910">
      <w:pPr>
        <w:pStyle w:val="Titrepartie"/>
        <w:numPr>
          <w:ilvl w:val="0"/>
          <w:numId w:val="21"/>
        </w:numPr>
        <w:spacing w:after="120"/>
        <w:contextualSpacing w:val="0"/>
      </w:pPr>
      <w:r w:rsidRPr="002C5DFD">
        <w:t>Consolidation</w:t>
      </w:r>
      <w:r w:rsidR="00436A43" w:rsidRPr="002C5DFD">
        <w:t xml:space="preserve"> </w:t>
      </w:r>
      <w:r w:rsidR="001E2028" w:rsidRPr="002C5DFD">
        <w:t xml:space="preserve">de l’Unité de Gouvernance </w:t>
      </w:r>
      <w:r w:rsidR="004D76C2" w:rsidRPr="002C5DFD">
        <w:t xml:space="preserve">et pérennisation des acquis du projet GPS </w:t>
      </w:r>
    </w:p>
    <w:p w14:paraId="105604C7" w14:textId="256EDA6B" w:rsidR="00B90076" w:rsidRDefault="00B90076" w:rsidP="00243910">
      <w:pPr>
        <w:suppressAutoHyphens/>
        <w:autoSpaceDN w:val="0"/>
        <w:spacing w:after="120"/>
        <w:jc w:val="both"/>
        <w:textAlignment w:val="baseline"/>
        <w:rPr>
          <w:rFonts w:ascii="Verdana" w:hAnsi="Verdana"/>
          <w:sz w:val="20"/>
          <w:szCs w:val="20"/>
        </w:rPr>
      </w:pPr>
      <w:r w:rsidRPr="00B90076">
        <w:rPr>
          <w:rFonts w:ascii="Verdana" w:hAnsi="Verdana"/>
          <w:sz w:val="20"/>
          <w:szCs w:val="20"/>
        </w:rPr>
        <w:t>À titre de rappel, une feuille de route relative à la pérennisation de l’Unité Gouvernance a été élaborée par le Secrétariat et présentée aux États membres lors du dernier Comité des OPL tenu en novembre 2025. Celle-ci s’articule autour de trois axes principaux, à savoir le développement organisationnel et opérationnel, le renforcement du positionnement et de la visibilité de l’Unité, ainsi que la mobilisation durable des ressources.</w:t>
      </w:r>
    </w:p>
    <w:p w14:paraId="4F020C20" w14:textId="231836CF" w:rsidR="00B90076" w:rsidRPr="00B90076" w:rsidRDefault="00B90076" w:rsidP="00243910">
      <w:pPr>
        <w:suppressAutoHyphens/>
        <w:autoSpaceDN w:val="0"/>
        <w:spacing w:after="120"/>
        <w:jc w:val="both"/>
        <w:textAlignment w:val="baseline"/>
        <w:rPr>
          <w:rFonts w:ascii="Verdana" w:hAnsi="Verdana"/>
          <w:sz w:val="20"/>
          <w:szCs w:val="20"/>
        </w:rPr>
      </w:pPr>
      <w:r w:rsidRPr="00B90076">
        <w:rPr>
          <w:rFonts w:ascii="Verdana" w:hAnsi="Verdana"/>
          <w:sz w:val="20"/>
          <w:szCs w:val="20"/>
        </w:rPr>
        <w:t>Compte tenu de la dernière année de mise en œuvre du projet GPS, qui assure actuellement le financement de l’Unité de Gouvernance, il</w:t>
      </w:r>
      <w:r>
        <w:rPr>
          <w:rFonts w:ascii="Verdana" w:hAnsi="Verdana"/>
          <w:sz w:val="20"/>
          <w:szCs w:val="20"/>
        </w:rPr>
        <w:t xml:space="preserve"> </w:t>
      </w:r>
      <w:r w:rsidRPr="00B90076">
        <w:rPr>
          <w:rFonts w:ascii="Verdana" w:hAnsi="Verdana"/>
          <w:sz w:val="20"/>
          <w:szCs w:val="20"/>
        </w:rPr>
        <w:t>impératif de prendre en considération les besoins urgents de celle-ci en matière de ressources humaines.</w:t>
      </w:r>
    </w:p>
    <w:p w14:paraId="6BA49A03" w14:textId="2D40AE63" w:rsidR="00807982" w:rsidRPr="002C5DFD" w:rsidRDefault="00807982" w:rsidP="00243910">
      <w:pPr>
        <w:pStyle w:val="Sous-partie2"/>
        <w:numPr>
          <w:ilvl w:val="1"/>
          <w:numId w:val="21"/>
        </w:numPr>
        <w:spacing w:after="120"/>
        <w:contextualSpacing w:val="0"/>
      </w:pPr>
      <w:r>
        <w:t>Le poste de coordonnateur de l’Unité de Gouvernance</w:t>
      </w:r>
    </w:p>
    <w:p w14:paraId="1384BDEC" w14:textId="77777777" w:rsidR="00B90076" w:rsidRDefault="00B90076" w:rsidP="00243910">
      <w:pPr>
        <w:suppressAutoHyphens/>
        <w:autoSpaceDN w:val="0"/>
        <w:spacing w:after="120"/>
        <w:jc w:val="both"/>
        <w:textAlignment w:val="baseline"/>
        <w:rPr>
          <w:rFonts w:ascii="Verdana" w:hAnsi="Verdana"/>
          <w:sz w:val="20"/>
          <w:szCs w:val="20"/>
        </w:rPr>
      </w:pPr>
      <w:r w:rsidRPr="00B90076">
        <w:rPr>
          <w:rFonts w:ascii="Verdana" w:hAnsi="Verdana"/>
          <w:sz w:val="20"/>
          <w:szCs w:val="20"/>
        </w:rPr>
        <w:t>À titre de rappel, le Coordonnateur technique assure l’appui technique et opérationnel ainsi que l’accompagnement des acteurs intervenant dans les domaines de la diplomatie parlementaire, du genre et de la jeunesse, à travers les réseaux régionaux (AP-COI, PFPOI et PRJIO). Il est également chargé, conformément à ses termes de référence, des activités de communication et de visibilité de ces réseaux, en collaboration avec le service de communication du Secrétariat.</w:t>
      </w:r>
    </w:p>
    <w:p w14:paraId="6676BABC" w14:textId="17345AFF" w:rsidR="00B90076" w:rsidRPr="00B90076" w:rsidRDefault="00B90076" w:rsidP="00243910">
      <w:pPr>
        <w:suppressAutoHyphens/>
        <w:autoSpaceDN w:val="0"/>
        <w:spacing w:after="120"/>
        <w:jc w:val="both"/>
        <w:textAlignment w:val="baseline"/>
        <w:rPr>
          <w:rFonts w:ascii="Verdana" w:hAnsi="Verdana"/>
          <w:sz w:val="20"/>
          <w:szCs w:val="20"/>
        </w:rPr>
      </w:pPr>
      <w:r w:rsidRPr="00B90076">
        <w:rPr>
          <w:rFonts w:ascii="Verdana" w:hAnsi="Verdana"/>
          <w:sz w:val="20"/>
          <w:szCs w:val="20"/>
        </w:rPr>
        <w:t>Ce poste est actuellement financé par le projet GPS jusqu’à la fin du mois d</w:t>
      </w:r>
      <w:r w:rsidR="00021125">
        <w:rPr>
          <w:rFonts w:ascii="Verdana" w:hAnsi="Verdana"/>
          <w:sz w:val="20"/>
          <w:szCs w:val="20"/>
        </w:rPr>
        <w:t>e septembre</w:t>
      </w:r>
      <w:r w:rsidRPr="00B90076">
        <w:rPr>
          <w:rFonts w:ascii="Verdana" w:hAnsi="Verdana"/>
          <w:sz w:val="20"/>
          <w:szCs w:val="20"/>
        </w:rPr>
        <w:t xml:space="preserve"> 2026. Compte tenu de l’importance stratégique de cette fonction dans la coordination des activités de l’Unité ainsi que du Secrétariat de l’AP-COI, l’appui des États membres est sollicité en vue d’en assurer la pérennisation.</w:t>
      </w:r>
    </w:p>
    <w:p w14:paraId="41CC266A" w14:textId="7AB4DE63" w:rsidR="00E624B5" w:rsidRDefault="00E624B5" w:rsidP="00243910">
      <w:pPr>
        <w:suppressAutoHyphens/>
        <w:autoSpaceDN w:val="0"/>
        <w:spacing w:after="120"/>
        <w:jc w:val="both"/>
        <w:textAlignment w:val="baseline"/>
        <w:rPr>
          <w:rFonts w:ascii="Verdana" w:hAnsi="Verdana"/>
          <w:sz w:val="20"/>
          <w:szCs w:val="20"/>
        </w:rPr>
      </w:pPr>
      <w:r>
        <w:rPr>
          <w:rFonts w:ascii="Verdana" w:hAnsi="Verdana"/>
          <w:sz w:val="20"/>
          <w:szCs w:val="20"/>
        </w:rPr>
        <w:t>Le dernier comité des OPL a « </w:t>
      </w:r>
      <w:r w:rsidRPr="007710A5">
        <w:rPr>
          <w:rFonts w:ascii="Verdana" w:hAnsi="Verdana"/>
          <w:i/>
          <w:iCs/>
          <w:sz w:val="20"/>
          <w:szCs w:val="20"/>
        </w:rPr>
        <w:t>demandé au Secrétariat de mener les consultations avec l’Union européenne et l’Agence française de développement en vue de la prise en charge du poste du Coordonnateur technique par la COI à partir d’octobre 2026, à travers la subvention Horizon 2030 (UE/AFD) jusqu’à la clôture du projet GPS</w:t>
      </w:r>
      <w:r>
        <w:rPr>
          <w:rFonts w:ascii="Verdana" w:hAnsi="Verdana"/>
          <w:sz w:val="20"/>
          <w:szCs w:val="20"/>
        </w:rPr>
        <w:t xml:space="preserve"> ». </w:t>
      </w:r>
    </w:p>
    <w:p w14:paraId="30BEA1BF" w14:textId="1DA9E5AA" w:rsidR="00021125" w:rsidRDefault="00B90076" w:rsidP="00243910">
      <w:pPr>
        <w:suppressAutoHyphens/>
        <w:autoSpaceDN w:val="0"/>
        <w:spacing w:after="120"/>
        <w:jc w:val="both"/>
        <w:textAlignment w:val="baseline"/>
        <w:rPr>
          <w:rFonts w:ascii="Verdana" w:hAnsi="Verdana"/>
          <w:sz w:val="20"/>
          <w:szCs w:val="20"/>
        </w:rPr>
      </w:pPr>
      <w:r w:rsidRPr="00B90076">
        <w:rPr>
          <w:rFonts w:ascii="Verdana" w:hAnsi="Verdana"/>
          <w:sz w:val="20"/>
          <w:szCs w:val="20"/>
        </w:rPr>
        <w:t>Toutefois, si cette consultation ne devait pas aboutir à une prise en charge de ce poste jusqu’à la clôture du projet, il conviendrait d’envisager une mise à disposition par les États membres</w:t>
      </w:r>
      <w:r w:rsidR="00021125">
        <w:rPr>
          <w:rFonts w:ascii="Verdana" w:hAnsi="Verdana"/>
          <w:sz w:val="20"/>
          <w:szCs w:val="20"/>
        </w:rPr>
        <w:t xml:space="preserve"> pour assurer l’alignement stratégique avec le PDS 2023-20233, la continuité des missions et l’ancrage institutionnel pour stabiliser le fonctionnement de l’unité. </w:t>
      </w:r>
    </w:p>
    <w:p w14:paraId="63623D28" w14:textId="53B1D332" w:rsidR="00E624B5" w:rsidRDefault="00E624B5" w:rsidP="00243910">
      <w:pPr>
        <w:pStyle w:val="Sous-partie2"/>
        <w:numPr>
          <w:ilvl w:val="1"/>
          <w:numId w:val="21"/>
        </w:numPr>
        <w:spacing w:after="120"/>
        <w:contextualSpacing w:val="0"/>
      </w:pPr>
      <w:r>
        <w:t xml:space="preserve">Le poste de </w:t>
      </w:r>
      <w:r w:rsidR="00D036FA">
        <w:t>Chef d’</w:t>
      </w:r>
      <w:r>
        <w:t>Unité de Gouvernance :</w:t>
      </w:r>
    </w:p>
    <w:p w14:paraId="7DC60DED" w14:textId="77777777" w:rsidR="00B90076" w:rsidRDefault="00B90076" w:rsidP="00243910">
      <w:pPr>
        <w:suppressAutoHyphens/>
        <w:autoSpaceDN w:val="0"/>
        <w:spacing w:after="120"/>
        <w:jc w:val="both"/>
        <w:textAlignment w:val="baseline"/>
        <w:rPr>
          <w:rFonts w:ascii="Verdana" w:hAnsi="Verdana"/>
          <w:sz w:val="20"/>
          <w:szCs w:val="20"/>
        </w:rPr>
      </w:pPr>
      <w:r w:rsidRPr="00B90076">
        <w:rPr>
          <w:rFonts w:ascii="Verdana" w:hAnsi="Verdana"/>
          <w:sz w:val="20"/>
          <w:szCs w:val="20"/>
        </w:rPr>
        <w:t>À titre de rappel, ce poste a été créé afin d’assurer le pilotage stratégique, la coordination interne ainsi que la mobilisation des ressources, tout en se concentrant sur les thématiques de prévention des conflits, d’appui aux processus électoraux et de consolidation de l’État de droit.</w:t>
      </w:r>
    </w:p>
    <w:p w14:paraId="32113878" w14:textId="77777777" w:rsidR="00B90076" w:rsidRDefault="00B90076" w:rsidP="00243910">
      <w:pPr>
        <w:suppressAutoHyphens/>
        <w:autoSpaceDN w:val="0"/>
        <w:spacing w:after="120"/>
        <w:jc w:val="both"/>
        <w:textAlignment w:val="baseline"/>
        <w:rPr>
          <w:rFonts w:ascii="Verdana" w:hAnsi="Verdana"/>
          <w:sz w:val="20"/>
          <w:szCs w:val="20"/>
        </w:rPr>
      </w:pPr>
      <w:r w:rsidRPr="00B90076">
        <w:rPr>
          <w:rFonts w:ascii="Verdana" w:hAnsi="Verdana"/>
          <w:sz w:val="20"/>
          <w:szCs w:val="20"/>
        </w:rPr>
        <w:t>Ce poste demeure vacant depuis la création de l’Unité jusqu’à ce jour. Une décision devra, par conséquent, être prise par le Conseil en vue de sa prise en charge par les États membres, à travers une mise à disposition, conformément aux termes de référence.</w:t>
      </w:r>
    </w:p>
    <w:p w14:paraId="72C81A73" w14:textId="28A4DC12" w:rsidR="00021125" w:rsidRDefault="00021125" w:rsidP="00243910">
      <w:pPr>
        <w:pStyle w:val="NormalWeb"/>
        <w:spacing w:before="0" w:beforeAutospacing="0" w:after="120" w:afterAutospacing="0" w:line="259" w:lineRule="auto"/>
        <w:jc w:val="both"/>
        <w:rPr>
          <w:rFonts w:ascii="Verdana" w:eastAsiaTheme="minorHAnsi" w:hAnsi="Verdana" w:cstheme="minorBidi"/>
          <w:sz w:val="20"/>
          <w:szCs w:val="20"/>
          <w:lang w:val="fr-BE"/>
        </w:rPr>
      </w:pPr>
      <w:r>
        <w:rPr>
          <w:rFonts w:ascii="Verdana" w:hAnsi="Verdana"/>
          <w:sz w:val="20"/>
          <w:szCs w:val="20"/>
        </w:rPr>
        <w:lastRenderedPageBreak/>
        <w:t>Par ailleurs,</w:t>
      </w:r>
      <w:r>
        <w:rPr>
          <w:rFonts w:ascii="Verdana" w:eastAsiaTheme="minorHAnsi" w:hAnsi="Verdana" w:cstheme="minorBidi"/>
          <w:sz w:val="20"/>
          <w:szCs w:val="20"/>
          <w:lang w:val="fr-BE"/>
        </w:rPr>
        <w:t xml:space="preserve"> u</w:t>
      </w:r>
      <w:r w:rsidRPr="008710D3">
        <w:rPr>
          <w:rFonts w:ascii="Verdana" w:eastAsiaTheme="minorHAnsi" w:hAnsi="Verdana" w:cstheme="minorBidi"/>
          <w:sz w:val="20"/>
          <w:szCs w:val="20"/>
          <w:lang w:val="fr-BE"/>
        </w:rPr>
        <w:t>ne demande de mise à disposition d’un(e) chef(</w:t>
      </w:r>
      <w:proofErr w:type="spellStart"/>
      <w:r w:rsidRPr="008710D3">
        <w:rPr>
          <w:rFonts w:ascii="Verdana" w:eastAsiaTheme="minorHAnsi" w:hAnsi="Verdana" w:cstheme="minorBidi"/>
          <w:sz w:val="20"/>
          <w:szCs w:val="20"/>
          <w:lang w:val="fr-BE"/>
        </w:rPr>
        <w:t>fe</w:t>
      </w:r>
      <w:proofErr w:type="spellEnd"/>
      <w:r w:rsidRPr="008710D3">
        <w:rPr>
          <w:rFonts w:ascii="Verdana" w:eastAsiaTheme="minorHAnsi" w:hAnsi="Verdana" w:cstheme="minorBidi"/>
          <w:sz w:val="20"/>
          <w:szCs w:val="20"/>
          <w:lang w:val="fr-BE"/>
        </w:rPr>
        <w:t>) d’unité pour l’</w:t>
      </w:r>
      <w:r>
        <w:rPr>
          <w:rFonts w:ascii="Verdana" w:eastAsiaTheme="minorHAnsi" w:hAnsi="Verdana" w:cstheme="minorBidi"/>
          <w:sz w:val="20"/>
          <w:szCs w:val="20"/>
          <w:lang w:val="fr-BE"/>
        </w:rPr>
        <w:t>U</w:t>
      </w:r>
      <w:r w:rsidRPr="008710D3">
        <w:rPr>
          <w:rFonts w:ascii="Verdana" w:eastAsiaTheme="minorHAnsi" w:hAnsi="Verdana" w:cstheme="minorBidi"/>
          <w:sz w:val="20"/>
          <w:szCs w:val="20"/>
          <w:lang w:val="fr-BE"/>
        </w:rPr>
        <w:t>nité de gouvernance</w:t>
      </w:r>
      <w:r>
        <w:rPr>
          <w:rFonts w:ascii="Verdana" w:eastAsiaTheme="minorHAnsi" w:hAnsi="Verdana" w:cstheme="minorBidi"/>
          <w:sz w:val="20"/>
          <w:szCs w:val="20"/>
          <w:lang w:val="fr-BE"/>
        </w:rPr>
        <w:t xml:space="preserve"> </w:t>
      </w:r>
      <w:r w:rsidRPr="008710D3">
        <w:rPr>
          <w:rFonts w:ascii="Verdana" w:eastAsiaTheme="minorHAnsi" w:hAnsi="Verdana" w:cstheme="minorBidi"/>
          <w:sz w:val="20"/>
          <w:szCs w:val="20"/>
          <w:lang w:val="fr-BE"/>
        </w:rPr>
        <w:t xml:space="preserve">a été </w:t>
      </w:r>
      <w:r>
        <w:rPr>
          <w:rFonts w:ascii="Verdana" w:eastAsiaTheme="minorHAnsi" w:hAnsi="Verdana" w:cstheme="minorBidi"/>
          <w:sz w:val="20"/>
          <w:szCs w:val="20"/>
          <w:lang w:val="fr-BE"/>
        </w:rPr>
        <w:t>soumise</w:t>
      </w:r>
      <w:r w:rsidRPr="008710D3">
        <w:rPr>
          <w:rFonts w:ascii="Verdana" w:eastAsiaTheme="minorHAnsi" w:hAnsi="Verdana" w:cstheme="minorBidi"/>
          <w:sz w:val="20"/>
          <w:szCs w:val="20"/>
          <w:lang w:val="fr-BE"/>
        </w:rPr>
        <w:t xml:space="preserve"> </w:t>
      </w:r>
      <w:r>
        <w:rPr>
          <w:rFonts w:ascii="Verdana" w:eastAsiaTheme="minorHAnsi" w:hAnsi="Verdana" w:cstheme="minorBidi"/>
          <w:sz w:val="20"/>
          <w:szCs w:val="20"/>
          <w:lang w:val="fr-BE"/>
        </w:rPr>
        <w:t xml:space="preserve">aux États membres </w:t>
      </w:r>
      <w:r w:rsidRPr="008710D3">
        <w:rPr>
          <w:rFonts w:ascii="Verdana" w:eastAsiaTheme="minorHAnsi" w:hAnsi="Verdana" w:cstheme="minorBidi"/>
          <w:sz w:val="20"/>
          <w:szCs w:val="20"/>
          <w:lang w:val="fr-BE"/>
        </w:rPr>
        <w:t>en réponse</w:t>
      </w:r>
      <w:r>
        <w:rPr>
          <w:rFonts w:ascii="Verdana" w:eastAsiaTheme="minorHAnsi" w:hAnsi="Verdana" w:cstheme="minorBidi"/>
          <w:sz w:val="20"/>
          <w:szCs w:val="20"/>
          <w:lang w:val="fr-BE"/>
        </w:rPr>
        <w:t xml:space="preserve"> </w:t>
      </w:r>
      <w:r w:rsidRPr="008710D3">
        <w:rPr>
          <w:rFonts w:ascii="Verdana" w:eastAsiaTheme="minorHAnsi" w:hAnsi="Verdana" w:cstheme="minorBidi"/>
          <w:sz w:val="20"/>
          <w:szCs w:val="20"/>
          <w:lang w:val="fr-BE"/>
        </w:rPr>
        <w:t xml:space="preserve">à la décision 11 d) du </w:t>
      </w:r>
      <w:r>
        <w:rPr>
          <w:rFonts w:ascii="Verdana" w:eastAsiaTheme="minorHAnsi" w:hAnsi="Verdana" w:cstheme="minorBidi"/>
          <w:sz w:val="20"/>
          <w:szCs w:val="20"/>
          <w:lang w:val="fr-BE"/>
        </w:rPr>
        <w:t xml:space="preserve">dernier </w:t>
      </w:r>
      <w:r w:rsidRPr="008710D3">
        <w:rPr>
          <w:rFonts w:ascii="Verdana" w:eastAsiaTheme="minorHAnsi" w:hAnsi="Verdana" w:cstheme="minorBidi"/>
          <w:sz w:val="20"/>
          <w:szCs w:val="20"/>
          <w:lang w:val="fr-BE"/>
        </w:rPr>
        <w:t>Comité des OPL</w:t>
      </w:r>
      <w:r>
        <w:rPr>
          <w:rFonts w:ascii="Verdana" w:eastAsiaTheme="minorHAnsi" w:hAnsi="Verdana" w:cstheme="minorBidi"/>
          <w:sz w:val="20"/>
          <w:szCs w:val="20"/>
          <w:lang w:val="fr-BE"/>
        </w:rPr>
        <w:t>.</w:t>
      </w:r>
    </w:p>
    <w:p w14:paraId="7805D093" w14:textId="682C2867" w:rsidR="00021125" w:rsidRDefault="00021125" w:rsidP="00243910">
      <w:pPr>
        <w:pStyle w:val="Sous-partie2"/>
        <w:numPr>
          <w:ilvl w:val="1"/>
          <w:numId w:val="21"/>
        </w:numPr>
        <w:spacing w:after="120"/>
        <w:contextualSpacing w:val="0"/>
      </w:pPr>
      <w:r>
        <w:t>Besoins financiers pour la pérennisation de l’Unité de gouvernance</w:t>
      </w:r>
    </w:p>
    <w:p w14:paraId="16B13A06" w14:textId="177C0CF6" w:rsidR="00021125" w:rsidRDefault="00021125" w:rsidP="00243910">
      <w:pPr>
        <w:suppressAutoHyphens/>
        <w:autoSpaceDN w:val="0"/>
        <w:spacing w:after="120"/>
        <w:jc w:val="both"/>
        <w:textAlignment w:val="baseline"/>
        <w:rPr>
          <w:rFonts w:ascii="Verdana" w:hAnsi="Verdana"/>
          <w:sz w:val="20"/>
          <w:szCs w:val="20"/>
        </w:rPr>
      </w:pPr>
      <w:r w:rsidRPr="00BA6298">
        <w:rPr>
          <w:rFonts w:ascii="Verdana" w:hAnsi="Verdana"/>
          <w:sz w:val="20"/>
          <w:szCs w:val="20"/>
        </w:rPr>
        <w:t xml:space="preserve">La décision 11 </w:t>
      </w:r>
      <w:r>
        <w:rPr>
          <w:rFonts w:ascii="Verdana" w:hAnsi="Verdana"/>
          <w:sz w:val="20"/>
          <w:szCs w:val="20"/>
        </w:rPr>
        <w:t>a)</w:t>
      </w:r>
      <w:r w:rsidRPr="00BA6298">
        <w:rPr>
          <w:rFonts w:ascii="Verdana" w:hAnsi="Verdana"/>
          <w:sz w:val="20"/>
          <w:szCs w:val="20"/>
        </w:rPr>
        <w:t xml:space="preserve"> iv) du </w:t>
      </w:r>
      <w:r>
        <w:rPr>
          <w:rFonts w:ascii="Verdana" w:hAnsi="Verdana"/>
          <w:sz w:val="20"/>
          <w:szCs w:val="20"/>
        </w:rPr>
        <w:t xml:space="preserve">dernier </w:t>
      </w:r>
      <w:r w:rsidR="00C2123B">
        <w:rPr>
          <w:rFonts w:ascii="Verdana" w:hAnsi="Verdana"/>
          <w:sz w:val="20"/>
          <w:szCs w:val="20"/>
        </w:rPr>
        <w:t>C</w:t>
      </w:r>
      <w:r w:rsidRPr="00BA6298">
        <w:rPr>
          <w:rFonts w:ascii="Verdana" w:hAnsi="Verdana"/>
          <w:sz w:val="20"/>
          <w:szCs w:val="20"/>
        </w:rPr>
        <w:t>omité des Officiers Permanents de Liaison</w:t>
      </w:r>
      <w:r>
        <w:rPr>
          <w:rFonts w:ascii="Verdana" w:hAnsi="Verdana"/>
          <w:sz w:val="20"/>
          <w:szCs w:val="20"/>
        </w:rPr>
        <w:t xml:space="preserve"> a </w:t>
      </w:r>
      <w:r w:rsidRPr="00BA6298">
        <w:rPr>
          <w:rFonts w:ascii="Verdana" w:hAnsi="Verdana"/>
          <w:sz w:val="20"/>
          <w:szCs w:val="20"/>
        </w:rPr>
        <w:t xml:space="preserve">« </w:t>
      </w:r>
      <w:r w:rsidRPr="00C2123B">
        <w:rPr>
          <w:rFonts w:ascii="Verdana" w:hAnsi="Verdana"/>
          <w:i/>
          <w:iCs/>
          <w:sz w:val="20"/>
          <w:szCs w:val="20"/>
        </w:rPr>
        <w:t>pris note du document relatif aux besoins financiers pour la pérennisation de l’Unité de gouvernance</w:t>
      </w:r>
      <w:r w:rsidR="004E7886" w:rsidRPr="00C2123B">
        <w:rPr>
          <w:rFonts w:ascii="Verdana" w:hAnsi="Verdana"/>
          <w:i/>
          <w:iCs/>
          <w:sz w:val="20"/>
          <w:szCs w:val="20"/>
        </w:rPr>
        <w:t> </w:t>
      </w:r>
      <w:r w:rsidR="004E7886">
        <w:rPr>
          <w:rFonts w:ascii="Verdana" w:hAnsi="Verdana"/>
          <w:sz w:val="20"/>
          <w:szCs w:val="20"/>
        </w:rPr>
        <w:t>»</w:t>
      </w:r>
      <w:r w:rsidRPr="00BA6298">
        <w:rPr>
          <w:rFonts w:ascii="Verdana" w:hAnsi="Verdana"/>
          <w:sz w:val="20"/>
          <w:szCs w:val="20"/>
        </w:rPr>
        <w:t xml:space="preserve"> et </w:t>
      </w:r>
      <w:r>
        <w:rPr>
          <w:rFonts w:ascii="Verdana" w:hAnsi="Verdana"/>
          <w:sz w:val="20"/>
          <w:szCs w:val="20"/>
        </w:rPr>
        <w:t xml:space="preserve">a </w:t>
      </w:r>
      <w:r w:rsidRPr="00BA6298">
        <w:rPr>
          <w:rFonts w:ascii="Verdana" w:hAnsi="Verdana"/>
          <w:sz w:val="20"/>
          <w:szCs w:val="20"/>
        </w:rPr>
        <w:t>invit</w:t>
      </w:r>
      <w:r>
        <w:rPr>
          <w:rFonts w:ascii="Verdana" w:hAnsi="Verdana"/>
          <w:sz w:val="20"/>
          <w:szCs w:val="20"/>
        </w:rPr>
        <w:t>é</w:t>
      </w:r>
      <w:r w:rsidRPr="00BA6298">
        <w:rPr>
          <w:rFonts w:ascii="Verdana" w:hAnsi="Verdana"/>
          <w:sz w:val="20"/>
          <w:szCs w:val="20"/>
        </w:rPr>
        <w:t xml:space="preserve"> </w:t>
      </w:r>
      <w:r w:rsidR="004E7886">
        <w:rPr>
          <w:rFonts w:ascii="Verdana" w:hAnsi="Verdana"/>
          <w:sz w:val="20"/>
          <w:szCs w:val="20"/>
        </w:rPr>
        <w:t>« </w:t>
      </w:r>
      <w:r w:rsidRPr="00C2123B">
        <w:rPr>
          <w:rFonts w:ascii="Verdana" w:hAnsi="Verdana"/>
          <w:i/>
          <w:iCs/>
          <w:sz w:val="20"/>
          <w:szCs w:val="20"/>
        </w:rPr>
        <w:t>le Comité budgétaire de la COI à examiner les modalités d’une contribution des États membres dans une logique d’appropriation progressive des acquis du projet Gouvernance, Paix et Stabilité (GPS) via l’Unité et d’en aviser les instances décisionnelles</w:t>
      </w:r>
      <w:r w:rsidR="004E7886">
        <w:rPr>
          <w:rFonts w:ascii="Verdana" w:hAnsi="Verdana"/>
          <w:sz w:val="20"/>
          <w:szCs w:val="20"/>
        </w:rPr>
        <w:t> »</w:t>
      </w:r>
      <w:r w:rsidRPr="00BA6298">
        <w:rPr>
          <w:rFonts w:ascii="Verdana" w:hAnsi="Verdana"/>
          <w:sz w:val="20"/>
          <w:szCs w:val="20"/>
        </w:rPr>
        <w:t>.</w:t>
      </w:r>
    </w:p>
    <w:p w14:paraId="64B66754" w14:textId="77777777" w:rsidR="00021125" w:rsidRDefault="00021125" w:rsidP="00243910">
      <w:pPr>
        <w:suppressAutoHyphens/>
        <w:autoSpaceDN w:val="0"/>
        <w:spacing w:after="120"/>
        <w:jc w:val="both"/>
        <w:textAlignment w:val="baseline"/>
        <w:rPr>
          <w:rFonts w:ascii="Verdana" w:hAnsi="Verdana"/>
          <w:sz w:val="20"/>
          <w:szCs w:val="20"/>
        </w:rPr>
      </w:pPr>
      <w:r>
        <w:rPr>
          <w:rFonts w:ascii="Verdana" w:hAnsi="Verdana"/>
          <w:sz w:val="20"/>
          <w:szCs w:val="20"/>
        </w:rPr>
        <w:t xml:space="preserve">A ce titre, le Secrétariat a saisi le Comité budgétaire de la COI en vue de la mise en œuvre de ladite décision. </w:t>
      </w:r>
    </w:p>
    <w:p w14:paraId="5C5B3E19" w14:textId="41F92D16" w:rsidR="00021125" w:rsidRPr="002C5DFD" w:rsidRDefault="00021125" w:rsidP="00243910">
      <w:pPr>
        <w:pStyle w:val="Sous-partie2"/>
        <w:numPr>
          <w:ilvl w:val="1"/>
          <w:numId w:val="21"/>
        </w:numPr>
        <w:spacing w:after="120"/>
        <w:contextualSpacing w:val="0"/>
      </w:pPr>
      <w:r>
        <w:t>Mobilisation des ressources et partenaires :</w:t>
      </w:r>
    </w:p>
    <w:p w14:paraId="6B9EB7E0" w14:textId="2354EF18" w:rsidR="00021125" w:rsidRPr="002C5DFD" w:rsidRDefault="00021125" w:rsidP="00243910">
      <w:pPr>
        <w:spacing w:after="120"/>
        <w:jc w:val="both"/>
        <w:rPr>
          <w:rFonts w:ascii="Verdana" w:hAnsi="Verdana"/>
          <w:sz w:val="20"/>
          <w:szCs w:val="20"/>
        </w:rPr>
      </w:pPr>
      <w:r>
        <w:rPr>
          <w:rFonts w:ascii="Verdana" w:hAnsi="Verdana"/>
          <w:sz w:val="20"/>
          <w:szCs w:val="20"/>
        </w:rPr>
        <w:t xml:space="preserve">Le dernier </w:t>
      </w:r>
      <w:r w:rsidR="00C2123B">
        <w:rPr>
          <w:rFonts w:ascii="Verdana" w:hAnsi="Verdana"/>
          <w:sz w:val="20"/>
          <w:szCs w:val="20"/>
        </w:rPr>
        <w:t>C</w:t>
      </w:r>
      <w:r>
        <w:rPr>
          <w:rFonts w:ascii="Verdana" w:hAnsi="Verdana"/>
          <w:sz w:val="20"/>
          <w:szCs w:val="20"/>
        </w:rPr>
        <w:t>omité des OPL a « </w:t>
      </w:r>
      <w:r w:rsidRPr="00C2123B">
        <w:rPr>
          <w:rFonts w:ascii="Verdana" w:hAnsi="Verdana"/>
          <w:i/>
          <w:iCs/>
          <w:sz w:val="20"/>
          <w:szCs w:val="20"/>
        </w:rPr>
        <w:t>encouragé le Secrétariat général à poursuivre les efforts en vue de renforcer la mobilisation de ressources supplémentaires pour l’Unité de Gouvernance</w:t>
      </w:r>
      <w:r>
        <w:rPr>
          <w:rFonts w:ascii="Verdana" w:hAnsi="Verdana"/>
          <w:sz w:val="20"/>
          <w:szCs w:val="20"/>
        </w:rPr>
        <w:t xml:space="preserve"> ». </w:t>
      </w:r>
      <w:r w:rsidR="00AB4A03">
        <w:rPr>
          <w:rFonts w:ascii="Verdana" w:hAnsi="Verdana"/>
          <w:sz w:val="20"/>
          <w:szCs w:val="20"/>
        </w:rPr>
        <w:t>A</w:t>
      </w:r>
      <w:r>
        <w:rPr>
          <w:rFonts w:ascii="Verdana" w:hAnsi="Verdana"/>
          <w:sz w:val="20"/>
          <w:szCs w:val="20"/>
        </w:rPr>
        <w:t xml:space="preserve"> cet effet, </w:t>
      </w:r>
      <w:r w:rsidRPr="002C5DFD">
        <w:rPr>
          <w:rFonts w:ascii="Verdana" w:hAnsi="Verdana"/>
          <w:sz w:val="20"/>
          <w:szCs w:val="20"/>
        </w:rPr>
        <w:t>plusieurs actions</w:t>
      </w:r>
      <w:r w:rsidR="00AB4A03">
        <w:rPr>
          <w:rFonts w:ascii="Verdana" w:hAnsi="Verdana"/>
          <w:sz w:val="20"/>
          <w:szCs w:val="20"/>
        </w:rPr>
        <w:t xml:space="preserve"> </w:t>
      </w:r>
      <w:r w:rsidRPr="002C5DFD">
        <w:rPr>
          <w:rFonts w:ascii="Verdana" w:hAnsi="Verdana"/>
          <w:sz w:val="20"/>
          <w:szCs w:val="20"/>
        </w:rPr>
        <w:t xml:space="preserve">ont été </w:t>
      </w:r>
      <w:r>
        <w:rPr>
          <w:rFonts w:ascii="Verdana" w:hAnsi="Verdana"/>
          <w:sz w:val="20"/>
          <w:szCs w:val="20"/>
        </w:rPr>
        <w:t xml:space="preserve">ainsi </w:t>
      </w:r>
      <w:r w:rsidRPr="002C5DFD">
        <w:rPr>
          <w:rFonts w:ascii="Verdana" w:hAnsi="Verdana"/>
          <w:sz w:val="20"/>
          <w:szCs w:val="20"/>
        </w:rPr>
        <w:t xml:space="preserve">entreprises : </w:t>
      </w:r>
    </w:p>
    <w:p w14:paraId="197A84E2" w14:textId="3270C2D1" w:rsidR="00021125" w:rsidRDefault="00021125" w:rsidP="00243910">
      <w:pPr>
        <w:pStyle w:val="Paragraphedeliste"/>
        <w:numPr>
          <w:ilvl w:val="0"/>
          <w:numId w:val="25"/>
        </w:numPr>
        <w:spacing w:after="120"/>
        <w:contextualSpacing w:val="0"/>
        <w:jc w:val="both"/>
        <w:rPr>
          <w:rFonts w:ascii="Verdana" w:hAnsi="Verdana"/>
          <w:sz w:val="20"/>
          <w:szCs w:val="20"/>
        </w:rPr>
      </w:pPr>
      <w:r w:rsidRPr="00021125">
        <w:rPr>
          <w:rFonts w:ascii="Verdana" w:hAnsi="Verdana"/>
          <w:sz w:val="20"/>
          <w:szCs w:val="20"/>
        </w:rPr>
        <w:t xml:space="preserve">Des tables rondes sectorielles pilotées par l’Unité de Gouvernance seront </w:t>
      </w:r>
      <w:r w:rsidR="00AB4A03">
        <w:rPr>
          <w:rFonts w:ascii="Verdana" w:hAnsi="Verdana"/>
          <w:sz w:val="20"/>
          <w:szCs w:val="20"/>
        </w:rPr>
        <w:t xml:space="preserve">prévues </w:t>
      </w:r>
      <w:r w:rsidRPr="00021125">
        <w:rPr>
          <w:rFonts w:ascii="Verdana" w:hAnsi="Verdana"/>
          <w:sz w:val="20"/>
          <w:szCs w:val="20"/>
        </w:rPr>
        <w:t>en 2026</w:t>
      </w:r>
      <w:r w:rsidRPr="002C5DFD">
        <w:rPr>
          <w:rFonts w:ascii="Verdana" w:hAnsi="Verdana"/>
          <w:sz w:val="20"/>
          <w:szCs w:val="20"/>
        </w:rPr>
        <w:t>, pour définir</w:t>
      </w:r>
      <w:r w:rsidR="00AB4A03">
        <w:rPr>
          <w:rFonts w:ascii="Verdana" w:hAnsi="Verdana"/>
          <w:sz w:val="20"/>
          <w:szCs w:val="20"/>
        </w:rPr>
        <w:t xml:space="preserve"> </w:t>
      </w:r>
      <w:r w:rsidRPr="002C5DFD">
        <w:rPr>
          <w:rFonts w:ascii="Verdana" w:hAnsi="Verdana"/>
          <w:sz w:val="20"/>
          <w:szCs w:val="20"/>
        </w:rPr>
        <w:t xml:space="preserve">avec les États membres et les partenaires techniques et financiers, les priorités d’actions soutenues par la COI dans les thématiques de gouvernance, paix et stabilité. </w:t>
      </w:r>
      <w:r>
        <w:rPr>
          <w:rFonts w:ascii="Verdana" w:hAnsi="Verdana"/>
          <w:sz w:val="20"/>
          <w:szCs w:val="20"/>
        </w:rPr>
        <w:t xml:space="preserve">La première table sectorielle s’est déroulée aux Comores la semaine du 18 avril 2026. </w:t>
      </w:r>
    </w:p>
    <w:p w14:paraId="71430FDD" w14:textId="4B8543F1" w:rsidR="00021125" w:rsidRPr="00021125" w:rsidRDefault="00021125" w:rsidP="00243910">
      <w:pPr>
        <w:pStyle w:val="Paragraphedeliste"/>
        <w:numPr>
          <w:ilvl w:val="0"/>
          <w:numId w:val="25"/>
        </w:numPr>
        <w:spacing w:after="120"/>
        <w:contextualSpacing w:val="0"/>
        <w:jc w:val="both"/>
        <w:rPr>
          <w:rFonts w:ascii="Verdana" w:hAnsi="Verdana"/>
          <w:sz w:val="20"/>
          <w:szCs w:val="20"/>
        </w:rPr>
      </w:pPr>
      <w:r w:rsidRPr="00021125">
        <w:rPr>
          <w:rFonts w:ascii="Verdana" w:hAnsi="Verdana"/>
          <w:sz w:val="20"/>
          <w:szCs w:val="20"/>
        </w:rPr>
        <w:t>Le recrutement en cours d’un cabinet de consultance en charge de l’élaboration de la stratégie de mobilisation des ressources</w:t>
      </w:r>
      <w:r w:rsidRPr="0066244E">
        <w:rPr>
          <w:rFonts w:ascii="Verdana" w:hAnsi="Verdana"/>
          <w:sz w:val="20"/>
          <w:szCs w:val="20"/>
        </w:rPr>
        <w:t xml:space="preserve"> de l’unité gouvernance sous financement de la subvention Horizon 2030. La mission prévoit une cartographie des partenaires sensibles aux thématiques portées par l’unité, l’élaboration d’une stratégie de mobilisation de ressources assortie d’un plan d’action ainsi que le renforcement des capacités de l’unité</w:t>
      </w:r>
      <w:r>
        <w:rPr>
          <w:rFonts w:ascii="Verdana" w:hAnsi="Verdana"/>
          <w:sz w:val="20"/>
          <w:szCs w:val="20"/>
        </w:rPr>
        <w:t xml:space="preserve">. </w:t>
      </w:r>
    </w:p>
    <w:p w14:paraId="452D2346" w14:textId="77777777" w:rsidR="00E624B5" w:rsidRDefault="00E624B5" w:rsidP="00243910">
      <w:pPr>
        <w:pStyle w:val="Sous-partie2"/>
        <w:spacing w:after="120"/>
        <w:contextualSpacing w:val="0"/>
      </w:pPr>
    </w:p>
    <w:p w14:paraId="080DD9B6" w14:textId="20ABDB4F" w:rsidR="001E2028" w:rsidRPr="002C5DFD" w:rsidRDefault="001E2028" w:rsidP="00243910">
      <w:pPr>
        <w:pStyle w:val="Titrepartie"/>
        <w:numPr>
          <w:ilvl w:val="0"/>
          <w:numId w:val="21"/>
        </w:numPr>
        <w:spacing w:after="120"/>
        <w:contextualSpacing w:val="0"/>
      </w:pPr>
      <w:r w:rsidRPr="002C5DFD">
        <w:t>Association des Parlements des États membres de la COI (AP-COI)</w:t>
      </w:r>
    </w:p>
    <w:p w14:paraId="3639182B" w14:textId="77777777" w:rsidR="00B90076" w:rsidRDefault="00B90076" w:rsidP="00243910">
      <w:pPr>
        <w:suppressAutoHyphens/>
        <w:autoSpaceDN w:val="0"/>
        <w:spacing w:after="120"/>
        <w:jc w:val="both"/>
        <w:textAlignment w:val="baseline"/>
        <w:rPr>
          <w:rFonts w:ascii="Verdana" w:hAnsi="Verdana"/>
          <w:sz w:val="20"/>
          <w:szCs w:val="20"/>
        </w:rPr>
      </w:pPr>
      <w:r w:rsidRPr="00B90076">
        <w:rPr>
          <w:rFonts w:ascii="Verdana" w:hAnsi="Verdana"/>
          <w:sz w:val="20"/>
          <w:szCs w:val="20"/>
        </w:rPr>
        <w:t>Un projet de mémorandum d’entente entre la COI et l’AP-COI a été soumis aux États membres à l’occasion du dernier Comité des OPL, tenu en novembre 2025. L’objectif est de formaliser le cadre de collaboration entre la COI et l’AP-COI, afin de rapprocher les représentants des peuples de la région des instances de la COI.</w:t>
      </w:r>
    </w:p>
    <w:p w14:paraId="4760EA22" w14:textId="77777777" w:rsidR="00B90076" w:rsidRDefault="00B90076" w:rsidP="00243910">
      <w:pPr>
        <w:suppressAutoHyphens/>
        <w:autoSpaceDN w:val="0"/>
        <w:spacing w:after="120"/>
        <w:jc w:val="both"/>
        <w:textAlignment w:val="baseline"/>
        <w:rPr>
          <w:rFonts w:ascii="Verdana" w:hAnsi="Verdana"/>
          <w:sz w:val="20"/>
          <w:szCs w:val="20"/>
        </w:rPr>
      </w:pPr>
      <w:r w:rsidRPr="00B90076">
        <w:rPr>
          <w:rFonts w:ascii="Verdana" w:hAnsi="Verdana"/>
          <w:sz w:val="20"/>
          <w:szCs w:val="20"/>
        </w:rPr>
        <w:t>Ce rapprochement vise, d’une part, à informer et à sensibiliser les parlementaires siégeant au sein de l’AP-COI aux activités et projets en cours de la COI, tout en favorisant les échanges et la prise en considération de leurs avis dans la mise en œuvre des actions régionales.</w:t>
      </w:r>
    </w:p>
    <w:p w14:paraId="6C030340" w14:textId="77777777" w:rsidR="00B90076" w:rsidRPr="00B90076" w:rsidRDefault="00B90076" w:rsidP="00243910">
      <w:pPr>
        <w:suppressAutoHyphens/>
        <w:autoSpaceDN w:val="0"/>
        <w:spacing w:after="120"/>
        <w:jc w:val="both"/>
        <w:textAlignment w:val="baseline"/>
        <w:rPr>
          <w:rFonts w:ascii="Verdana" w:hAnsi="Verdana"/>
          <w:sz w:val="20"/>
          <w:szCs w:val="20"/>
        </w:rPr>
      </w:pPr>
      <w:r w:rsidRPr="00B90076">
        <w:rPr>
          <w:rFonts w:ascii="Verdana" w:hAnsi="Verdana"/>
          <w:sz w:val="20"/>
          <w:szCs w:val="20"/>
        </w:rPr>
        <w:t>D’autre part, il permettrait à la COI de poursuivre ses actions de plaidoyer sur des sujets d’intérêt commun, grâce à la mobilisation de l’AP-COI. Cette articulation pourrait également faciliter l’appropriation nationale des actions menées au sein de la COI, notamment en ce qui concerne la transposition des accords ou protocoles régionaux dans les législations nationales.</w:t>
      </w:r>
    </w:p>
    <w:p w14:paraId="1E6F024E" w14:textId="7430728F" w:rsidR="00021125" w:rsidRDefault="009B7C08" w:rsidP="00243910">
      <w:pPr>
        <w:suppressAutoHyphens/>
        <w:autoSpaceDN w:val="0"/>
        <w:spacing w:after="120"/>
        <w:jc w:val="both"/>
        <w:textAlignment w:val="baseline"/>
        <w:rPr>
          <w:rFonts w:ascii="Verdana" w:hAnsi="Verdana"/>
          <w:sz w:val="20"/>
          <w:szCs w:val="20"/>
        </w:rPr>
      </w:pPr>
      <w:r w:rsidRPr="005E3732">
        <w:rPr>
          <w:rFonts w:ascii="Verdana" w:hAnsi="Verdana"/>
          <w:sz w:val="20"/>
          <w:szCs w:val="20"/>
        </w:rPr>
        <w:t>Le texte</w:t>
      </w:r>
      <w:r w:rsidR="008045BD" w:rsidRPr="005E3732">
        <w:rPr>
          <w:rFonts w:ascii="Verdana" w:hAnsi="Verdana"/>
          <w:sz w:val="20"/>
          <w:szCs w:val="20"/>
        </w:rPr>
        <w:t xml:space="preserve"> </w:t>
      </w:r>
      <w:r w:rsidRPr="005E3732">
        <w:rPr>
          <w:rFonts w:ascii="Verdana" w:hAnsi="Verdana"/>
          <w:sz w:val="20"/>
          <w:szCs w:val="20"/>
        </w:rPr>
        <w:t xml:space="preserve">validé par les membres de l’AP-COI est soumis pour validation </w:t>
      </w:r>
      <w:r w:rsidR="008045BD" w:rsidRPr="005E3732">
        <w:rPr>
          <w:rFonts w:ascii="Verdana" w:hAnsi="Verdana"/>
          <w:sz w:val="20"/>
          <w:szCs w:val="20"/>
        </w:rPr>
        <w:t xml:space="preserve">du </w:t>
      </w:r>
      <w:r w:rsidR="00464E27" w:rsidRPr="005E3732">
        <w:rPr>
          <w:rFonts w:ascii="Verdana" w:hAnsi="Verdana"/>
          <w:sz w:val="20"/>
          <w:szCs w:val="20"/>
        </w:rPr>
        <w:t>C</w:t>
      </w:r>
      <w:r w:rsidRPr="005E3732">
        <w:rPr>
          <w:rFonts w:ascii="Verdana" w:hAnsi="Verdana"/>
          <w:sz w:val="20"/>
          <w:szCs w:val="20"/>
        </w:rPr>
        <w:t xml:space="preserve">onseil </w:t>
      </w:r>
      <w:r w:rsidR="008045BD" w:rsidRPr="005E3732">
        <w:rPr>
          <w:rFonts w:ascii="Verdana" w:hAnsi="Verdana"/>
          <w:sz w:val="20"/>
          <w:szCs w:val="20"/>
        </w:rPr>
        <w:t xml:space="preserve">en vue de </w:t>
      </w:r>
      <w:r w:rsidRPr="005E3732">
        <w:rPr>
          <w:rFonts w:ascii="Verdana" w:hAnsi="Verdana"/>
          <w:sz w:val="20"/>
          <w:szCs w:val="20"/>
        </w:rPr>
        <w:t xml:space="preserve">sa signature par les deux </w:t>
      </w:r>
      <w:r w:rsidR="008045BD" w:rsidRPr="005E3732">
        <w:rPr>
          <w:rFonts w:ascii="Verdana" w:hAnsi="Verdana"/>
          <w:sz w:val="20"/>
          <w:szCs w:val="20"/>
        </w:rPr>
        <w:t>P</w:t>
      </w:r>
      <w:r w:rsidRPr="005E3732">
        <w:rPr>
          <w:rFonts w:ascii="Verdana" w:hAnsi="Verdana"/>
          <w:sz w:val="20"/>
          <w:szCs w:val="20"/>
        </w:rPr>
        <w:t>arties</w:t>
      </w:r>
      <w:r w:rsidRPr="002C5DFD">
        <w:rPr>
          <w:rFonts w:ascii="Verdana" w:hAnsi="Verdana"/>
          <w:sz w:val="20"/>
          <w:szCs w:val="20"/>
        </w:rPr>
        <w:t xml:space="preserve"> (annexe</w:t>
      </w:r>
      <w:r w:rsidR="00464E27" w:rsidRPr="002C5DFD">
        <w:rPr>
          <w:rFonts w:ascii="Verdana" w:hAnsi="Verdana"/>
          <w:sz w:val="20"/>
          <w:szCs w:val="20"/>
        </w:rPr>
        <w:t xml:space="preserve"> </w:t>
      </w:r>
      <w:r w:rsidR="005E3732">
        <w:rPr>
          <w:rFonts w:ascii="Verdana" w:hAnsi="Verdana"/>
          <w:sz w:val="20"/>
          <w:szCs w:val="20"/>
        </w:rPr>
        <w:t>2</w:t>
      </w:r>
      <w:r w:rsidRPr="002C5DFD">
        <w:rPr>
          <w:rFonts w:ascii="Verdana" w:hAnsi="Verdana"/>
          <w:sz w:val="20"/>
          <w:szCs w:val="20"/>
        </w:rPr>
        <w:t xml:space="preserve"> : </w:t>
      </w:r>
      <w:proofErr w:type="spellStart"/>
      <w:r w:rsidRPr="002C5DFD">
        <w:rPr>
          <w:rFonts w:ascii="Verdana" w:hAnsi="Verdana"/>
          <w:sz w:val="20"/>
          <w:szCs w:val="20"/>
        </w:rPr>
        <w:t>MoU</w:t>
      </w:r>
      <w:proofErr w:type="spellEnd"/>
      <w:r w:rsidRPr="002C5DFD">
        <w:rPr>
          <w:rFonts w:ascii="Verdana" w:hAnsi="Verdana"/>
          <w:sz w:val="20"/>
          <w:szCs w:val="20"/>
        </w:rPr>
        <w:t xml:space="preserve"> CO</w:t>
      </w:r>
      <w:r w:rsidR="006142EF" w:rsidRPr="002C5DFD">
        <w:rPr>
          <w:rFonts w:ascii="Verdana" w:hAnsi="Verdana"/>
          <w:sz w:val="20"/>
          <w:szCs w:val="20"/>
        </w:rPr>
        <w:t>I</w:t>
      </w:r>
      <w:r w:rsidRPr="002C5DFD">
        <w:rPr>
          <w:rFonts w:ascii="Verdana" w:hAnsi="Verdana"/>
          <w:sz w:val="20"/>
          <w:szCs w:val="20"/>
        </w:rPr>
        <w:t xml:space="preserve"> – AP-COI).</w:t>
      </w:r>
      <w:r w:rsidR="00021125" w:rsidRPr="00021125">
        <w:rPr>
          <w:rFonts w:ascii="Verdana" w:hAnsi="Verdana"/>
          <w:sz w:val="20"/>
          <w:szCs w:val="20"/>
        </w:rPr>
        <w:t xml:space="preserve"> </w:t>
      </w:r>
      <w:r w:rsidR="00021125" w:rsidRPr="00A81CED">
        <w:rPr>
          <w:rFonts w:ascii="Verdana" w:hAnsi="Verdana"/>
          <w:sz w:val="20"/>
          <w:szCs w:val="20"/>
        </w:rPr>
        <w:t>Cette démarche s’inscrit également dans la stratégie de pérennisation de l’AP-COI.</w:t>
      </w:r>
    </w:p>
    <w:p w14:paraId="47D09FA5" w14:textId="69A18321" w:rsidR="007079B6" w:rsidRDefault="007079B6" w:rsidP="00243910">
      <w:pPr>
        <w:suppressAutoHyphens/>
        <w:autoSpaceDN w:val="0"/>
        <w:spacing w:after="120"/>
        <w:jc w:val="both"/>
        <w:textAlignment w:val="baseline"/>
        <w:rPr>
          <w:rFonts w:ascii="Verdana" w:hAnsi="Verdana"/>
          <w:sz w:val="20"/>
          <w:szCs w:val="20"/>
        </w:rPr>
      </w:pPr>
    </w:p>
    <w:p w14:paraId="3D17B049" w14:textId="77777777" w:rsidR="002C5DFD" w:rsidRPr="002C5DFD" w:rsidRDefault="002C5DFD" w:rsidP="00243910">
      <w:pPr>
        <w:suppressAutoHyphens/>
        <w:autoSpaceDN w:val="0"/>
        <w:spacing w:after="120"/>
        <w:jc w:val="both"/>
        <w:textAlignment w:val="baseline"/>
        <w:rPr>
          <w:rFonts w:ascii="Verdana" w:hAnsi="Verdana"/>
          <w:sz w:val="20"/>
          <w:szCs w:val="20"/>
        </w:rPr>
      </w:pPr>
    </w:p>
    <w:bookmarkEnd w:id="0"/>
    <w:bookmarkEnd w:id="1"/>
    <w:p w14:paraId="131448A9" w14:textId="55108B1E" w:rsidR="007D19D9" w:rsidRPr="002C5DFD" w:rsidRDefault="006B0BE0" w:rsidP="00243910">
      <w:pPr>
        <w:pStyle w:val="Titrepartie"/>
        <w:numPr>
          <w:ilvl w:val="0"/>
          <w:numId w:val="21"/>
        </w:numPr>
        <w:spacing w:after="120"/>
        <w:contextualSpacing w:val="0"/>
      </w:pPr>
      <w:r w:rsidRPr="002C5DFD">
        <w:t>Proposition</w:t>
      </w:r>
      <w:r w:rsidR="002C08F2" w:rsidRPr="002C5DFD">
        <w:t>s</w:t>
      </w:r>
      <w:r w:rsidRPr="002C5DFD">
        <w:t xml:space="preserve"> de décision</w:t>
      </w:r>
    </w:p>
    <w:p w14:paraId="68883268" w14:textId="34B6C4F5" w:rsidR="007D19D9" w:rsidRDefault="007D19D9" w:rsidP="00243910">
      <w:pPr>
        <w:pStyle w:val="Titrepartie"/>
        <w:spacing w:after="120"/>
        <w:contextualSpacing w:val="0"/>
        <w:rPr>
          <w:rFonts w:cstheme="minorBidi"/>
          <w:b w:val="0"/>
          <w:bCs w:val="0"/>
          <w:color w:val="auto"/>
          <w:sz w:val="20"/>
        </w:rPr>
      </w:pPr>
      <w:bookmarkStart w:id="2" w:name="_Hlk213073043"/>
      <w:r w:rsidRPr="002C5DFD">
        <w:rPr>
          <w:rFonts w:cstheme="minorBidi"/>
          <w:b w:val="0"/>
          <w:bCs w:val="0"/>
          <w:color w:val="auto"/>
          <w:sz w:val="20"/>
        </w:rPr>
        <w:t>Le Comité des OPL propose au Conseil des ministres de :</w:t>
      </w:r>
    </w:p>
    <w:p w14:paraId="0469E1FC" w14:textId="281C066B" w:rsidR="00DB3D0C" w:rsidRDefault="00555110" w:rsidP="00243910">
      <w:pPr>
        <w:pStyle w:val="Paragraphedeliste"/>
        <w:numPr>
          <w:ilvl w:val="0"/>
          <w:numId w:val="18"/>
        </w:numPr>
        <w:spacing w:after="120"/>
        <w:ind w:left="567" w:hanging="426"/>
        <w:contextualSpacing w:val="0"/>
        <w:jc w:val="both"/>
        <w:rPr>
          <w:rFonts w:ascii="Verdana" w:hAnsi="Verdana"/>
          <w:sz w:val="20"/>
          <w:szCs w:val="20"/>
        </w:rPr>
      </w:pPr>
      <w:r w:rsidRPr="005E3732">
        <w:rPr>
          <w:rFonts w:ascii="Verdana" w:hAnsi="Verdana"/>
          <w:sz w:val="20"/>
          <w:szCs w:val="20"/>
        </w:rPr>
        <w:t>Approuve</w:t>
      </w:r>
      <w:r w:rsidR="001B0B0F" w:rsidRPr="005E3732">
        <w:rPr>
          <w:rFonts w:ascii="Verdana" w:hAnsi="Verdana"/>
          <w:sz w:val="20"/>
          <w:szCs w:val="20"/>
        </w:rPr>
        <w:t>r</w:t>
      </w:r>
      <w:r w:rsidRPr="005E3732">
        <w:rPr>
          <w:rFonts w:ascii="Verdana" w:hAnsi="Verdana"/>
          <w:sz w:val="20"/>
          <w:szCs w:val="20"/>
        </w:rPr>
        <w:t xml:space="preserve"> le </w:t>
      </w:r>
      <w:r w:rsidR="001B0B0F" w:rsidRPr="005E3732">
        <w:rPr>
          <w:rFonts w:ascii="Verdana" w:hAnsi="Verdana"/>
          <w:sz w:val="20"/>
          <w:szCs w:val="20"/>
        </w:rPr>
        <w:t xml:space="preserve">projet de </w:t>
      </w:r>
      <w:r w:rsidRPr="005E3732">
        <w:rPr>
          <w:rFonts w:ascii="Verdana" w:hAnsi="Verdana"/>
          <w:sz w:val="20"/>
          <w:szCs w:val="20"/>
        </w:rPr>
        <w:t>Mémorandum d’entente entre la COI et l’Association des Parlements des États membres de la COI (AP-COI)</w:t>
      </w:r>
      <w:r w:rsidR="00D20A99" w:rsidRPr="005E3732">
        <w:rPr>
          <w:rFonts w:ascii="Verdana" w:hAnsi="Verdana"/>
          <w:sz w:val="20"/>
          <w:szCs w:val="20"/>
        </w:rPr>
        <w:t xml:space="preserve"> et </w:t>
      </w:r>
      <w:r w:rsidR="003518F1" w:rsidRPr="005E3732">
        <w:rPr>
          <w:rFonts w:ascii="Verdana" w:hAnsi="Verdana"/>
          <w:sz w:val="20"/>
          <w:szCs w:val="20"/>
        </w:rPr>
        <w:t xml:space="preserve">inviter le Secrétaire général à </w:t>
      </w:r>
      <w:r w:rsidR="00141E60" w:rsidRPr="005E3732">
        <w:rPr>
          <w:rFonts w:ascii="Verdana" w:hAnsi="Verdana"/>
          <w:sz w:val="20"/>
          <w:szCs w:val="20"/>
        </w:rPr>
        <w:t>procéder à sa signature</w:t>
      </w:r>
      <w:r w:rsidR="00BB604B">
        <w:rPr>
          <w:rFonts w:ascii="Verdana" w:hAnsi="Verdana"/>
          <w:sz w:val="20"/>
          <w:szCs w:val="20"/>
        </w:rPr>
        <w:t> ;</w:t>
      </w:r>
    </w:p>
    <w:p w14:paraId="72C2EF68" w14:textId="54AA33A9" w:rsidR="00DB3D0C" w:rsidRPr="005E3732" w:rsidRDefault="005E3732" w:rsidP="00243910">
      <w:pPr>
        <w:pStyle w:val="Paragraphedeliste"/>
        <w:numPr>
          <w:ilvl w:val="0"/>
          <w:numId w:val="18"/>
        </w:numPr>
        <w:spacing w:after="120"/>
        <w:ind w:left="567" w:hanging="426"/>
        <w:contextualSpacing w:val="0"/>
        <w:jc w:val="both"/>
        <w:rPr>
          <w:rFonts w:ascii="Verdana" w:hAnsi="Verdana"/>
          <w:sz w:val="20"/>
          <w:szCs w:val="20"/>
        </w:rPr>
      </w:pPr>
      <w:r w:rsidRPr="005E3732">
        <w:rPr>
          <w:rFonts w:ascii="Verdana" w:hAnsi="Verdana"/>
          <w:sz w:val="20"/>
          <w:szCs w:val="20"/>
        </w:rPr>
        <w:t>Inviter les États membres, qui en ont la capacité, à assurer la mise à disposition d’un(e) Chef(</w:t>
      </w:r>
      <w:proofErr w:type="spellStart"/>
      <w:r w:rsidRPr="005E3732">
        <w:rPr>
          <w:rFonts w:ascii="Verdana" w:hAnsi="Verdana"/>
          <w:sz w:val="20"/>
          <w:szCs w:val="20"/>
        </w:rPr>
        <w:t>fe</w:t>
      </w:r>
      <w:proofErr w:type="spellEnd"/>
      <w:r w:rsidRPr="005E3732">
        <w:rPr>
          <w:rFonts w:ascii="Verdana" w:hAnsi="Verdana"/>
          <w:sz w:val="20"/>
          <w:szCs w:val="20"/>
        </w:rPr>
        <w:t xml:space="preserve">) d’unité pour l’année 2026, conformément aux termes de référence établis, </w:t>
      </w:r>
      <w:r w:rsidR="008A4F5E">
        <w:rPr>
          <w:rFonts w:ascii="Verdana" w:hAnsi="Verdana"/>
          <w:sz w:val="20"/>
          <w:szCs w:val="20"/>
        </w:rPr>
        <w:t>ainsi que le maintien de la fonction de</w:t>
      </w:r>
      <w:r w:rsidRPr="005E3732">
        <w:rPr>
          <w:rFonts w:ascii="Verdana" w:hAnsi="Verdana"/>
          <w:sz w:val="20"/>
          <w:szCs w:val="20"/>
        </w:rPr>
        <w:t xml:space="preserve"> Coordonnateur technique pour l’année 202</w:t>
      </w:r>
      <w:r w:rsidR="008A4F5E">
        <w:rPr>
          <w:rFonts w:ascii="Verdana" w:hAnsi="Verdana"/>
          <w:sz w:val="20"/>
          <w:szCs w:val="20"/>
        </w:rPr>
        <w:t>7.</w:t>
      </w:r>
      <w:r w:rsidRPr="005E3732">
        <w:rPr>
          <w:rFonts w:ascii="Verdana" w:hAnsi="Verdana"/>
          <w:sz w:val="20"/>
          <w:szCs w:val="20"/>
        </w:rPr>
        <w:t> </w:t>
      </w:r>
    </w:p>
    <w:bookmarkEnd w:id="2"/>
    <w:p w14:paraId="3655FFA4" w14:textId="77777777" w:rsidR="00CD55B0" w:rsidRPr="002C5DFD" w:rsidRDefault="00CD55B0" w:rsidP="00243910">
      <w:pPr>
        <w:autoSpaceDN w:val="0"/>
        <w:spacing w:after="120"/>
        <w:jc w:val="both"/>
        <w:textAlignment w:val="baseline"/>
        <w:rPr>
          <w:rFonts w:ascii="Verdana" w:hAnsi="Verdana"/>
          <w:sz w:val="20"/>
          <w:szCs w:val="20"/>
          <w:highlight w:val="yellow"/>
        </w:rPr>
      </w:pPr>
    </w:p>
    <w:p w14:paraId="0DB9203D" w14:textId="129D0193" w:rsidR="00552AE7" w:rsidRDefault="00552AE7" w:rsidP="00243910">
      <w:pPr>
        <w:pStyle w:val="Titrepartie"/>
        <w:numPr>
          <w:ilvl w:val="0"/>
          <w:numId w:val="21"/>
        </w:numPr>
        <w:spacing w:after="120"/>
        <w:contextualSpacing w:val="0"/>
      </w:pPr>
      <w:r w:rsidRPr="002C5DFD">
        <w:t>Rappel des décisions antérieures</w:t>
      </w:r>
    </w:p>
    <w:p w14:paraId="3DFB53A2" w14:textId="2F3AC2C2" w:rsidR="00CE7BCC" w:rsidRPr="002C5DFD" w:rsidRDefault="00CD55B0" w:rsidP="00243910">
      <w:pPr>
        <w:pStyle w:val="Paragraphe"/>
        <w:numPr>
          <w:ilvl w:val="0"/>
          <w:numId w:val="6"/>
        </w:numPr>
        <w:spacing w:after="120"/>
        <w:ind w:left="714" w:hanging="357"/>
      </w:pPr>
      <w:r w:rsidRPr="002C5DFD">
        <w:t>Décision</w:t>
      </w:r>
      <w:r w:rsidR="00CE7BCC" w:rsidRPr="002C5DFD">
        <w:t xml:space="preserve"> 6 d, Paix et </w:t>
      </w:r>
      <w:r w:rsidRPr="002C5DFD">
        <w:t>Stabilité</w:t>
      </w:r>
      <w:r w:rsidR="00CE7BCC" w:rsidRPr="002C5DFD">
        <w:t xml:space="preserve"> du 37</w:t>
      </w:r>
      <w:r w:rsidR="000B3791" w:rsidRPr="002C5DFD">
        <w:rPr>
          <w:rFonts w:ascii="Arial" w:hAnsi="Arial" w:cs="Arial"/>
          <w:vertAlign w:val="superscript"/>
        </w:rPr>
        <w:t>ème</w:t>
      </w:r>
      <w:r w:rsidR="000B3791" w:rsidRPr="002C5DFD">
        <w:t xml:space="preserve"> </w:t>
      </w:r>
      <w:r w:rsidR="00CE7BCC" w:rsidRPr="002C5DFD">
        <w:t xml:space="preserve">Conseil des </w:t>
      </w:r>
      <w:r w:rsidR="000B3791" w:rsidRPr="002C5DFD">
        <w:t>m</w:t>
      </w:r>
      <w:r w:rsidR="00CE7BCC" w:rsidRPr="002C5DFD">
        <w:t>inistres du 17 mai 2023</w:t>
      </w:r>
    </w:p>
    <w:p w14:paraId="1B42A275" w14:textId="7C4E5D2C" w:rsidR="00433D3D" w:rsidRPr="002C5DFD" w:rsidRDefault="00F14687" w:rsidP="00243910">
      <w:pPr>
        <w:pStyle w:val="Paragraphe"/>
        <w:numPr>
          <w:ilvl w:val="0"/>
          <w:numId w:val="6"/>
        </w:numPr>
        <w:spacing w:after="120"/>
        <w:ind w:left="714" w:hanging="357"/>
      </w:pPr>
      <w:r w:rsidRPr="002C5DFD">
        <w:t>Décision</w:t>
      </w:r>
      <w:r w:rsidR="00552AE7" w:rsidRPr="002C5DFD">
        <w:t xml:space="preserve"> </w:t>
      </w:r>
      <w:r w:rsidR="00E7063B" w:rsidRPr="002C5DFD">
        <w:t>2</w:t>
      </w:r>
      <w:r w:rsidR="00E72500" w:rsidRPr="002C5DFD">
        <w:t xml:space="preserve"> b) et 2 c) </w:t>
      </w:r>
      <w:r w:rsidR="00552AE7" w:rsidRPr="002C5DFD">
        <w:t>du 3</w:t>
      </w:r>
      <w:r w:rsidR="00E72500" w:rsidRPr="002C5DFD">
        <w:t>9</w:t>
      </w:r>
      <w:r w:rsidRPr="002C5DFD">
        <w:rPr>
          <w:vertAlign w:val="superscript"/>
        </w:rPr>
        <w:t>è</w:t>
      </w:r>
      <w:r w:rsidR="00552AE7" w:rsidRPr="002C5DFD">
        <w:rPr>
          <w:vertAlign w:val="superscript"/>
        </w:rPr>
        <w:t>me</w:t>
      </w:r>
      <w:r w:rsidR="00552AE7" w:rsidRPr="002C5DFD">
        <w:t xml:space="preserve"> </w:t>
      </w:r>
      <w:r w:rsidR="000B3791" w:rsidRPr="002C5DFD">
        <w:t>C</w:t>
      </w:r>
      <w:r w:rsidR="00552AE7" w:rsidRPr="002C5DFD">
        <w:t xml:space="preserve">onseil des ministres du 16 </w:t>
      </w:r>
      <w:r w:rsidR="00B21966" w:rsidRPr="002C5DFD">
        <w:t xml:space="preserve">avril </w:t>
      </w:r>
      <w:r w:rsidR="00552AE7" w:rsidRPr="002C5DFD">
        <w:t>202</w:t>
      </w:r>
      <w:r w:rsidR="00B21966" w:rsidRPr="002C5DFD">
        <w:t>5</w:t>
      </w:r>
      <w:r w:rsidR="00502B8E" w:rsidRPr="002C5DFD">
        <w:t>.</w:t>
      </w:r>
    </w:p>
    <w:p w14:paraId="0152928B" w14:textId="2ECD38D0" w:rsidR="00552AE7" w:rsidRDefault="00F14687" w:rsidP="00243910">
      <w:pPr>
        <w:pStyle w:val="Paragraphe"/>
        <w:numPr>
          <w:ilvl w:val="0"/>
          <w:numId w:val="6"/>
        </w:numPr>
        <w:spacing w:after="120"/>
        <w:ind w:left="714" w:hanging="357"/>
      </w:pPr>
      <w:r w:rsidRPr="002C5DFD">
        <w:t>Décision</w:t>
      </w:r>
      <w:r w:rsidR="00552AE7" w:rsidRPr="002C5DFD">
        <w:t xml:space="preserve"> 12 du </w:t>
      </w:r>
      <w:r w:rsidR="000B3791" w:rsidRPr="002C5DFD">
        <w:t>C</w:t>
      </w:r>
      <w:r w:rsidR="00552AE7" w:rsidRPr="002C5DFD">
        <w:t>omit</w:t>
      </w:r>
      <w:r w:rsidRPr="002C5DFD">
        <w:t>é</w:t>
      </w:r>
      <w:r w:rsidR="00552AE7" w:rsidRPr="002C5DFD">
        <w:t xml:space="preserve"> des OPL du 2 et 3 </w:t>
      </w:r>
      <w:r w:rsidRPr="002C5DFD">
        <w:t>décembre</w:t>
      </w:r>
      <w:r w:rsidR="00552AE7" w:rsidRPr="002C5DFD">
        <w:t xml:space="preserve"> 2024</w:t>
      </w:r>
      <w:r w:rsidR="00502B8E" w:rsidRPr="002C5DFD">
        <w:t>.</w:t>
      </w:r>
    </w:p>
    <w:p w14:paraId="71F2AC5D" w14:textId="6FADE74C" w:rsidR="005E3732" w:rsidRPr="002C5DFD" w:rsidRDefault="005E3732" w:rsidP="00243910">
      <w:pPr>
        <w:pStyle w:val="Paragraphe"/>
        <w:numPr>
          <w:ilvl w:val="0"/>
          <w:numId w:val="6"/>
        </w:numPr>
        <w:spacing w:after="120"/>
        <w:ind w:left="714" w:hanging="357"/>
      </w:pPr>
      <w:r>
        <w:t>Décision 11 du Comité des OPL du 11 au 13 novembre 2025.</w:t>
      </w:r>
    </w:p>
    <w:p w14:paraId="581D2FC9" w14:textId="77777777" w:rsidR="006B0BE0" w:rsidRPr="002C5DFD" w:rsidRDefault="006B0BE0" w:rsidP="00243910">
      <w:pPr>
        <w:pStyle w:val="Exergue"/>
        <w:spacing w:after="120" w:line="259" w:lineRule="auto"/>
      </w:pPr>
    </w:p>
    <w:p w14:paraId="0AC1FDBA" w14:textId="704124FF" w:rsidR="00BB6E7E" w:rsidRPr="002C5DFD" w:rsidRDefault="00BB6E7E" w:rsidP="00243910">
      <w:pPr>
        <w:pStyle w:val="Titrepartie"/>
        <w:numPr>
          <w:ilvl w:val="0"/>
          <w:numId w:val="21"/>
        </w:numPr>
        <w:spacing w:after="120"/>
        <w:contextualSpacing w:val="0"/>
      </w:pPr>
      <w:r w:rsidRPr="002C5DFD">
        <w:t xml:space="preserve">Annexes </w:t>
      </w:r>
    </w:p>
    <w:p w14:paraId="2D43B6FC" w14:textId="4791A638" w:rsidR="00464E27" w:rsidRPr="002C5DFD" w:rsidRDefault="00464E27" w:rsidP="00243910">
      <w:pPr>
        <w:spacing w:after="120"/>
        <w:ind w:left="360"/>
        <w:rPr>
          <w:rFonts w:ascii="Verdana" w:hAnsi="Verdana"/>
          <w:sz w:val="20"/>
          <w:szCs w:val="20"/>
        </w:rPr>
      </w:pPr>
      <w:r w:rsidRPr="002C5DFD">
        <w:rPr>
          <w:rFonts w:ascii="Verdana" w:hAnsi="Verdana"/>
          <w:sz w:val="20"/>
          <w:szCs w:val="20"/>
        </w:rPr>
        <w:t xml:space="preserve">Annexe </w:t>
      </w:r>
      <w:r w:rsidR="00E624B5">
        <w:rPr>
          <w:rFonts w:ascii="Verdana" w:hAnsi="Verdana"/>
          <w:sz w:val="20"/>
          <w:szCs w:val="20"/>
        </w:rPr>
        <w:t>1</w:t>
      </w:r>
      <w:r w:rsidRPr="002C5DFD">
        <w:rPr>
          <w:rFonts w:ascii="Verdana" w:hAnsi="Verdana"/>
          <w:sz w:val="20"/>
          <w:szCs w:val="20"/>
        </w:rPr>
        <w:t xml:space="preserve"> : Termes de références du chef d’Unité</w:t>
      </w:r>
      <w:r w:rsidR="00B90076">
        <w:rPr>
          <w:rFonts w:ascii="Verdana" w:hAnsi="Verdana"/>
          <w:sz w:val="20"/>
          <w:szCs w:val="20"/>
        </w:rPr>
        <w:t>.</w:t>
      </w:r>
    </w:p>
    <w:p w14:paraId="50C7BCF9" w14:textId="557F2E0F" w:rsidR="00464E27" w:rsidRPr="002C5DFD" w:rsidRDefault="00464E27" w:rsidP="00243910">
      <w:pPr>
        <w:spacing w:after="120"/>
        <w:ind w:left="360"/>
        <w:rPr>
          <w:rFonts w:ascii="Verdana" w:hAnsi="Verdana"/>
          <w:sz w:val="20"/>
          <w:szCs w:val="20"/>
        </w:rPr>
      </w:pPr>
      <w:r w:rsidRPr="002C5DFD">
        <w:rPr>
          <w:rFonts w:ascii="Verdana" w:hAnsi="Verdana"/>
          <w:sz w:val="20"/>
          <w:szCs w:val="20"/>
        </w:rPr>
        <w:t xml:space="preserve">Annexe </w:t>
      </w:r>
      <w:r w:rsidR="00E624B5">
        <w:rPr>
          <w:rFonts w:ascii="Verdana" w:hAnsi="Verdana"/>
          <w:sz w:val="20"/>
          <w:szCs w:val="20"/>
        </w:rPr>
        <w:t>2</w:t>
      </w:r>
      <w:r w:rsidRPr="002C5DFD">
        <w:rPr>
          <w:rFonts w:ascii="Verdana" w:hAnsi="Verdana"/>
          <w:sz w:val="20"/>
          <w:szCs w:val="20"/>
        </w:rPr>
        <w:t xml:space="preserve"> : </w:t>
      </w:r>
      <w:r w:rsidR="009468BB" w:rsidRPr="002C5DFD">
        <w:rPr>
          <w:rFonts w:ascii="Verdana" w:hAnsi="Verdana"/>
          <w:sz w:val="20"/>
          <w:szCs w:val="20"/>
        </w:rPr>
        <w:t xml:space="preserve">Projet de </w:t>
      </w:r>
      <w:r w:rsidRPr="002C5DFD">
        <w:rPr>
          <w:rFonts w:ascii="Verdana" w:hAnsi="Verdana"/>
          <w:sz w:val="20"/>
          <w:szCs w:val="20"/>
        </w:rPr>
        <w:t>Mémorandum d’entente entre la COI et l’AP-COI</w:t>
      </w:r>
    </w:p>
    <w:p w14:paraId="311F094F" w14:textId="692698B5" w:rsidR="00212296" w:rsidRPr="002C5DFD" w:rsidRDefault="00212296" w:rsidP="00243910">
      <w:pPr>
        <w:pStyle w:val="Paragraphe"/>
        <w:spacing w:after="120"/>
      </w:pPr>
    </w:p>
    <w:sectPr w:rsidR="00212296" w:rsidRPr="002C5DFD" w:rsidSect="00C2123B">
      <w:headerReference w:type="default" r:id="rId8"/>
      <w:footerReference w:type="default" r:id="rId9"/>
      <w:pgSz w:w="11906" w:h="16838"/>
      <w:pgMar w:top="1276" w:right="1417" w:bottom="1135" w:left="1417" w:header="708" w:footer="6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F3D6A" w14:textId="77777777" w:rsidR="00E90451" w:rsidRDefault="00E90451">
      <w:pPr>
        <w:spacing w:after="0" w:line="240" w:lineRule="auto"/>
      </w:pPr>
      <w:r>
        <w:separator/>
      </w:r>
    </w:p>
  </w:endnote>
  <w:endnote w:type="continuationSeparator" w:id="0">
    <w:p w14:paraId="72D01077" w14:textId="77777777" w:rsidR="00E90451" w:rsidRDefault="00E904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EndPr/>
    <w:sdtContent>
      <w:p w14:paraId="4D3A5F2A" w14:textId="25659F71" w:rsidR="009144E0" w:rsidRDefault="009144E0" w:rsidP="000F4728">
        <w:pPr>
          <w:pStyle w:val="Pieddepage"/>
          <w:pBdr>
            <w:top w:val="single" w:sz="4" w:space="1" w:color="ED7D31" w:themeColor="accent2"/>
          </w:pBdr>
          <w:jc w:val="right"/>
        </w:pPr>
        <w:r>
          <w:fldChar w:fldCharType="begin"/>
        </w:r>
        <w:r>
          <w:instrText>PAGE   \* MERGEFORMAT</w:instrText>
        </w:r>
        <w:r>
          <w:fldChar w:fldCharType="separate"/>
        </w:r>
        <w:r w:rsidR="0021198F">
          <w:rPr>
            <w:noProof/>
          </w:rPr>
          <w:t>1</w:t>
        </w:r>
        <w:r>
          <w:fldChar w:fldCharType="end"/>
        </w:r>
      </w:p>
    </w:sdtContent>
  </w:sdt>
  <w:p w14:paraId="5BF7192F" w14:textId="77777777" w:rsidR="009144E0" w:rsidRDefault="009144E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02ADE" w14:textId="77777777" w:rsidR="00E90451" w:rsidRDefault="00E90451">
      <w:pPr>
        <w:spacing w:after="0" w:line="240" w:lineRule="auto"/>
      </w:pPr>
      <w:r>
        <w:separator/>
      </w:r>
    </w:p>
  </w:footnote>
  <w:footnote w:type="continuationSeparator" w:id="0">
    <w:p w14:paraId="5B11C84C" w14:textId="77777777" w:rsidR="00E90451" w:rsidRDefault="00E904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351BE144" w:rsidR="009144E0" w:rsidRDefault="009144E0" w:rsidP="002C5DFD">
    <w:pPr>
      <w:pStyle w:val="En-tte"/>
      <w:tabs>
        <w:tab w:val="clear" w:pos="4536"/>
        <w:tab w:val="clear" w:pos="9072"/>
        <w:tab w:val="center" w:pos="0"/>
      </w:tabs>
      <w:jc w:val="right"/>
      <w:rPr>
        <w:b/>
        <w:bCs/>
      </w:rPr>
    </w:pPr>
    <w:r>
      <w:rPr>
        <w:i/>
        <w:iCs/>
        <w:noProof/>
        <w:lang w:val="en-US"/>
      </w:rPr>
      <w:drawing>
        <wp:inline distT="0" distB="0" distL="0" distR="0" wp14:anchorId="09635A91" wp14:editId="3A6A5A2C">
          <wp:extent cx="1090909" cy="360000"/>
          <wp:effectExtent l="0" t="0" r="0" b="2540"/>
          <wp:docPr id="100073497" name="Image 100073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tab/>
    </w:r>
    <w:r>
      <w:tab/>
    </w:r>
    <w:r>
      <w:tab/>
    </w:r>
    <w:r>
      <w:tab/>
    </w:r>
    <w:r>
      <w:tab/>
    </w:r>
    <w:r>
      <w:tab/>
    </w:r>
    <w:r>
      <w:tab/>
    </w:r>
    <w:r>
      <w:tab/>
    </w:r>
    <w:r w:rsidRPr="0018252D">
      <w:rPr>
        <w:rFonts w:ascii="Verdana" w:hAnsi="Verdana"/>
        <w:b/>
        <w:bCs/>
        <w:sz w:val="20"/>
        <w:szCs w:val="20"/>
      </w:rPr>
      <w:t xml:space="preserve">Point. </w:t>
    </w:r>
    <w:r w:rsidR="00C8650C">
      <w:rPr>
        <w:rFonts w:ascii="Verdana" w:hAnsi="Verdana"/>
        <w:b/>
        <w:bCs/>
        <w:sz w:val="20"/>
        <w:szCs w:val="20"/>
      </w:rPr>
      <w:t>2</w:t>
    </w:r>
    <w:r w:rsidR="00F54F1F">
      <w:rPr>
        <w:rFonts w:ascii="Verdana" w:hAnsi="Verdana"/>
        <w:b/>
        <w:bCs/>
        <w:sz w:val="20"/>
        <w:szCs w:val="20"/>
      </w:rPr>
      <w:t>.</w:t>
    </w:r>
    <w:r w:rsidR="00807982">
      <w:rPr>
        <w:rFonts w:ascii="Verdana" w:hAnsi="Verdana"/>
        <w:b/>
        <w:bCs/>
        <w:sz w:val="20"/>
        <w:szCs w:val="20"/>
      </w:rPr>
      <w:t>7</w:t>
    </w:r>
  </w:p>
  <w:p w14:paraId="7FE17793" w14:textId="77777777" w:rsidR="009144E0" w:rsidRDefault="009144E0"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17E8C"/>
    <w:multiLevelType w:val="hybridMultilevel"/>
    <w:tmpl w:val="2F345F7A"/>
    <w:lvl w:ilvl="0" w:tplc="FFFFFFFF">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lowerLetter"/>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0DAB0B4B"/>
    <w:multiLevelType w:val="multilevel"/>
    <w:tmpl w:val="DE10A216"/>
    <w:lvl w:ilvl="0">
      <w:start w:val="2"/>
      <w:numFmt w:val="decimal"/>
      <w:lvlText w:val="%1."/>
      <w:lvlJc w:val="left"/>
      <w:pPr>
        <w:ind w:left="408" w:hanging="408"/>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1D30430"/>
    <w:multiLevelType w:val="multilevel"/>
    <w:tmpl w:val="A266995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66B3E9A"/>
    <w:multiLevelType w:val="hybridMultilevel"/>
    <w:tmpl w:val="53D0E528"/>
    <w:lvl w:ilvl="0" w:tplc="2000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1E79474D"/>
    <w:multiLevelType w:val="hybridMultilevel"/>
    <w:tmpl w:val="406618F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E9F5F6E"/>
    <w:multiLevelType w:val="hybridMultilevel"/>
    <w:tmpl w:val="B8E0DCD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210860AF"/>
    <w:multiLevelType w:val="multilevel"/>
    <w:tmpl w:val="E8ACAE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4517FA0"/>
    <w:multiLevelType w:val="multilevel"/>
    <w:tmpl w:val="5750EF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9A31E7A"/>
    <w:multiLevelType w:val="hybridMultilevel"/>
    <w:tmpl w:val="F05ECF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19264F4"/>
    <w:multiLevelType w:val="hybridMultilevel"/>
    <w:tmpl w:val="26CE14EE"/>
    <w:lvl w:ilvl="0" w:tplc="624A39DA">
      <w:start w:val="1"/>
      <w:numFmt w:val="lowerLetter"/>
      <w:lvlText w:val="%1)"/>
      <w:lvlJc w:val="left"/>
      <w:pPr>
        <w:ind w:left="720" w:hanging="360"/>
      </w:pPr>
      <w:rPr>
        <w:rFonts w:hint="default"/>
        <w:b/>
        <w:bCs/>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0C0017">
      <w:start w:val="1"/>
      <w:numFmt w:val="lowerLetter"/>
      <w:lvlText w:val="%4)"/>
      <w:lvlJc w:val="left"/>
      <w:pPr>
        <w:ind w:left="2880" w:hanging="360"/>
      </w:p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35D5631A"/>
    <w:multiLevelType w:val="hybridMultilevel"/>
    <w:tmpl w:val="A24A8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6D07B4F"/>
    <w:multiLevelType w:val="multilevel"/>
    <w:tmpl w:val="5750EF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2" w15:restartNumberingAfterBreak="0">
    <w:nsid w:val="3D5A6E6F"/>
    <w:multiLevelType w:val="hybridMultilevel"/>
    <w:tmpl w:val="DFCEA5F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24F052B"/>
    <w:multiLevelType w:val="multilevel"/>
    <w:tmpl w:val="5750EF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4" w15:restartNumberingAfterBreak="0">
    <w:nsid w:val="432053ED"/>
    <w:multiLevelType w:val="hybridMultilevel"/>
    <w:tmpl w:val="4EB25294"/>
    <w:lvl w:ilvl="0" w:tplc="F79A87C6">
      <w:numFmt w:val="bullet"/>
      <w:lvlText w:val="-"/>
      <w:lvlJc w:val="left"/>
      <w:pPr>
        <w:ind w:left="720" w:hanging="360"/>
      </w:pPr>
      <w:rPr>
        <w:rFonts w:ascii="Verdana" w:eastAsiaTheme="minorHAnsi"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BC1781"/>
    <w:multiLevelType w:val="hybridMultilevel"/>
    <w:tmpl w:val="8C400E10"/>
    <w:lvl w:ilvl="0" w:tplc="BC0239D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FEB17C9"/>
    <w:multiLevelType w:val="multilevel"/>
    <w:tmpl w:val="5750EF5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17" w15:restartNumberingAfterBreak="0">
    <w:nsid w:val="614B43AE"/>
    <w:multiLevelType w:val="hybridMultilevel"/>
    <w:tmpl w:val="F48434BE"/>
    <w:lvl w:ilvl="0" w:tplc="697890DC">
      <w:start w:val="3"/>
      <w:numFmt w:val="bullet"/>
      <w:lvlText w:val="-"/>
      <w:lvlJc w:val="left"/>
      <w:pPr>
        <w:ind w:left="720" w:hanging="360"/>
      </w:pPr>
      <w:rPr>
        <w:rFonts w:ascii="Verdana" w:eastAsiaTheme="minorHAnsi" w:hAnsi="Verdan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382401E"/>
    <w:multiLevelType w:val="hybridMultilevel"/>
    <w:tmpl w:val="7CBC957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1A5012"/>
    <w:multiLevelType w:val="multilevel"/>
    <w:tmpl w:val="FB36E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EF5C3A"/>
    <w:multiLevelType w:val="hybridMultilevel"/>
    <w:tmpl w:val="D2689046"/>
    <w:lvl w:ilvl="0" w:tplc="04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C4566E9"/>
    <w:multiLevelType w:val="hybridMultilevel"/>
    <w:tmpl w:val="05BE91B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C4731B7"/>
    <w:multiLevelType w:val="multilevel"/>
    <w:tmpl w:val="0AD4B8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2C23DA7"/>
    <w:multiLevelType w:val="hybridMultilevel"/>
    <w:tmpl w:val="74FED5CE"/>
    <w:lvl w:ilvl="0" w:tplc="BEBEFD1C">
      <w:start w:val="19"/>
      <w:numFmt w:val="bullet"/>
      <w:lvlText w:val="-"/>
      <w:lvlJc w:val="left"/>
      <w:pPr>
        <w:ind w:left="720" w:hanging="360"/>
      </w:pPr>
      <w:rPr>
        <w:rFonts w:ascii="Verdana" w:eastAsiaTheme="minorHAnsi" w:hAnsi="Verdana" w:cs="Arial" w:hint="default"/>
        <w:b w:val="0"/>
        <w:bCs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78DB2D21"/>
    <w:multiLevelType w:val="hybridMultilevel"/>
    <w:tmpl w:val="E3282254"/>
    <w:lvl w:ilvl="0" w:tplc="040C000F">
      <w:start w:val="2"/>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444740616">
    <w:abstractNumId w:val="2"/>
  </w:num>
  <w:num w:numId="2" w16cid:durableId="1999336864">
    <w:abstractNumId w:val="24"/>
  </w:num>
  <w:num w:numId="3" w16cid:durableId="463233003">
    <w:abstractNumId w:val="18"/>
  </w:num>
  <w:num w:numId="4" w16cid:durableId="1617977764">
    <w:abstractNumId w:val="9"/>
  </w:num>
  <w:num w:numId="5" w16cid:durableId="2116242297">
    <w:abstractNumId w:val="14"/>
  </w:num>
  <w:num w:numId="6" w16cid:durableId="1079640821">
    <w:abstractNumId w:val="20"/>
  </w:num>
  <w:num w:numId="7" w16cid:durableId="1137139327">
    <w:abstractNumId w:val="21"/>
  </w:num>
  <w:num w:numId="8" w16cid:durableId="174154023">
    <w:abstractNumId w:val="0"/>
  </w:num>
  <w:num w:numId="9" w16cid:durableId="969869763">
    <w:abstractNumId w:val="22"/>
  </w:num>
  <w:num w:numId="10" w16cid:durableId="2118676956">
    <w:abstractNumId w:val="6"/>
  </w:num>
  <w:num w:numId="11" w16cid:durableId="1689794065">
    <w:abstractNumId w:val="5"/>
  </w:num>
  <w:num w:numId="12" w16cid:durableId="1540124420">
    <w:abstractNumId w:val="19"/>
  </w:num>
  <w:num w:numId="13" w16cid:durableId="703597631">
    <w:abstractNumId w:val="12"/>
  </w:num>
  <w:num w:numId="14" w16cid:durableId="346441776">
    <w:abstractNumId w:val="4"/>
  </w:num>
  <w:num w:numId="15" w16cid:durableId="99690542">
    <w:abstractNumId w:val="23"/>
  </w:num>
  <w:num w:numId="16" w16cid:durableId="1450397045">
    <w:abstractNumId w:val="10"/>
  </w:num>
  <w:num w:numId="17" w16cid:durableId="1886328988">
    <w:abstractNumId w:val="15"/>
  </w:num>
  <w:num w:numId="18" w16cid:durableId="145322572">
    <w:abstractNumId w:val="3"/>
  </w:num>
  <w:num w:numId="19" w16cid:durableId="1610309936">
    <w:abstractNumId w:val="1"/>
  </w:num>
  <w:num w:numId="20" w16cid:durableId="855313504">
    <w:abstractNumId w:val="8"/>
  </w:num>
  <w:num w:numId="21" w16cid:durableId="529759325">
    <w:abstractNumId w:val="13"/>
  </w:num>
  <w:num w:numId="22" w16cid:durableId="1937210121">
    <w:abstractNumId w:val="7"/>
  </w:num>
  <w:num w:numId="23" w16cid:durableId="1341085380">
    <w:abstractNumId w:val="11"/>
  </w:num>
  <w:num w:numId="24" w16cid:durableId="1075397887">
    <w:abstractNumId w:val="16"/>
  </w:num>
  <w:num w:numId="25" w16cid:durableId="42272797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7683"/>
    <w:rsid w:val="000101FC"/>
    <w:rsid w:val="00014DAA"/>
    <w:rsid w:val="0001616E"/>
    <w:rsid w:val="00021125"/>
    <w:rsid w:val="000235F5"/>
    <w:rsid w:val="00026CD5"/>
    <w:rsid w:val="000373B2"/>
    <w:rsid w:val="00041573"/>
    <w:rsid w:val="000426C0"/>
    <w:rsid w:val="00042CF5"/>
    <w:rsid w:val="00043E66"/>
    <w:rsid w:val="00051385"/>
    <w:rsid w:val="00052A16"/>
    <w:rsid w:val="00053876"/>
    <w:rsid w:val="00053B08"/>
    <w:rsid w:val="00060159"/>
    <w:rsid w:val="00060CA0"/>
    <w:rsid w:val="00061D4E"/>
    <w:rsid w:val="00063A26"/>
    <w:rsid w:val="000651C1"/>
    <w:rsid w:val="00075CB7"/>
    <w:rsid w:val="00076773"/>
    <w:rsid w:val="00077589"/>
    <w:rsid w:val="00080750"/>
    <w:rsid w:val="0008468B"/>
    <w:rsid w:val="00085E19"/>
    <w:rsid w:val="00093524"/>
    <w:rsid w:val="00094029"/>
    <w:rsid w:val="000A26F3"/>
    <w:rsid w:val="000A29D2"/>
    <w:rsid w:val="000A468A"/>
    <w:rsid w:val="000A71B6"/>
    <w:rsid w:val="000B05CF"/>
    <w:rsid w:val="000B0FBD"/>
    <w:rsid w:val="000B10B4"/>
    <w:rsid w:val="000B324E"/>
    <w:rsid w:val="000B3791"/>
    <w:rsid w:val="000B3E22"/>
    <w:rsid w:val="000B614B"/>
    <w:rsid w:val="000C1916"/>
    <w:rsid w:val="000C28A4"/>
    <w:rsid w:val="000C420F"/>
    <w:rsid w:val="000D4AEF"/>
    <w:rsid w:val="000E21F4"/>
    <w:rsid w:val="000E4482"/>
    <w:rsid w:val="000E4851"/>
    <w:rsid w:val="000E4CB9"/>
    <w:rsid w:val="000E67C1"/>
    <w:rsid w:val="000F093A"/>
    <w:rsid w:val="000F290E"/>
    <w:rsid w:val="000F4728"/>
    <w:rsid w:val="000F5624"/>
    <w:rsid w:val="00101ECE"/>
    <w:rsid w:val="0010307E"/>
    <w:rsid w:val="00107D9D"/>
    <w:rsid w:val="00115A4A"/>
    <w:rsid w:val="001160FF"/>
    <w:rsid w:val="0011730D"/>
    <w:rsid w:val="001204AC"/>
    <w:rsid w:val="00125369"/>
    <w:rsid w:val="00126791"/>
    <w:rsid w:val="00127126"/>
    <w:rsid w:val="00131462"/>
    <w:rsid w:val="0013177C"/>
    <w:rsid w:val="00131FA0"/>
    <w:rsid w:val="00132957"/>
    <w:rsid w:val="001337B9"/>
    <w:rsid w:val="00141E60"/>
    <w:rsid w:val="00145CDE"/>
    <w:rsid w:val="001512C6"/>
    <w:rsid w:val="00152B33"/>
    <w:rsid w:val="00153D2B"/>
    <w:rsid w:val="001569B4"/>
    <w:rsid w:val="00157A9D"/>
    <w:rsid w:val="00160C11"/>
    <w:rsid w:val="001669C3"/>
    <w:rsid w:val="00167754"/>
    <w:rsid w:val="0017113E"/>
    <w:rsid w:val="00171679"/>
    <w:rsid w:val="00171D3C"/>
    <w:rsid w:val="00172377"/>
    <w:rsid w:val="00172FAF"/>
    <w:rsid w:val="00173450"/>
    <w:rsid w:val="0017772D"/>
    <w:rsid w:val="0017790C"/>
    <w:rsid w:val="0018252D"/>
    <w:rsid w:val="0018418C"/>
    <w:rsid w:val="00184AC8"/>
    <w:rsid w:val="00185159"/>
    <w:rsid w:val="00196F71"/>
    <w:rsid w:val="00197C40"/>
    <w:rsid w:val="001A56F1"/>
    <w:rsid w:val="001B0B0F"/>
    <w:rsid w:val="001B4738"/>
    <w:rsid w:val="001B4B4B"/>
    <w:rsid w:val="001C2ECB"/>
    <w:rsid w:val="001D6817"/>
    <w:rsid w:val="001E2028"/>
    <w:rsid w:val="001E2232"/>
    <w:rsid w:val="001E3074"/>
    <w:rsid w:val="001E485B"/>
    <w:rsid w:val="001E59B4"/>
    <w:rsid w:val="001E6F24"/>
    <w:rsid w:val="001F0DF2"/>
    <w:rsid w:val="001F460E"/>
    <w:rsid w:val="001F52F7"/>
    <w:rsid w:val="00200506"/>
    <w:rsid w:val="0020625B"/>
    <w:rsid w:val="00206DFC"/>
    <w:rsid w:val="00210A5B"/>
    <w:rsid w:val="0021198F"/>
    <w:rsid w:val="00212296"/>
    <w:rsid w:val="00223158"/>
    <w:rsid w:val="00230032"/>
    <w:rsid w:val="002351FD"/>
    <w:rsid w:val="00243910"/>
    <w:rsid w:val="002470EB"/>
    <w:rsid w:val="00247283"/>
    <w:rsid w:val="00247580"/>
    <w:rsid w:val="00253761"/>
    <w:rsid w:val="00254670"/>
    <w:rsid w:val="002554F6"/>
    <w:rsid w:val="0025766D"/>
    <w:rsid w:val="00264286"/>
    <w:rsid w:val="00273D83"/>
    <w:rsid w:val="00282223"/>
    <w:rsid w:val="002824B9"/>
    <w:rsid w:val="002877B3"/>
    <w:rsid w:val="00290C1D"/>
    <w:rsid w:val="002919F1"/>
    <w:rsid w:val="00294F01"/>
    <w:rsid w:val="002A0933"/>
    <w:rsid w:val="002A096E"/>
    <w:rsid w:val="002A0B5D"/>
    <w:rsid w:val="002A1C4A"/>
    <w:rsid w:val="002A58B2"/>
    <w:rsid w:val="002B26F1"/>
    <w:rsid w:val="002B4138"/>
    <w:rsid w:val="002B6A84"/>
    <w:rsid w:val="002C08F2"/>
    <w:rsid w:val="002C3C7F"/>
    <w:rsid w:val="002C52C7"/>
    <w:rsid w:val="002C56ED"/>
    <w:rsid w:val="002C5DFD"/>
    <w:rsid w:val="002D6E31"/>
    <w:rsid w:val="002E00A5"/>
    <w:rsid w:val="002E1018"/>
    <w:rsid w:val="002E1AFC"/>
    <w:rsid w:val="002E1D3F"/>
    <w:rsid w:val="002F4298"/>
    <w:rsid w:val="002F5500"/>
    <w:rsid w:val="002F5637"/>
    <w:rsid w:val="002F6F7B"/>
    <w:rsid w:val="003062E8"/>
    <w:rsid w:val="003079CD"/>
    <w:rsid w:val="00313163"/>
    <w:rsid w:val="00313BD2"/>
    <w:rsid w:val="0031579C"/>
    <w:rsid w:val="003179F5"/>
    <w:rsid w:val="00321ECC"/>
    <w:rsid w:val="00324758"/>
    <w:rsid w:val="00326289"/>
    <w:rsid w:val="003363F6"/>
    <w:rsid w:val="00336EE4"/>
    <w:rsid w:val="003378F8"/>
    <w:rsid w:val="0034097E"/>
    <w:rsid w:val="00346575"/>
    <w:rsid w:val="003470A2"/>
    <w:rsid w:val="00350CD0"/>
    <w:rsid w:val="00350ECD"/>
    <w:rsid w:val="003518F1"/>
    <w:rsid w:val="00351CFC"/>
    <w:rsid w:val="003540B5"/>
    <w:rsid w:val="00356D6C"/>
    <w:rsid w:val="0035747E"/>
    <w:rsid w:val="003604B9"/>
    <w:rsid w:val="00362680"/>
    <w:rsid w:val="0036358B"/>
    <w:rsid w:val="00364960"/>
    <w:rsid w:val="00367D4E"/>
    <w:rsid w:val="00371FAB"/>
    <w:rsid w:val="00374495"/>
    <w:rsid w:val="00375DC8"/>
    <w:rsid w:val="003772FB"/>
    <w:rsid w:val="00377343"/>
    <w:rsid w:val="00380EEA"/>
    <w:rsid w:val="003815F5"/>
    <w:rsid w:val="00381860"/>
    <w:rsid w:val="0038706A"/>
    <w:rsid w:val="00387725"/>
    <w:rsid w:val="00390CFE"/>
    <w:rsid w:val="00391152"/>
    <w:rsid w:val="003911F2"/>
    <w:rsid w:val="003924B6"/>
    <w:rsid w:val="00392D97"/>
    <w:rsid w:val="00393514"/>
    <w:rsid w:val="003974D3"/>
    <w:rsid w:val="003A528D"/>
    <w:rsid w:val="003A5F9F"/>
    <w:rsid w:val="003B04A0"/>
    <w:rsid w:val="003B1E72"/>
    <w:rsid w:val="003B32D3"/>
    <w:rsid w:val="003B36BB"/>
    <w:rsid w:val="003B39CE"/>
    <w:rsid w:val="003B3F81"/>
    <w:rsid w:val="003B4274"/>
    <w:rsid w:val="003B52DB"/>
    <w:rsid w:val="003B777B"/>
    <w:rsid w:val="003C0B0D"/>
    <w:rsid w:val="003C2538"/>
    <w:rsid w:val="003C5B8F"/>
    <w:rsid w:val="003C6951"/>
    <w:rsid w:val="003D3161"/>
    <w:rsid w:val="003D485F"/>
    <w:rsid w:val="003D5328"/>
    <w:rsid w:val="003D7A42"/>
    <w:rsid w:val="003D7AA5"/>
    <w:rsid w:val="003E306E"/>
    <w:rsid w:val="003E5EE7"/>
    <w:rsid w:val="003F48FE"/>
    <w:rsid w:val="00402D6A"/>
    <w:rsid w:val="00403535"/>
    <w:rsid w:val="0040781D"/>
    <w:rsid w:val="004117B4"/>
    <w:rsid w:val="0041278C"/>
    <w:rsid w:val="004132C8"/>
    <w:rsid w:val="00413843"/>
    <w:rsid w:val="00414B7B"/>
    <w:rsid w:val="00415C6E"/>
    <w:rsid w:val="00417683"/>
    <w:rsid w:val="00421BA6"/>
    <w:rsid w:val="00426673"/>
    <w:rsid w:val="00427B11"/>
    <w:rsid w:val="00430279"/>
    <w:rsid w:val="00431AF3"/>
    <w:rsid w:val="00431FC5"/>
    <w:rsid w:val="00433D3D"/>
    <w:rsid w:val="00436A43"/>
    <w:rsid w:val="00450CEE"/>
    <w:rsid w:val="00453291"/>
    <w:rsid w:val="00456416"/>
    <w:rsid w:val="00457567"/>
    <w:rsid w:val="004607F7"/>
    <w:rsid w:val="00462CDC"/>
    <w:rsid w:val="00464E27"/>
    <w:rsid w:val="00467449"/>
    <w:rsid w:val="00470784"/>
    <w:rsid w:val="00471E03"/>
    <w:rsid w:val="00472101"/>
    <w:rsid w:val="004767CB"/>
    <w:rsid w:val="00482842"/>
    <w:rsid w:val="0048577C"/>
    <w:rsid w:val="004872CC"/>
    <w:rsid w:val="00491338"/>
    <w:rsid w:val="00493A36"/>
    <w:rsid w:val="0049566A"/>
    <w:rsid w:val="004A3C34"/>
    <w:rsid w:val="004A5F05"/>
    <w:rsid w:val="004B1E8B"/>
    <w:rsid w:val="004B2598"/>
    <w:rsid w:val="004B288D"/>
    <w:rsid w:val="004B6605"/>
    <w:rsid w:val="004C274B"/>
    <w:rsid w:val="004C3AC9"/>
    <w:rsid w:val="004C5D2C"/>
    <w:rsid w:val="004C5D54"/>
    <w:rsid w:val="004D0F88"/>
    <w:rsid w:val="004D3A52"/>
    <w:rsid w:val="004D76C2"/>
    <w:rsid w:val="004E22AB"/>
    <w:rsid w:val="004E2EE6"/>
    <w:rsid w:val="004E3E87"/>
    <w:rsid w:val="004E5168"/>
    <w:rsid w:val="004E7886"/>
    <w:rsid w:val="004F5C4B"/>
    <w:rsid w:val="004F6EE0"/>
    <w:rsid w:val="00502B8E"/>
    <w:rsid w:val="00504371"/>
    <w:rsid w:val="00505A1F"/>
    <w:rsid w:val="005060D0"/>
    <w:rsid w:val="00506C79"/>
    <w:rsid w:val="0051358C"/>
    <w:rsid w:val="005158E1"/>
    <w:rsid w:val="00515B14"/>
    <w:rsid w:val="00520E10"/>
    <w:rsid w:val="00520EAA"/>
    <w:rsid w:val="005213BB"/>
    <w:rsid w:val="005225B3"/>
    <w:rsid w:val="00523206"/>
    <w:rsid w:val="00525437"/>
    <w:rsid w:val="0053773D"/>
    <w:rsid w:val="005402EA"/>
    <w:rsid w:val="005403DA"/>
    <w:rsid w:val="005505F5"/>
    <w:rsid w:val="00552AE7"/>
    <w:rsid w:val="005548E6"/>
    <w:rsid w:val="00555110"/>
    <w:rsid w:val="0055518E"/>
    <w:rsid w:val="00560CFC"/>
    <w:rsid w:val="00570202"/>
    <w:rsid w:val="00570203"/>
    <w:rsid w:val="005703A7"/>
    <w:rsid w:val="00577CB5"/>
    <w:rsid w:val="0058621D"/>
    <w:rsid w:val="00596CDC"/>
    <w:rsid w:val="00597942"/>
    <w:rsid w:val="005979E9"/>
    <w:rsid w:val="005A0007"/>
    <w:rsid w:val="005A32A5"/>
    <w:rsid w:val="005A6EC9"/>
    <w:rsid w:val="005A7253"/>
    <w:rsid w:val="005B2B33"/>
    <w:rsid w:val="005B5699"/>
    <w:rsid w:val="005B6642"/>
    <w:rsid w:val="005C2120"/>
    <w:rsid w:val="005C314E"/>
    <w:rsid w:val="005C4BEA"/>
    <w:rsid w:val="005C5554"/>
    <w:rsid w:val="005D33A5"/>
    <w:rsid w:val="005D623B"/>
    <w:rsid w:val="005E2BDC"/>
    <w:rsid w:val="005E2E9E"/>
    <w:rsid w:val="005E3732"/>
    <w:rsid w:val="005E3B4C"/>
    <w:rsid w:val="005E6A96"/>
    <w:rsid w:val="005F2E85"/>
    <w:rsid w:val="005F459E"/>
    <w:rsid w:val="005F461F"/>
    <w:rsid w:val="005F6F58"/>
    <w:rsid w:val="00600077"/>
    <w:rsid w:val="00600FF5"/>
    <w:rsid w:val="00601EE8"/>
    <w:rsid w:val="00602CD7"/>
    <w:rsid w:val="00605105"/>
    <w:rsid w:val="006057A5"/>
    <w:rsid w:val="00605D7D"/>
    <w:rsid w:val="006142EF"/>
    <w:rsid w:val="00617895"/>
    <w:rsid w:val="00617ADA"/>
    <w:rsid w:val="00620B90"/>
    <w:rsid w:val="0062356C"/>
    <w:rsid w:val="00631937"/>
    <w:rsid w:val="00632207"/>
    <w:rsid w:val="00635438"/>
    <w:rsid w:val="006356AF"/>
    <w:rsid w:val="006404E5"/>
    <w:rsid w:val="006420F4"/>
    <w:rsid w:val="0064588D"/>
    <w:rsid w:val="006548BF"/>
    <w:rsid w:val="00655CFF"/>
    <w:rsid w:val="0065697F"/>
    <w:rsid w:val="00660504"/>
    <w:rsid w:val="00661604"/>
    <w:rsid w:val="00676A90"/>
    <w:rsid w:val="00677D72"/>
    <w:rsid w:val="006835D2"/>
    <w:rsid w:val="006837F3"/>
    <w:rsid w:val="0069707A"/>
    <w:rsid w:val="006971E4"/>
    <w:rsid w:val="006A0E6C"/>
    <w:rsid w:val="006A2F68"/>
    <w:rsid w:val="006A30D6"/>
    <w:rsid w:val="006B04D2"/>
    <w:rsid w:val="006B0BE0"/>
    <w:rsid w:val="006B157D"/>
    <w:rsid w:val="006B1A17"/>
    <w:rsid w:val="006B78F1"/>
    <w:rsid w:val="006C0D3D"/>
    <w:rsid w:val="006C1DAE"/>
    <w:rsid w:val="006C4547"/>
    <w:rsid w:val="006C7E9C"/>
    <w:rsid w:val="006D0849"/>
    <w:rsid w:val="006D1743"/>
    <w:rsid w:val="006D5552"/>
    <w:rsid w:val="006D66C7"/>
    <w:rsid w:val="006D70D2"/>
    <w:rsid w:val="006E0305"/>
    <w:rsid w:val="006E2D9E"/>
    <w:rsid w:val="006E5C28"/>
    <w:rsid w:val="006E7B75"/>
    <w:rsid w:val="00700F7B"/>
    <w:rsid w:val="00704201"/>
    <w:rsid w:val="007079B6"/>
    <w:rsid w:val="007101CF"/>
    <w:rsid w:val="00711269"/>
    <w:rsid w:val="00711A49"/>
    <w:rsid w:val="00714563"/>
    <w:rsid w:val="00715DFB"/>
    <w:rsid w:val="00716A46"/>
    <w:rsid w:val="00716B77"/>
    <w:rsid w:val="00717426"/>
    <w:rsid w:val="00723763"/>
    <w:rsid w:val="00724DB0"/>
    <w:rsid w:val="00730259"/>
    <w:rsid w:val="0073579F"/>
    <w:rsid w:val="00737D89"/>
    <w:rsid w:val="007407C1"/>
    <w:rsid w:val="00741DA5"/>
    <w:rsid w:val="00743531"/>
    <w:rsid w:val="00746F2D"/>
    <w:rsid w:val="007472B3"/>
    <w:rsid w:val="00747397"/>
    <w:rsid w:val="00751686"/>
    <w:rsid w:val="00753A6D"/>
    <w:rsid w:val="007541DB"/>
    <w:rsid w:val="00760951"/>
    <w:rsid w:val="00766BCA"/>
    <w:rsid w:val="00767E18"/>
    <w:rsid w:val="007710A5"/>
    <w:rsid w:val="007716D0"/>
    <w:rsid w:val="00773678"/>
    <w:rsid w:val="00773DFF"/>
    <w:rsid w:val="00777573"/>
    <w:rsid w:val="00782D2B"/>
    <w:rsid w:val="00783140"/>
    <w:rsid w:val="00784221"/>
    <w:rsid w:val="00794CE5"/>
    <w:rsid w:val="00796B7B"/>
    <w:rsid w:val="007A2FA5"/>
    <w:rsid w:val="007B245C"/>
    <w:rsid w:val="007B610E"/>
    <w:rsid w:val="007B6152"/>
    <w:rsid w:val="007C0D9F"/>
    <w:rsid w:val="007C1096"/>
    <w:rsid w:val="007C2291"/>
    <w:rsid w:val="007C284F"/>
    <w:rsid w:val="007C28BC"/>
    <w:rsid w:val="007C312B"/>
    <w:rsid w:val="007C762D"/>
    <w:rsid w:val="007C78FC"/>
    <w:rsid w:val="007D19D9"/>
    <w:rsid w:val="007D3345"/>
    <w:rsid w:val="007D4935"/>
    <w:rsid w:val="007D49B0"/>
    <w:rsid w:val="007D720D"/>
    <w:rsid w:val="007E13A7"/>
    <w:rsid w:val="007E3B15"/>
    <w:rsid w:val="007E4483"/>
    <w:rsid w:val="007E776E"/>
    <w:rsid w:val="007F1C55"/>
    <w:rsid w:val="008045BD"/>
    <w:rsid w:val="0080619A"/>
    <w:rsid w:val="008066AC"/>
    <w:rsid w:val="0080748C"/>
    <w:rsid w:val="00807982"/>
    <w:rsid w:val="008120FF"/>
    <w:rsid w:val="00812408"/>
    <w:rsid w:val="00816DAC"/>
    <w:rsid w:val="0082055C"/>
    <w:rsid w:val="008221BE"/>
    <w:rsid w:val="008226FD"/>
    <w:rsid w:val="00823A6F"/>
    <w:rsid w:val="008252A2"/>
    <w:rsid w:val="008272CA"/>
    <w:rsid w:val="008319CA"/>
    <w:rsid w:val="0083290E"/>
    <w:rsid w:val="00834A61"/>
    <w:rsid w:val="00835395"/>
    <w:rsid w:val="0084050F"/>
    <w:rsid w:val="00843FF2"/>
    <w:rsid w:val="008453AB"/>
    <w:rsid w:val="008453C2"/>
    <w:rsid w:val="00853454"/>
    <w:rsid w:val="00853BFE"/>
    <w:rsid w:val="00854EEA"/>
    <w:rsid w:val="008551DA"/>
    <w:rsid w:val="00855E0C"/>
    <w:rsid w:val="008613BB"/>
    <w:rsid w:val="00861ACC"/>
    <w:rsid w:val="00865C3D"/>
    <w:rsid w:val="00873E68"/>
    <w:rsid w:val="008747AD"/>
    <w:rsid w:val="0087692A"/>
    <w:rsid w:val="008805BF"/>
    <w:rsid w:val="008811DF"/>
    <w:rsid w:val="00881990"/>
    <w:rsid w:val="00887D5D"/>
    <w:rsid w:val="008A4098"/>
    <w:rsid w:val="008A4108"/>
    <w:rsid w:val="008A4F5E"/>
    <w:rsid w:val="008A6988"/>
    <w:rsid w:val="008B0549"/>
    <w:rsid w:val="008B17E0"/>
    <w:rsid w:val="008B201B"/>
    <w:rsid w:val="008B33BF"/>
    <w:rsid w:val="008B3F6E"/>
    <w:rsid w:val="008B5262"/>
    <w:rsid w:val="008B745F"/>
    <w:rsid w:val="008C21D4"/>
    <w:rsid w:val="008C69BB"/>
    <w:rsid w:val="008D0D5A"/>
    <w:rsid w:val="008D193F"/>
    <w:rsid w:val="008D293B"/>
    <w:rsid w:val="008D67B1"/>
    <w:rsid w:val="008E43A7"/>
    <w:rsid w:val="008E7F53"/>
    <w:rsid w:val="008F173C"/>
    <w:rsid w:val="008F4411"/>
    <w:rsid w:val="008F5023"/>
    <w:rsid w:val="00900DBC"/>
    <w:rsid w:val="0090494F"/>
    <w:rsid w:val="009144E0"/>
    <w:rsid w:val="00922C89"/>
    <w:rsid w:val="00924A8A"/>
    <w:rsid w:val="00927103"/>
    <w:rsid w:val="00930951"/>
    <w:rsid w:val="00933502"/>
    <w:rsid w:val="00934B28"/>
    <w:rsid w:val="00940148"/>
    <w:rsid w:val="00943C13"/>
    <w:rsid w:val="009440A5"/>
    <w:rsid w:val="009443BB"/>
    <w:rsid w:val="009468BB"/>
    <w:rsid w:val="009502AA"/>
    <w:rsid w:val="009532E1"/>
    <w:rsid w:val="00955552"/>
    <w:rsid w:val="00955BB3"/>
    <w:rsid w:val="00972A99"/>
    <w:rsid w:val="00986D53"/>
    <w:rsid w:val="00991409"/>
    <w:rsid w:val="00993667"/>
    <w:rsid w:val="00994A29"/>
    <w:rsid w:val="00995468"/>
    <w:rsid w:val="00995A6C"/>
    <w:rsid w:val="009962D3"/>
    <w:rsid w:val="009A1EDF"/>
    <w:rsid w:val="009A38AD"/>
    <w:rsid w:val="009A3C31"/>
    <w:rsid w:val="009B13BE"/>
    <w:rsid w:val="009B65CE"/>
    <w:rsid w:val="009B7C08"/>
    <w:rsid w:val="009C2EC9"/>
    <w:rsid w:val="009C3D4D"/>
    <w:rsid w:val="009C735B"/>
    <w:rsid w:val="009C75DD"/>
    <w:rsid w:val="009D0E51"/>
    <w:rsid w:val="009D2339"/>
    <w:rsid w:val="009E0BBD"/>
    <w:rsid w:val="009E2780"/>
    <w:rsid w:val="009E3500"/>
    <w:rsid w:val="009F13D7"/>
    <w:rsid w:val="009F2634"/>
    <w:rsid w:val="009F2778"/>
    <w:rsid w:val="00A01872"/>
    <w:rsid w:val="00A01A92"/>
    <w:rsid w:val="00A051C9"/>
    <w:rsid w:val="00A11A46"/>
    <w:rsid w:val="00A12D84"/>
    <w:rsid w:val="00A13936"/>
    <w:rsid w:val="00A148A1"/>
    <w:rsid w:val="00A15D55"/>
    <w:rsid w:val="00A1615A"/>
    <w:rsid w:val="00A26AD5"/>
    <w:rsid w:val="00A27D25"/>
    <w:rsid w:val="00A341AA"/>
    <w:rsid w:val="00A35B9C"/>
    <w:rsid w:val="00A36C09"/>
    <w:rsid w:val="00A37C51"/>
    <w:rsid w:val="00A37C9F"/>
    <w:rsid w:val="00A41A8C"/>
    <w:rsid w:val="00A41EF7"/>
    <w:rsid w:val="00A42490"/>
    <w:rsid w:val="00A433C6"/>
    <w:rsid w:val="00A43DCB"/>
    <w:rsid w:val="00A46E66"/>
    <w:rsid w:val="00A47654"/>
    <w:rsid w:val="00A5286E"/>
    <w:rsid w:val="00A55CF3"/>
    <w:rsid w:val="00A56D2F"/>
    <w:rsid w:val="00A66DAC"/>
    <w:rsid w:val="00A67FBB"/>
    <w:rsid w:val="00A70123"/>
    <w:rsid w:val="00A76B07"/>
    <w:rsid w:val="00A8002C"/>
    <w:rsid w:val="00A81B98"/>
    <w:rsid w:val="00A829B6"/>
    <w:rsid w:val="00A860E7"/>
    <w:rsid w:val="00A87320"/>
    <w:rsid w:val="00A90305"/>
    <w:rsid w:val="00A93D28"/>
    <w:rsid w:val="00A96D0D"/>
    <w:rsid w:val="00AA63A3"/>
    <w:rsid w:val="00AB1C11"/>
    <w:rsid w:val="00AB4A03"/>
    <w:rsid w:val="00AB5EB7"/>
    <w:rsid w:val="00AC7FF3"/>
    <w:rsid w:val="00AD2D69"/>
    <w:rsid w:val="00AD466F"/>
    <w:rsid w:val="00AD4C84"/>
    <w:rsid w:val="00AD4D97"/>
    <w:rsid w:val="00AD71FC"/>
    <w:rsid w:val="00AE2453"/>
    <w:rsid w:val="00AE2466"/>
    <w:rsid w:val="00AE418A"/>
    <w:rsid w:val="00AE4B60"/>
    <w:rsid w:val="00AE7672"/>
    <w:rsid w:val="00AE7917"/>
    <w:rsid w:val="00AF1158"/>
    <w:rsid w:val="00AF4059"/>
    <w:rsid w:val="00AF73F2"/>
    <w:rsid w:val="00B04112"/>
    <w:rsid w:val="00B05DFC"/>
    <w:rsid w:val="00B133B6"/>
    <w:rsid w:val="00B13569"/>
    <w:rsid w:val="00B13B86"/>
    <w:rsid w:val="00B16796"/>
    <w:rsid w:val="00B21966"/>
    <w:rsid w:val="00B2656A"/>
    <w:rsid w:val="00B349FC"/>
    <w:rsid w:val="00B34E3C"/>
    <w:rsid w:val="00B36BE4"/>
    <w:rsid w:val="00B36EEA"/>
    <w:rsid w:val="00B415F2"/>
    <w:rsid w:val="00B43235"/>
    <w:rsid w:val="00B4589E"/>
    <w:rsid w:val="00B47E3A"/>
    <w:rsid w:val="00B56AB1"/>
    <w:rsid w:val="00B60697"/>
    <w:rsid w:val="00B635F9"/>
    <w:rsid w:val="00B6556A"/>
    <w:rsid w:val="00B6572C"/>
    <w:rsid w:val="00B73A24"/>
    <w:rsid w:val="00B825F7"/>
    <w:rsid w:val="00B84172"/>
    <w:rsid w:val="00B87C57"/>
    <w:rsid w:val="00B90076"/>
    <w:rsid w:val="00B90D62"/>
    <w:rsid w:val="00B9163F"/>
    <w:rsid w:val="00B93030"/>
    <w:rsid w:val="00B93D5E"/>
    <w:rsid w:val="00B94152"/>
    <w:rsid w:val="00B95381"/>
    <w:rsid w:val="00B95D3F"/>
    <w:rsid w:val="00B97275"/>
    <w:rsid w:val="00B9747A"/>
    <w:rsid w:val="00BA173F"/>
    <w:rsid w:val="00BA2C60"/>
    <w:rsid w:val="00BA4B55"/>
    <w:rsid w:val="00BA7335"/>
    <w:rsid w:val="00BA79DA"/>
    <w:rsid w:val="00BB01B9"/>
    <w:rsid w:val="00BB2665"/>
    <w:rsid w:val="00BB2CE6"/>
    <w:rsid w:val="00BB4935"/>
    <w:rsid w:val="00BB5580"/>
    <w:rsid w:val="00BB604B"/>
    <w:rsid w:val="00BB6E7E"/>
    <w:rsid w:val="00BB756E"/>
    <w:rsid w:val="00BB7914"/>
    <w:rsid w:val="00BC4CAE"/>
    <w:rsid w:val="00BC6A9E"/>
    <w:rsid w:val="00BD2DED"/>
    <w:rsid w:val="00BD5117"/>
    <w:rsid w:val="00BD76A2"/>
    <w:rsid w:val="00BD7F35"/>
    <w:rsid w:val="00BE1964"/>
    <w:rsid w:val="00BE259C"/>
    <w:rsid w:val="00BE2839"/>
    <w:rsid w:val="00BE4B21"/>
    <w:rsid w:val="00BE70B4"/>
    <w:rsid w:val="00BF1AFA"/>
    <w:rsid w:val="00BF4895"/>
    <w:rsid w:val="00BF6446"/>
    <w:rsid w:val="00C04CFB"/>
    <w:rsid w:val="00C07CBA"/>
    <w:rsid w:val="00C12C93"/>
    <w:rsid w:val="00C13287"/>
    <w:rsid w:val="00C2123B"/>
    <w:rsid w:val="00C24539"/>
    <w:rsid w:val="00C27826"/>
    <w:rsid w:val="00C30409"/>
    <w:rsid w:val="00C31E42"/>
    <w:rsid w:val="00C325F5"/>
    <w:rsid w:val="00C36A70"/>
    <w:rsid w:val="00C3767A"/>
    <w:rsid w:val="00C42B13"/>
    <w:rsid w:val="00C42D89"/>
    <w:rsid w:val="00C44D77"/>
    <w:rsid w:val="00C457E8"/>
    <w:rsid w:val="00C51C60"/>
    <w:rsid w:val="00C51D69"/>
    <w:rsid w:val="00C51E50"/>
    <w:rsid w:val="00C52699"/>
    <w:rsid w:val="00C53206"/>
    <w:rsid w:val="00C53BB0"/>
    <w:rsid w:val="00C5429A"/>
    <w:rsid w:val="00C5483C"/>
    <w:rsid w:val="00C57D5D"/>
    <w:rsid w:val="00C609B9"/>
    <w:rsid w:val="00C62787"/>
    <w:rsid w:val="00C63D08"/>
    <w:rsid w:val="00C67ACA"/>
    <w:rsid w:val="00C67B9C"/>
    <w:rsid w:val="00C74F33"/>
    <w:rsid w:val="00C85D9C"/>
    <w:rsid w:val="00C8650C"/>
    <w:rsid w:val="00C86F2D"/>
    <w:rsid w:val="00C87439"/>
    <w:rsid w:val="00C90054"/>
    <w:rsid w:val="00C92127"/>
    <w:rsid w:val="00C95B33"/>
    <w:rsid w:val="00CA0F59"/>
    <w:rsid w:val="00CA196D"/>
    <w:rsid w:val="00CA4E90"/>
    <w:rsid w:val="00CB4A96"/>
    <w:rsid w:val="00CB72E4"/>
    <w:rsid w:val="00CC19E0"/>
    <w:rsid w:val="00CC3DD9"/>
    <w:rsid w:val="00CC4BE8"/>
    <w:rsid w:val="00CC7ECF"/>
    <w:rsid w:val="00CD0C92"/>
    <w:rsid w:val="00CD55B0"/>
    <w:rsid w:val="00CE1986"/>
    <w:rsid w:val="00CE2386"/>
    <w:rsid w:val="00CE44D8"/>
    <w:rsid w:val="00CE4FB1"/>
    <w:rsid w:val="00CE638C"/>
    <w:rsid w:val="00CE7BCC"/>
    <w:rsid w:val="00CF1FFF"/>
    <w:rsid w:val="00CF2BA6"/>
    <w:rsid w:val="00CF3D87"/>
    <w:rsid w:val="00CF42A3"/>
    <w:rsid w:val="00CF77E3"/>
    <w:rsid w:val="00D0011B"/>
    <w:rsid w:val="00D0052F"/>
    <w:rsid w:val="00D036FA"/>
    <w:rsid w:val="00D132C0"/>
    <w:rsid w:val="00D15843"/>
    <w:rsid w:val="00D16E5E"/>
    <w:rsid w:val="00D20A99"/>
    <w:rsid w:val="00D24C6D"/>
    <w:rsid w:val="00D25D31"/>
    <w:rsid w:val="00D2777D"/>
    <w:rsid w:val="00D30971"/>
    <w:rsid w:val="00D30FCE"/>
    <w:rsid w:val="00D31E23"/>
    <w:rsid w:val="00D323F1"/>
    <w:rsid w:val="00D326BF"/>
    <w:rsid w:val="00D33884"/>
    <w:rsid w:val="00D34856"/>
    <w:rsid w:val="00D37F09"/>
    <w:rsid w:val="00D40FC4"/>
    <w:rsid w:val="00D46CBE"/>
    <w:rsid w:val="00D47F36"/>
    <w:rsid w:val="00D51528"/>
    <w:rsid w:val="00D526AA"/>
    <w:rsid w:val="00D54BFE"/>
    <w:rsid w:val="00D56DC3"/>
    <w:rsid w:val="00D576ED"/>
    <w:rsid w:val="00D61497"/>
    <w:rsid w:val="00D704B7"/>
    <w:rsid w:val="00D71FBE"/>
    <w:rsid w:val="00D763DD"/>
    <w:rsid w:val="00D76735"/>
    <w:rsid w:val="00D77871"/>
    <w:rsid w:val="00D77B4F"/>
    <w:rsid w:val="00D82328"/>
    <w:rsid w:val="00D82965"/>
    <w:rsid w:val="00D86D40"/>
    <w:rsid w:val="00D871C9"/>
    <w:rsid w:val="00D9010E"/>
    <w:rsid w:val="00D939A5"/>
    <w:rsid w:val="00D93A80"/>
    <w:rsid w:val="00D97745"/>
    <w:rsid w:val="00DA0A9C"/>
    <w:rsid w:val="00DA2650"/>
    <w:rsid w:val="00DA76FA"/>
    <w:rsid w:val="00DB185D"/>
    <w:rsid w:val="00DB3315"/>
    <w:rsid w:val="00DB3D0C"/>
    <w:rsid w:val="00DC132C"/>
    <w:rsid w:val="00DC1CA2"/>
    <w:rsid w:val="00DC3816"/>
    <w:rsid w:val="00DC4949"/>
    <w:rsid w:val="00DD0B24"/>
    <w:rsid w:val="00DD280F"/>
    <w:rsid w:val="00DD4968"/>
    <w:rsid w:val="00DD5DE4"/>
    <w:rsid w:val="00DD6859"/>
    <w:rsid w:val="00DE1D0B"/>
    <w:rsid w:val="00DE5336"/>
    <w:rsid w:val="00DF2E3F"/>
    <w:rsid w:val="00DF370E"/>
    <w:rsid w:val="00DF7B57"/>
    <w:rsid w:val="00E00FC7"/>
    <w:rsid w:val="00E01153"/>
    <w:rsid w:val="00E03903"/>
    <w:rsid w:val="00E069B4"/>
    <w:rsid w:val="00E077B6"/>
    <w:rsid w:val="00E112E7"/>
    <w:rsid w:val="00E13043"/>
    <w:rsid w:val="00E16D2C"/>
    <w:rsid w:val="00E21260"/>
    <w:rsid w:val="00E21FEA"/>
    <w:rsid w:val="00E2622A"/>
    <w:rsid w:val="00E32408"/>
    <w:rsid w:val="00E3379D"/>
    <w:rsid w:val="00E41BEE"/>
    <w:rsid w:val="00E429DA"/>
    <w:rsid w:val="00E4327B"/>
    <w:rsid w:val="00E474F2"/>
    <w:rsid w:val="00E518B4"/>
    <w:rsid w:val="00E52688"/>
    <w:rsid w:val="00E624B5"/>
    <w:rsid w:val="00E62D62"/>
    <w:rsid w:val="00E664BF"/>
    <w:rsid w:val="00E66AF5"/>
    <w:rsid w:val="00E7063B"/>
    <w:rsid w:val="00E71AF7"/>
    <w:rsid w:val="00E72500"/>
    <w:rsid w:val="00E72AFF"/>
    <w:rsid w:val="00E75554"/>
    <w:rsid w:val="00E807CD"/>
    <w:rsid w:val="00E830F2"/>
    <w:rsid w:val="00E845D4"/>
    <w:rsid w:val="00E86302"/>
    <w:rsid w:val="00E87BC2"/>
    <w:rsid w:val="00E90451"/>
    <w:rsid w:val="00E909A0"/>
    <w:rsid w:val="00EA0E0A"/>
    <w:rsid w:val="00EA555D"/>
    <w:rsid w:val="00EA6205"/>
    <w:rsid w:val="00EA750A"/>
    <w:rsid w:val="00EB243D"/>
    <w:rsid w:val="00EB3D91"/>
    <w:rsid w:val="00EB4FE6"/>
    <w:rsid w:val="00EB6605"/>
    <w:rsid w:val="00EC22CC"/>
    <w:rsid w:val="00EC2430"/>
    <w:rsid w:val="00EC3BDD"/>
    <w:rsid w:val="00ED079C"/>
    <w:rsid w:val="00ED3F6C"/>
    <w:rsid w:val="00ED60EE"/>
    <w:rsid w:val="00ED6B69"/>
    <w:rsid w:val="00ED7885"/>
    <w:rsid w:val="00EE0B6F"/>
    <w:rsid w:val="00EE1B5F"/>
    <w:rsid w:val="00EE34F4"/>
    <w:rsid w:val="00EE6063"/>
    <w:rsid w:val="00EF10BF"/>
    <w:rsid w:val="00EF22A4"/>
    <w:rsid w:val="00EF4205"/>
    <w:rsid w:val="00EF589D"/>
    <w:rsid w:val="00EF66E2"/>
    <w:rsid w:val="00F00278"/>
    <w:rsid w:val="00F07ADB"/>
    <w:rsid w:val="00F14687"/>
    <w:rsid w:val="00F153FA"/>
    <w:rsid w:val="00F17CC3"/>
    <w:rsid w:val="00F21544"/>
    <w:rsid w:val="00F317EF"/>
    <w:rsid w:val="00F3335B"/>
    <w:rsid w:val="00F35F93"/>
    <w:rsid w:val="00F50E2D"/>
    <w:rsid w:val="00F51712"/>
    <w:rsid w:val="00F5256C"/>
    <w:rsid w:val="00F537BA"/>
    <w:rsid w:val="00F545FE"/>
    <w:rsid w:val="00F54EA0"/>
    <w:rsid w:val="00F54F1F"/>
    <w:rsid w:val="00F62BD8"/>
    <w:rsid w:val="00F6614F"/>
    <w:rsid w:val="00F703B4"/>
    <w:rsid w:val="00F75018"/>
    <w:rsid w:val="00F8030A"/>
    <w:rsid w:val="00F81A96"/>
    <w:rsid w:val="00F830C0"/>
    <w:rsid w:val="00F83CD2"/>
    <w:rsid w:val="00F85B61"/>
    <w:rsid w:val="00F876D7"/>
    <w:rsid w:val="00F95E6A"/>
    <w:rsid w:val="00F96EE9"/>
    <w:rsid w:val="00FA3922"/>
    <w:rsid w:val="00FA48F6"/>
    <w:rsid w:val="00FA5CCA"/>
    <w:rsid w:val="00FB3599"/>
    <w:rsid w:val="00FC06FF"/>
    <w:rsid w:val="00FC0C9E"/>
    <w:rsid w:val="00FC0FEC"/>
    <w:rsid w:val="00FC5BB0"/>
    <w:rsid w:val="00FD0FAE"/>
    <w:rsid w:val="00FD18D5"/>
    <w:rsid w:val="00FD5A83"/>
    <w:rsid w:val="00FE0D82"/>
    <w:rsid w:val="00FE1AE1"/>
    <w:rsid w:val="00FE285D"/>
    <w:rsid w:val="00FE53B4"/>
    <w:rsid w:val="00FE53D9"/>
    <w:rsid w:val="00FE6341"/>
    <w:rsid w:val="00FE6ABC"/>
    <w:rsid w:val="00FE7E33"/>
    <w:rsid w:val="00FF16B2"/>
    <w:rsid w:val="00FF554E"/>
    <w:rsid w:val="00FF5820"/>
    <w:rsid w:val="00FF5AD2"/>
    <w:rsid w:val="00FF619B"/>
    <w:rsid w:val="00FF7237"/>
    <w:rsid w:val="00FF7CBE"/>
    <w:rsid w:val="00FF7D6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chartTrackingRefBased/>
  <w15:docId w15:val="{F5285989-EA03-45CD-A0EC-BAC0915B9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References,List_Paragraph,Multilevel para_II,List Paragraph1,Lapis Bulleted List,Citation List,List Paragraph (numbered (a)),ReferencesCxSpLast,lp1,Colorful List - Accent 12,Main numbered paragraph,Resume Title,Paragraph,Style 3"/>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unhideWhenUsed/>
    <w:rsid w:val="001B4738"/>
    <w:pPr>
      <w:spacing w:line="240" w:lineRule="auto"/>
    </w:pPr>
    <w:rPr>
      <w:sz w:val="20"/>
      <w:szCs w:val="20"/>
    </w:rPr>
  </w:style>
  <w:style w:type="character" w:customStyle="1" w:styleId="CommentaireCar">
    <w:name w:val="Commentaire Car"/>
    <w:basedOn w:val="Policepardfaut"/>
    <w:link w:val="Commentaire"/>
    <w:uiPriority w:val="99"/>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ind w:left="0"/>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References Car,List_Paragraph Car,Multilevel para_II Car,List Paragraph1 Car,Lapis Bulleted List Car,Citation List Car,List Paragraph (numbered (a)) Car,ReferencesCxSpLast Car,lp1 Car,Colorful List - Accent 12 Car,Paragraph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ind w:left="0"/>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Textedebulles">
    <w:name w:val="Balloon Text"/>
    <w:basedOn w:val="Normal"/>
    <w:link w:val="TextedebullesCar"/>
    <w:uiPriority w:val="99"/>
    <w:semiHidden/>
    <w:unhideWhenUsed/>
    <w:rsid w:val="009C3D4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C3D4D"/>
    <w:rPr>
      <w:rFonts w:ascii="Segoe UI" w:hAnsi="Segoe UI" w:cs="Segoe UI"/>
      <w:sz w:val="18"/>
      <w:szCs w:val="18"/>
    </w:rPr>
  </w:style>
  <w:style w:type="paragraph" w:styleId="NormalWeb">
    <w:name w:val="Normal (Web)"/>
    <w:basedOn w:val="Normal"/>
    <w:uiPriority w:val="99"/>
    <w:unhideWhenUsed/>
    <w:rsid w:val="00EA0E0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7D3345"/>
    <w:pPr>
      <w:spacing w:after="0" w:line="240" w:lineRule="auto"/>
    </w:pPr>
    <w:rPr>
      <w:sz w:val="24"/>
      <w:szCs w:val="24"/>
      <w:lang w:val="fr-BE"/>
    </w:rPr>
  </w:style>
  <w:style w:type="paragraph" w:styleId="Notedebasdepage">
    <w:name w:val="footnote text"/>
    <w:aliases w:val="Footnote Text Char1,Footnote Text Char Char,Char,single space,FOOTNOTES,fn,ALTS FOOTNOTE,Footnote Text Char2 Char,Footnote Text Char1 Char Char,Footnote Text Char2 Char Char Char,ft,Footnote Text Char1 Char Char Char Char,Fußnote"/>
    <w:basedOn w:val="Normal"/>
    <w:link w:val="NotedebasdepageCar"/>
    <w:uiPriority w:val="99"/>
    <w:unhideWhenUsed/>
    <w:qFormat/>
    <w:rsid w:val="007D3345"/>
    <w:pPr>
      <w:spacing w:after="0" w:line="240" w:lineRule="auto"/>
    </w:pPr>
    <w:rPr>
      <w:sz w:val="20"/>
      <w:szCs w:val="20"/>
      <w:lang w:val="fr-BE"/>
    </w:rPr>
  </w:style>
  <w:style w:type="character" w:customStyle="1" w:styleId="NotedebasdepageCar">
    <w:name w:val="Note de bas de page Car"/>
    <w:aliases w:val="Footnote Text Char1 Car,Footnote Text Char Char Car,Char Car,single space Car,FOOTNOTES Car,fn Car,ALTS FOOTNOTE Car,Footnote Text Char2 Char Car,Footnote Text Char1 Char Char Car,Footnote Text Char2 Char Char Char Car,ft Car"/>
    <w:basedOn w:val="Policepardfaut"/>
    <w:link w:val="Notedebasdepage"/>
    <w:uiPriority w:val="99"/>
    <w:rsid w:val="007D3345"/>
    <w:rPr>
      <w:sz w:val="20"/>
      <w:szCs w:val="20"/>
      <w:lang w:val="fr-BE"/>
    </w:rPr>
  </w:style>
  <w:style w:type="character" w:styleId="Appelnotedebasdep">
    <w:name w:val="footnote reference"/>
    <w:aliases w:val="BVI fnr,BVI fnr Car Car,BVI fnr Car,BVI fnr Car Car Car Car,BVI fnr Car Car Car Car Char,BVI fnr Car Car Car Car Char Char Char Char Char,BVI fnr Car Car Car Car Char Char,BVI fnr Char Car Car Car,ftref,BVI fnr Char, BVI fnr,Ref"/>
    <w:basedOn w:val="Policepardfaut"/>
    <w:link w:val="Char2"/>
    <w:uiPriority w:val="99"/>
    <w:unhideWhenUsed/>
    <w:qFormat/>
    <w:rsid w:val="007D3345"/>
    <w:rPr>
      <w:vertAlign w:val="superscript"/>
    </w:rPr>
  </w:style>
  <w:style w:type="paragraph" w:customStyle="1" w:styleId="Char2">
    <w:name w:val="Char2"/>
    <w:basedOn w:val="Normal"/>
    <w:link w:val="Appelnotedebasdep"/>
    <w:uiPriority w:val="99"/>
    <w:rsid w:val="007D3345"/>
    <w:pPr>
      <w:spacing w:after="0" w:line="240" w:lineRule="exact"/>
    </w:pPr>
    <w:rPr>
      <w:vertAlign w:val="superscript"/>
    </w:rPr>
  </w:style>
  <w:style w:type="paragraph" w:styleId="Corpsdetexte">
    <w:name w:val="Body Text"/>
    <w:basedOn w:val="Normal"/>
    <w:link w:val="CorpsdetexteCar"/>
    <w:uiPriority w:val="1"/>
    <w:qFormat/>
    <w:rsid w:val="00AE4B60"/>
    <w:pPr>
      <w:spacing w:after="0" w:line="240" w:lineRule="auto"/>
    </w:pPr>
    <w:rPr>
      <w:rFonts w:ascii="Times New Roman" w:eastAsia="Times New Roman" w:hAnsi="Times New Roman" w:cs="Times New Roman"/>
      <w:sz w:val="24"/>
      <w:szCs w:val="24"/>
      <w:lang w:val="fr-BE" w:eastAsia="fr-FR"/>
    </w:rPr>
  </w:style>
  <w:style w:type="character" w:customStyle="1" w:styleId="CorpsdetexteCar">
    <w:name w:val="Corps de texte Car"/>
    <w:basedOn w:val="Policepardfaut"/>
    <w:link w:val="Corpsdetexte"/>
    <w:uiPriority w:val="1"/>
    <w:rsid w:val="00AE4B60"/>
    <w:rPr>
      <w:rFonts w:ascii="Times New Roman" w:eastAsia="Times New Roman" w:hAnsi="Times New Roman" w:cs="Times New Roman"/>
      <w:sz w:val="24"/>
      <w:szCs w:val="24"/>
      <w:lang w:val="fr-BE" w:eastAsia="fr-FR"/>
    </w:rPr>
  </w:style>
  <w:style w:type="character" w:customStyle="1" w:styleId="normaltextrun">
    <w:name w:val="normaltextrun"/>
    <w:basedOn w:val="Policepardfaut"/>
    <w:rsid w:val="00E624B5"/>
  </w:style>
  <w:style w:type="character" w:customStyle="1" w:styleId="eop">
    <w:name w:val="eop"/>
    <w:basedOn w:val="Policepardfaut"/>
    <w:rsid w:val="00E624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11513">
      <w:bodyDiv w:val="1"/>
      <w:marLeft w:val="0"/>
      <w:marRight w:val="0"/>
      <w:marTop w:val="0"/>
      <w:marBottom w:val="0"/>
      <w:divBdr>
        <w:top w:val="none" w:sz="0" w:space="0" w:color="auto"/>
        <w:left w:val="none" w:sz="0" w:space="0" w:color="auto"/>
        <w:bottom w:val="none" w:sz="0" w:space="0" w:color="auto"/>
        <w:right w:val="none" w:sz="0" w:space="0" w:color="auto"/>
      </w:divBdr>
    </w:div>
    <w:div w:id="270746997">
      <w:bodyDiv w:val="1"/>
      <w:marLeft w:val="0"/>
      <w:marRight w:val="0"/>
      <w:marTop w:val="0"/>
      <w:marBottom w:val="0"/>
      <w:divBdr>
        <w:top w:val="none" w:sz="0" w:space="0" w:color="auto"/>
        <w:left w:val="none" w:sz="0" w:space="0" w:color="auto"/>
        <w:bottom w:val="none" w:sz="0" w:space="0" w:color="auto"/>
        <w:right w:val="none" w:sz="0" w:space="0" w:color="auto"/>
      </w:divBdr>
      <w:divsChild>
        <w:div w:id="139468098">
          <w:marLeft w:val="0"/>
          <w:marRight w:val="0"/>
          <w:marTop w:val="0"/>
          <w:marBottom w:val="0"/>
          <w:divBdr>
            <w:top w:val="none" w:sz="0" w:space="0" w:color="auto"/>
            <w:left w:val="none" w:sz="0" w:space="0" w:color="auto"/>
            <w:bottom w:val="none" w:sz="0" w:space="0" w:color="auto"/>
            <w:right w:val="none" w:sz="0" w:space="0" w:color="auto"/>
          </w:divBdr>
        </w:div>
      </w:divsChild>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533346368">
      <w:bodyDiv w:val="1"/>
      <w:marLeft w:val="0"/>
      <w:marRight w:val="0"/>
      <w:marTop w:val="0"/>
      <w:marBottom w:val="0"/>
      <w:divBdr>
        <w:top w:val="none" w:sz="0" w:space="0" w:color="auto"/>
        <w:left w:val="none" w:sz="0" w:space="0" w:color="auto"/>
        <w:bottom w:val="none" w:sz="0" w:space="0" w:color="auto"/>
        <w:right w:val="none" w:sz="0" w:space="0" w:color="auto"/>
      </w:divBdr>
    </w:div>
    <w:div w:id="566691059">
      <w:bodyDiv w:val="1"/>
      <w:marLeft w:val="0"/>
      <w:marRight w:val="0"/>
      <w:marTop w:val="0"/>
      <w:marBottom w:val="0"/>
      <w:divBdr>
        <w:top w:val="none" w:sz="0" w:space="0" w:color="auto"/>
        <w:left w:val="none" w:sz="0" w:space="0" w:color="auto"/>
        <w:bottom w:val="none" w:sz="0" w:space="0" w:color="auto"/>
        <w:right w:val="none" w:sz="0" w:space="0" w:color="auto"/>
      </w:divBdr>
      <w:divsChild>
        <w:div w:id="1974209417">
          <w:marLeft w:val="547"/>
          <w:marRight w:val="0"/>
          <w:marTop w:val="106"/>
          <w:marBottom w:val="0"/>
          <w:divBdr>
            <w:top w:val="none" w:sz="0" w:space="0" w:color="auto"/>
            <w:left w:val="none" w:sz="0" w:space="0" w:color="auto"/>
            <w:bottom w:val="none" w:sz="0" w:space="0" w:color="auto"/>
            <w:right w:val="none" w:sz="0" w:space="0" w:color="auto"/>
          </w:divBdr>
        </w:div>
      </w:divsChild>
    </w:div>
    <w:div w:id="754208463">
      <w:bodyDiv w:val="1"/>
      <w:marLeft w:val="0"/>
      <w:marRight w:val="0"/>
      <w:marTop w:val="0"/>
      <w:marBottom w:val="0"/>
      <w:divBdr>
        <w:top w:val="none" w:sz="0" w:space="0" w:color="auto"/>
        <w:left w:val="none" w:sz="0" w:space="0" w:color="auto"/>
        <w:bottom w:val="none" w:sz="0" w:space="0" w:color="auto"/>
        <w:right w:val="none" w:sz="0" w:space="0" w:color="auto"/>
      </w:divBdr>
    </w:div>
    <w:div w:id="942106906">
      <w:bodyDiv w:val="1"/>
      <w:marLeft w:val="0"/>
      <w:marRight w:val="0"/>
      <w:marTop w:val="0"/>
      <w:marBottom w:val="0"/>
      <w:divBdr>
        <w:top w:val="none" w:sz="0" w:space="0" w:color="auto"/>
        <w:left w:val="none" w:sz="0" w:space="0" w:color="auto"/>
        <w:bottom w:val="none" w:sz="0" w:space="0" w:color="auto"/>
        <w:right w:val="none" w:sz="0" w:space="0" w:color="auto"/>
      </w:divBdr>
    </w:div>
    <w:div w:id="1291548890">
      <w:bodyDiv w:val="1"/>
      <w:marLeft w:val="0"/>
      <w:marRight w:val="0"/>
      <w:marTop w:val="0"/>
      <w:marBottom w:val="0"/>
      <w:divBdr>
        <w:top w:val="none" w:sz="0" w:space="0" w:color="auto"/>
        <w:left w:val="none" w:sz="0" w:space="0" w:color="auto"/>
        <w:bottom w:val="none" w:sz="0" w:space="0" w:color="auto"/>
        <w:right w:val="none" w:sz="0" w:space="0" w:color="auto"/>
      </w:divBdr>
      <w:divsChild>
        <w:div w:id="544954743">
          <w:marLeft w:val="0"/>
          <w:marRight w:val="0"/>
          <w:marTop w:val="0"/>
          <w:marBottom w:val="0"/>
          <w:divBdr>
            <w:top w:val="none" w:sz="0" w:space="0" w:color="auto"/>
            <w:left w:val="none" w:sz="0" w:space="0" w:color="auto"/>
            <w:bottom w:val="none" w:sz="0" w:space="0" w:color="auto"/>
            <w:right w:val="none" w:sz="0" w:space="0" w:color="auto"/>
          </w:divBdr>
        </w:div>
      </w:divsChild>
    </w:div>
    <w:div w:id="1784496072">
      <w:bodyDiv w:val="1"/>
      <w:marLeft w:val="0"/>
      <w:marRight w:val="0"/>
      <w:marTop w:val="0"/>
      <w:marBottom w:val="0"/>
      <w:divBdr>
        <w:top w:val="none" w:sz="0" w:space="0" w:color="auto"/>
        <w:left w:val="none" w:sz="0" w:space="0" w:color="auto"/>
        <w:bottom w:val="none" w:sz="0" w:space="0" w:color="auto"/>
        <w:right w:val="none" w:sz="0" w:space="0" w:color="auto"/>
      </w:divBdr>
      <w:divsChild>
        <w:div w:id="1596130507">
          <w:marLeft w:val="0"/>
          <w:marRight w:val="0"/>
          <w:marTop w:val="0"/>
          <w:marBottom w:val="0"/>
          <w:divBdr>
            <w:top w:val="none" w:sz="0" w:space="0" w:color="auto"/>
            <w:left w:val="none" w:sz="0" w:space="0" w:color="auto"/>
            <w:bottom w:val="none" w:sz="0" w:space="0" w:color="auto"/>
            <w:right w:val="none" w:sz="0" w:space="0" w:color="auto"/>
          </w:divBdr>
          <w:divsChild>
            <w:div w:id="121122678">
              <w:marLeft w:val="0"/>
              <w:marRight w:val="0"/>
              <w:marTop w:val="0"/>
              <w:marBottom w:val="0"/>
              <w:divBdr>
                <w:top w:val="none" w:sz="0" w:space="0" w:color="auto"/>
                <w:left w:val="none" w:sz="0" w:space="0" w:color="auto"/>
                <w:bottom w:val="none" w:sz="0" w:space="0" w:color="auto"/>
                <w:right w:val="none" w:sz="0" w:space="0" w:color="auto"/>
              </w:divBdr>
              <w:divsChild>
                <w:div w:id="173277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553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0C5357-4E79-4291-9386-8F97FEA2C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1168</Words>
  <Characters>6072</Characters>
  <Application>Microsoft Office Word</Application>
  <DocSecurity>0</DocSecurity>
  <Lines>111</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Gilles RIBOUET</cp:lastModifiedBy>
  <cp:revision>3</cp:revision>
  <dcterms:created xsi:type="dcterms:W3CDTF">2026-04-22T10:53:00Z</dcterms:created>
  <dcterms:modified xsi:type="dcterms:W3CDTF">2026-04-22T10:53:00Z</dcterms:modified>
</cp:coreProperties>
</file>