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DF99279" w:rsidR="00EC22CC" w:rsidRDefault="001F0C27" w:rsidP="00854EEA">
            <w:pPr>
              <w:jc w:val="center"/>
              <w:rPr>
                <w:rFonts w:ascii="Verdana" w:hAnsi="Verdana"/>
                <w:b/>
                <w:bCs/>
                <w:sz w:val="20"/>
                <w:szCs w:val="20"/>
              </w:rPr>
            </w:pPr>
            <w:r>
              <w:rPr>
                <w:rFonts w:ascii="Verdana" w:hAnsi="Verdana"/>
                <w:b/>
                <w:bCs/>
                <w:sz w:val="20"/>
                <w:szCs w:val="20"/>
              </w:rPr>
              <w:t xml:space="preserve">Economie </w:t>
            </w:r>
            <w:r w:rsidR="000B6940">
              <w:rPr>
                <w:rFonts w:ascii="Verdana" w:hAnsi="Verdana"/>
                <w:b/>
                <w:bCs/>
                <w:sz w:val="20"/>
                <w:szCs w:val="20"/>
              </w:rPr>
              <w:t xml:space="preserve">bleue et </w:t>
            </w:r>
            <w:r>
              <w:rPr>
                <w:rFonts w:ascii="Verdana" w:hAnsi="Verdana"/>
                <w:b/>
                <w:bCs/>
                <w:sz w:val="20"/>
                <w:szCs w:val="20"/>
              </w:rPr>
              <w:t>circulaire</w:t>
            </w:r>
          </w:p>
        </w:tc>
      </w:tr>
      <w:tr w:rsidR="00EC22CC" w14:paraId="7F1B63D2" w14:textId="77777777" w:rsidTr="002A0933">
        <w:tc>
          <w:tcPr>
            <w:tcW w:w="7225" w:type="dxa"/>
          </w:tcPr>
          <w:p w14:paraId="056D9B10" w14:textId="29459BA3" w:rsidR="00EC22CC" w:rsidRPr="002A096E" w:rsidRDefault="00C65FD9" w:rsidP="002A096E">
            <w:pPr>
              <w:rPr>
                <w:rFonts w:ascii="Verdana" w:hAnsi="Verdana"/>
                <w:sz w:val="20"/>
                <w:szCs w:val="20"/>
              </w:rPr>
            </w:pPr>
            <w:r>
              <w:rPr>
                <w:rFonts w:ascii="Verdana" w:hAnsi="Verdana"/>
                <w:sz w:val="20"/>
                <w:szCs w:val="20"/>
              </w:rPr>
              <w:t xml:space="preserve">Comité des OPL 02/2026, Maurice </w:t>
            </w:r>
            <w:r w:rsidR="00F43FA3">
              <w:rPr>
                <w:rFonts w:ascii="Verdana" w:hAnsi="Verdana"/>
                <w:sz w:val="20"/>
                <w:szCs w:val="20"/>
              </w:rPr>
              <w:t>05-07</w:t>
            </w:r>
            <w:r w:rsidRPr="00E03FD0">
              <w:rPr>
                <w:rFonts w:ascii="Verdana" w:hAnsi="Verdana"/>
                <w:sz w:val="20"/>
                <w:szCs w:val="20"/>
              </w:rPr>
              <w:t xml:space="preserve"> mai 2026 </w:t>
            </w:r>
          </w:p>
        </w:tc>
        <w:tc>
          <w:tcPr>
            <w:tcW w:w="1837" w:type="dxa"/>
          </w:tcPr>
          <w:p w14:paraId="58E25D1F" w14:textId="7FAF7BDE" w:rsidR="00EC22CC" w:rsidRPr="002A0933" w:rsidRDefault="002A096E" w:rsidP="00854EEA">
            <w:pPr>
              <w:jc w:val="center"/>
              <w:rPr>
                <w:rFonts w:ascii="Verdana" w:hAnsi="Verdana"/>
                <w:sz w:val="20"/>
                <w:szCs w:val="20"/>
              </w:rPr>
            </w:pPr>
            <w:r w:rsidRPr="00AD1EC1">
              <w:rPr>
                <w:rFonts w:ascii="Verdana" w:hAnsi="Verdana"/>
                <w:sz w:val="20"/>
                <w:szCs w:val="20"/>
              </w:rPr>
              <w:t xml:space="preserve">Point </w:t>
            </w:r>
            <w:r w:rsidR="00AD1EC1">
              <w:rPr>
                <w:rFonts w:ascii="Verdana" w:hAnsi="Verdana"/>
                <w:sz w:val="20"/>
                <w:szCs w:val="20"/>
              </w:rPr>
              <w:t>2.</w:t>
            </w:r>
            <w:r w:rsidR="00286817">
              <w:rPr>
                <w:rFonts w:ascii="Verdana" w:hAnsi="Verdana"/>
                <w:sz w:val="20"/>
                <w:szCs w:val="20"/>
              </w:rPr>
              <w:t>5</w:t>
            </w:r>
          </w:p>
        </w:tc>
      </w:tr>
      <w:tr w:rsidR="00EC22CC" w14:paraId="537D1DE5" w14:textId="77777777" w:rsidTr="002A0933">
        <w:tc>
          <w:tcPr>
            <w:tcW w:w="7225" w:type="dxa"/>
          </w:tcPr>
          <w:p w14:paraId="43DEF09E" w14:textId="36A5F0B9"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6B416E" w:rsidRPr="006B416E">
              <w:rPr>
                <w:rFonts w:ascii="Verdana" w:hAnsi="Verdana"/>
                <w:sz w:val="20"/>
                <w:szCs w:val="20"/>
              </w:rPr>
              <w:t>Raj, MOHABEER</w:t>
            </w:r>
            <w:r w:rsidR="0018252D" w:rsidRPr="006B416E">
              <w:rPr>
                <w:rFonts w:ascii="Verdana" w:hAnsi="Verdana"/>
                <w:sz w:val="20"/>
                <w:szCs w:val="20"/>
              </w:rPr>
              <w:t xml:space="preserve">, </w:t>
            </w:r>
            <w:r w:rsidR="006B416E" w:rsidRPr="006B416E">
              <w:rPr>
                <w:rFonts w:ascii="Verdana" w:hAnsi="Verdana"/>
                <w:sz w:val="20"/>
                <w:szCs w:val="20"/>
              </w:rPr>
              <w:t>chargé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137B63C7" w:rsidR="00A90305" w:rsidRDefault="00A90305" w:rsidP="00A90305">
            <w:pPr>
              <w:rPr>
                <w:rFonts w:ascii="Verdana" w:hAnsi="Verdana"/>
                <w:sz w:val="20"/>
                <w:szCs w:val="20"/>
              </w:rPr>
            </w:pPr>
            <w:r>
              <w:rPr>
                <w:rFonts w:ascii="Verdana" w:hAnsi="Verdana"/>
                <w:i/>
                <w:iCs/>
                <w:sz w:val="20"/>
                <w:szCs w:val="20"/>
              </w:rPr>
              <w:t xml:space="preserve">Version du </w:t>
            </w:r>
            <w:r w:rsidR="00C65FD9">
              <w:rPr>
                <w:rFonts w:ascii="Verdana" w:hAnsi="Verdana"/>
                <w:i/>
                <w:iCs/>
                <w:sz w:val="20"/>
                <w:szCs w:val="20"/>
              </w:rPr>
              <w:t>19/04/2026</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15CE5961" w14:textId="45E8254C" w:rsidR="00B11F5E" w:rsidRDefault="003B2862" w:rsidP="00B11F5E">
      <w:pPr>
        <w:spacing w:after="120"/>
        <w:jc w:val="both"/>
        <w:rPr>
          <w:rFonts w:ascii="Verdana" w:hAnsi="Verdana" w:cs="Calibri"/>
          <w:sz w:val="20"/>
          <w:szCs w:val="20"/>
        </w:rPr>
      </w:pPr>
      <w:r w:rsidRPr="003B2862">
        <w:rPr>
          <w:rFonts w:ascii="Verdana" w:hAnsi="Verdana" w:cs="Calibri"/>
          <w:sz w:val="20"/>
          <w:szCs w:val="20"/>
        </w:rPr>
        <w:t>La transition vers un modèle d'économie circulaire offre des opportunités significatives aux pays d'Afrique et de l'océan Indien pour développer des économies florissantes tout en assurant leur durabilité environnementale et leur résilience à long terme</w:t>
      </w:r>
      <w:r>
        <w:rPr>
          <w:rFonts w:ascii="Verdana" w:hAnsi="Verdana" w:cs="Calibri"/>
          <w:sz w:val="20"/>
          <w:szCs w:val="20"/>
        </w:rPr>
        <w:t xml:space="preserve">. </w:t>
      </w:r>
      <w:r w:rsidRPr="00721142">
        <w:rPr>
          <w:rFonts w:ascii="Verdana" w:hAnsi="Verdana" w:cs="Calibri"/>
          <w:sz w:val="20"/>
          <w:szCs w:val="20"/>
        </w:rPr>
        <w:t xml:space="preserve">Le </w:t>
      </w:r>
      <w:r>
        <w:rPr>
          <w:rFonts w:ascii="Verdana" w:hAnsi="Verdana" w:cs="Calibri"/>
          <w:sz w:val="20"/>
          <w:szCs w:val="20"/>
        </w:rPr>
        <w:t>COPL 02-2023 du 21 et 22 novembre 2023</w:t>
      </w:r>
      <w:r w:rsidRPr="00721142">
        <w:rPr>
          <w:rFonts w:ascii="Verdana" w:hAnsi="Verdana" w:cs="Calibri"/>
          <w:sz w:val="20"/>
          <w:szCs w:val="20"/>
        </w:rPr>
        <w:t>, dans sa décision 7, a réaffirmé l’importance d</w:t>
      </w:r>
      <w:r>
        <w:rPr>
          <w:rFonts w:ascii="Verdana" w:hAnsi="Verdana" w:cs="Calibri"/>
          <w:sz w:val="20"/>
          <w:szCs w:val="20"/>
        </w:rPr>
        <w:t xml:space="preserve">’accélérer </w:t>
      </w:r>
      <w:r w:rsidRPr="00B11F5E">
        <w:rPr>
          <w:rFonts w:ascii="Verdana" w:hAnsi="Verdana" w:cs="Calibri"/>
          <w:sz w:val="20"/>
          <w:szCs w:val="20"/>
        </w:rPr>
        <w:t>le processus de la promotion de l’économie circulaire</w:t>
      </w:r>
      <w:r>
        <w:rPr>
          <w:rFonts w:ascii="Verdana" w:hAnsi="Verdana" w:cs="Calibri"/>
          <w:sz w:val="20"/>
          <w:szCs w:val="20"/>
        </w:rPr>
        <w:t xml:space="preserve">. </w:t>
      </w:r>
      <w:r w:rsidRPr="003B2862">
        <w:rPr>
          <w:rFonts w:ascii="Verdana" w:hAnsi="Verdana" w:cs="Calibri"/>
          <w:sz w:val="20"/>
          <w:szCs w:val="20"/>
        </w:rPr>
        <w:t xml:space="preserve">Cette priorité </w:t>
      </w:r>
      <w:r>
        <w:rPr>
          <w:rFonts w:ascii="Verdana" w:hAnsi="Verdana" w:cs="Calibri"/>
          <w:sz w:val="20"/>
          <w:szCs w:val="20"/>
        </w:rPr>
        <w:t>implique</w:t>
      </w:r>
      <w:r w:rsidRPr="003B2862">
        <w:rPr>
          <w:rFonts w:ascii="Verdana" w:hAnsi="Verdana" w:cs="Calibri"/>
          <w:sz w:val="20"/>
          <w:szCs w:val="20"/>
        </w:rPr>
        <w:t xml:space="preserve"> un renforcement du socle partenarial de la COI afin de les traduire en actions et résultats</w:t>
      </w:r>
      <w:r>
        <w:rPr>
          <w:rFonts w:ascii="Verdana" w:hAnsi="Verdana" w:cs="Calibri"/>
          <w:sz w:val="20"/>
          <w:szCs w:val="20"/>
        </w:rPr>
        <w:t xml:space="preserve">.  </w:t>
      </w:r>
    </w:p>
    <w:p w14:paraId="68009DDB" w14:textId="6AAD4F76" w:rsidR="0008468B" w:rsidRDefault="00955BB3" w:rsidP="00B11F5E">
      <w:pPr>
        <w:pStyle w:val="Titrepartie"/>
      </w:pPr>
      <w:r w:rsidRPr="0008468B">
        <w:t>Etat d’avancement</w:t>
      </w:r>
    </w:p>
    <w:p w14:paraId="7E198EC3" w14:textId="05C1E581" w:rsidR="00426673" w:rsidRDefault="00C635C3" w:rsidP="00236A45">
      <w:pPr>
        <w:spacing w:after="120"/>
        <w:jc w:val="both"/>
        <w:rPr>
          <w:rFonts w:ascii="Verdana" w:hAnsi="Verdana" w:cs="Calibri"/>
          <w:sz w:val="20"/>
          <w:szCs w:val="20"/>
        </w:rPr>
      </w:pPr>
      <w:r w:rsidRPr="00C635C3">
        <w:rPr>
          <w:rFonts w:ascii="Verdana" w:hAnsi="Verdana" w:cs="Calibri"/>
          <w:sz w:val="20"/>
          <w:szCs w:val="20"/>
        </w:rPr>
        <w:t xml:space="preserve">Conformément </w:t>
      </w:r>
      <w:r w:rsidR="00E93901">
        <w:rPr>
          <w:rFonts w:ascii="Verdana" w:hAnsi="Verdana" w:cs="Calibri"/>
          <w:sz w:val="20"/>
          <w:szCs w:val="20"/>
        </w:rPr>
        <w:t>à la</w:t>
      </w:r>
      <w:r w:rsidRPr="00C635C3">
        <w:rPr>
          <w:rFonts w:ascii="Verdana" w:hAnsi="Verdana" w:cs="Calibri"/>
          <w:sz w:val="20"/>
          <w:szCs w:val="20"/>
        </w:rPr>
        <w:t xml:space="preserve"> décision 10(a) d</w:t>
      </w:r>
      <w:r>
        <w:rPr>
          <w:rFonts w:ascii="Verdana" w:hAnsi="Verdana" w:cs="Calibri"/>
          <w:sz w:val="20"/>
          <w:szCs w:val="20"/>
        </w:rPr>
        <w:t>u COPL 02-2024, l</w:t>
      </w:r>
      <w:r w:rsidR="003B2862" w:rsidRPr="003B2862">
        <w:rPr>
          <w:rFonts w:ascii="Verdana" w:hAnsi="Verdana" w:cs="Calibri"/>
          <w:sz w:val="20"/>
          <w:szCs w:val="20"/>
        </w:rPr>
        <w:t xml:space="preserve">e Secrétariat général poursuit ses efforts de </w:t>
      </w:r>
      <w:r w:rsidR="00236A45">
        <w:rPr>
          <w:rFonts w:ascii="Verdana" w:hAnsi="Verdana" w:cs="Calibri"/>
          <w:sz w:val="20"/>
          <w:szCs w:val="20"/>
        </w:rPr>
        <w:t>développement</w:t>
      </w:r>
      <w:r w:rsidR="003B2862" w:rsidRPr="003B2862">
        <w:rPr>
          <w:rFonts w:ascii="Verdana" w:hAnsi="Verdana" w:cs="Calibri"/>
          <w:sz w:val="20"/>
          <w:szCs w:val="20"/>
        </w:rPr>
        <w:t xml:space="preserve"> de partenariat pour la mise en œuvre de</w:t>
      </w:r>
      <w:r w:rsidR="00B25DA2">
        <w:rPr>
          <w:rFonts w:ascii="Verdana" w:hAnsi="Verdana" w:cs="Calibri"/>
          <w:sz w:val="20"/>
          <w:szCs w:val="20"/>
        </w:rPr>
        <w:t xml:space="preserve">s priorités </w:t>
      </w:r>
      <w:r w:rsidR="00CD4906">
        <w:rPr>
          <w:rFonts w:ascii="Verdana" w:hAnsi="Verdana" w:cs="Calibri"/>
          <w:sz w:val="20"/>
          <w:szCs w:val="20"/>
        </w:rPr>
        <w:t xml:space="preserve">et recommandations issues de la </w:t>
      </w:r>
      <w:r w:rsidR="00512B71" w:rsidRPr="00512B71">
        <w:rPr>
          <w:rFonts w:ascii="Verdana" w:hAnsi="Verdana" w:cs="Calibri"/>
          <w:sz w:val="20"/>
          <w:szCs w:val="20"/>
        </w:rPr>
        <w:t>Conférence ministérielle « Blue Future sur l'économie bleue et l'action climatique en Afrique : les États insulaires et côtiers à l’avant-garde »,</w:t>
      </w:r>
      <w:r w:rsidR="00CD4906">
        <w:rPr>
          <w:rFonts w:ascii="Verdana" w:hAnsi="Verdana" w:cs="Calibri"/>
          <w:sz w:val="20"/>
          <w:szCs w:val="20"/>
        </w:rPr>
        <w:t xml:space="preserve"> organisée par la présidence comorienne en exercice de l’Union africaine en</w:t>
      </w:r>
      <w:r w:rsidR="00512B71" w:rsidRPr="00512B71">
        <w:rPr>
          <w:rFonts w:ascii="Verdana" w:hAnsi="Verdana" w:cs="Calibri"/>
          <w:sz w:val="20"/>
          <w:szCs w:val="20"/>
        </w:rPr>
        <w:t xml:space="preserve"> juin 2023 aux Comores</w:t>
      </w:r>
      <w:r w:rsidR="00512B71">
        <w:rPr>
          <w:rFonts w:ascii="Verdana" w:hAnsi="Verdana" w:cs="Calibri"/>
          <w:sz w:val="20"/>
          <w:szCs w:val="20"/>
        </w:rPr>
        <w:t xml:space="preserve">, et </w:t>
      </w:r>
      <w:r w:rsidR="00E82EB8">
        <w:rPr>
          <w:rFonts w:ascii="Verdana" w:hAnsi="Verdana" w:cs="Calibri"/>
          <w:sz w:val="20"/>
          <w:szCs w:val="20"/>
        </w:rPr>
        <w:t xml:space="preserve">de </w:t>
      </w:r>
      <w:r w:rsidR="00B25DA2">
        <w:rPr>
          <w:rFonts w:ascii="Verdana" w:hAnsi="Verdana" w:cs="Calibri"/>
          <w:sz w:val="20"/>
          <w:szCs w:val="20"/>
        </w:rPr>
        <w:t>la conférence ministérielle sur l’économie bleue et circulaire</w:t>
      </w:r>
      <w:r w:rsidR="00E82EB8">
        <w:rPr>
          <w:rFonts w:ascii="Verdana" w:hAnsi="Verdana" w:cs="Calibri"/>
          <w:sz w:val="20"/>
          <w:szCs w:val="20"/>
        </w:rPr>
        <w:t xml:space="preserve"> des Etats insulaires d’Afrique et de l’océan Indien de</w:t>
      </w:r>
      <w:r w:rsidR="00B25DA2">
        <w:rPr>
          <w:rFonts w:ascii="Verdana" w:hAnsi="Verdana" w:cs="Calibri"/>
          <w:sz w:val="20"/>
          <w:szCs w:val="20"/>
        </w:rPr>
        <w:t xml:space="preserve"> </w:t>
      </w:r>
      <w:r w:rsidR="003B2862" w:rsidRPr="003B2862">
        <w:rPr>
          <w:rFonts w:ascii="Verdana" w:hAnsi="Verdana" w:cs="Calibri"/>
          <w:sz w:val="20"/>
          <w:szCs w:val="20"/>
        </w:rPr>
        <w:t>septembre 2023</w:t>
      </w:r>
      <w:r w:rsidR="00512B71">
        <w:rPr>
          <w:rFonts w:ascii="Verdana" w:hAnsi="Verdana" w:cs="Calibri"/>
          <w:sz w:val="20"/>
          <w:szCs w:val="20"/>
        </w:rPr>
        <w:t xml:space="preserve"> à Maurice</w:t>
      </w:r>
      <w:r w:rsidR="003B2862" w:rsidRPr="003B2862">
        <w:rPr>
          <w:rFonts w:ascii="Verdana" w:hAnsi="Verdana" w:cs="Calibri"/>
          <w:sz w:val="20"/>
          <w:szCs w:val="20"/>
        </w:rPr>
        <w:t xml:space="preserve">.  </w:t>
      </w:r>
    </w:p>
    <w:p w14:paraId="08F4D629" w14:textId="1EC4224E" w:rsidR="000B6940" w:rsidRDefault="000B6940" w:rsidP="002C56ED">
      <w:pPr>
        <w:pStyle w:val="Sous-partie2"/>
      </w:pPr>
      <w:r>
        <w:t>Le plan d’action régional pour l’économie bleue de la COI (PAREB)</w:t>
      </w:r>
    </w:p>
    <w:p w14:paraId="5EB281C2" w14:textId="77777777" w:rsidR="00244512" w:rsidRDefault="00244512" w:rsidP="000B6940">
      <w:pPr>
        <w:pStyle w:val="Sous-partie2"/>
        <w:numPr>
          <w:ilvl w:val="0"/>
          <w:numId w:val="0"/>
        </w:numPr>
        <w:rPr>
          <w:color w:val="auto"/>
        </w:rPr>
      </w:pPr>
    </w:p>
    <w:p w14:paraId="27716D0C" w14:textId="5B477078" w:rsidR="007429E7" w:rsidRDefault="003975E7" w:rsidP="000B6940">
      <w:pPr>
        <w:pStyle w:val="Sous-partie2"/>
        <w:numPr>
          <w:ilvl w:val="0"/>
          <w:numId w:val="0"/>
        </w:numPr>
        <w:rPr>
          <w:color w:val="auto"/>
        </w:rPr>
      </w:pPr>
      <w:r>
        <w:rPr>
          <w:color w:val="auto"/>
        </w:rPr>
        <w:t>Le manque de moyen n’a pas permis une mise en œuvre du PAREB</w:t>
      </w:r>
      <w:r w:rsidR="007429E7">
        <w:rPr>
          <w:color w:val="auto"/>
        </w:rPr>
        <w:t xml:space="preserve"> 2019-2025</w:t>
      </w:r>
      <w:r>
        <w:rPr>
          <w:color w:val="auto"/>
        </w:rPr>
        <w:t>, même si le Secrétariat général a continué le plaidoyer envers l</w:t>
      </w:r>
      <w:r w:rsidR="000B6940">
        <w:rPr>
          <w:color w:val="auto"/>
        </w:rPr>
        <w:t>es partenaires</w:t>
      </w:r>
      <w:r w:rsidR="007429E7">
        <w:rPr>
          <w:color w:val="auto"/>
        </w:rPr>
        <w:t xml:space="preserve">. </w:t>
      </w:r>
    </w:p>
    <w:p w14:paraId="4AC87A69" w14:textId="77777777" w:rsidR="00244512" w:rsidRDefault="00244512" w:rsidP="000B6940">
      <w:pPr>
        <w:pStyle w:val="Sous-partie2"/>
        <w:numPr>
          <w:ilvl w:val="0"/>
          <w:numId w:val="0"/>
        </w:numPr>
        <w:rPr>
          <w:color w:val="auto"/>
        </w:rPr>
      </w:pPr>
    </w:p>
    <w:p w14:paraId="35193A5F" w14:textId="77777777" w:rsidR="00244512" w:rsidRDefault="00244512" w:rsidP="00244512">
      <w:pPr>
        <w:pStyle w:val="Sous-partie2"/>
        <w:numPr>
          <w:ilvl w:val="0"/>
          <w:numId w:val="0"/>
        </w:numPr>
        <w:rPr>
          <w:color w:val="auto"/>
        </w:rPr>
      </w:pPr>
      <w:r w:rsidRPr="00244512">
        <w:rPr>
          <w:color w:val="auto"/>
        </w:rPr>
        <w:t>Depuis août 2025, avec l’appui technique et financier de la Commission économique pour l’Afrique (CEA), le Secrétariat général a conduit un exercice de mise à jour. Celui-ci a permis de réorienter les priorités stratégiques afin de mieux intégrer les enjeux actuels, notamment les interactions entre la gouvernance des océans et l’économie bleue dans l’océan Indien. Il a également inclus une estimation des coûts des actions prioritaires proposées dans le plan révisé.</w:t>
      </w:r>
    </w:p>
    <w:p w14:paraId="72C1F97E" w14:textId="77777777" w:rsidR="00244512" w:rsidRPr="00244512" w:rsidRDefault="00244512" w:rsidP="00244512">
      <w:pPr>
        <w:pStyle w:val="Sous-partie2"/>
        <w:numPr>
          <w:ilvl w:val="0"/>
          <w:numId w:val="0"/>
        </w:numPr>
        <w:rPr>
          <w:color w:val="auto"/>
        </w:rPr>
      </w:pPr>
    </w:p>
    <w:p w14:paraId="0E492838" w14:textId="6C828C15" w:rsidR="00244512" w:rsidRPr="00244512" w:rsidRDefault="00244512" w:rsidP="00244512">
      <w:pPr>
        <w:pStyle w:val="Sous-partie2"/>
        <w:numPr>
          <w:ilvl w:val="0"/>
          <w:numId w:val="0"/>
        </w:numPr>
        <w:rPr>
          <w:color w:val="auto"/>
        </w:rPr>
      </w:pPr>
      <w:r w:rsidRPr="00244512">
        <w:rPr>
          <w:color w:val="auto"/>
        </w:rPr>
        <w:t>Cet exercice s’est appuyé sur la participation active des représentants désignés des États membres ainsi que des points focaux nationaux de l’économie bleue, à toutes les étapes de consultation, de concertation et de validation.</w:t>
      </w:r>
      <w:r>
        <w:rPr>
          <w:color w:val="auto"/>
        </w:rPr>
        <w:t xml:space="preserve"> </w:t>
      </w:r>
      <w:r w:rsidRPr="00244512">
        <w:rPr>
          <w:color w:val="auto"/>
        </w:rPr>
        <w:t>Le PAREB 2026-2030</w:t>
      </w:r>
      <w:r w:rsidR="009C0E98">
        <w:rPr>
          <w:color w:val="auto"/>
        </w:rPr>
        <w:t xml:space="preserve"> (Annexe 1)</w:t>
      </w:r>
      <w:r w:rsidRPr="00244512">
        <w:rPr>
          <w:color w:val="auto"/>
        </w:rPr>
        <w:t xml:space="preserve">, validé </w:t>
      </w:r>
      <w:r w:rsidR="007D52D0">
        <w:rPr>
          <w:color w:val="auto"/>
        </w:rPr>
        <w:t xml:space="preserve">d’un point de vue technique </w:t>
      </w:r>
      <w:r w:rsidRPr="00244512">
        <w:rPr>
          <w:color w:val="auto"/>
        </w:rPr>
        <w:t>en décembre 2025, a été transmis aux États membres pour une dernière série d’observations en février 2026. La version consolidée est désormais soumise à votre approbation.</w:t>
      </w:r>
    </w:p>
    <w:p w14:paraId="45905605" w14:textId="77777777" w:rsidR="00244512" w:rsidRDefault="00244512" w:rsidP="000B6940">
      <w:pPr>
        <w:pStyle w:val="Sous-partie2"/>
        <w:numPr>
          <w:ilvl w:val="0"/>
          <w:numId w:val="0"/>
        </w:numPr>
        <w:rPr>
          <w:color w:val="auto"/>
        </w:rPr>
      </w:pPr>
    </w:p>
    <w:p w14:paraId="46CAD44E" w14:textId="6877F29C" w:rsidR="000B6940" w:rsidRDefault="000B6940" w:rsidP="000B6940">
      <w:pPr>
        <w:pStyle w:val="Sous-partie2"/>
        <w:numPr>
          <w:ilvl w:val="0"/>
          <w:numId w:val="0"/>
        </w:numPr>
        <w:rPr>
          <w:color w:val="auto"/>
        </w:rPr>
      </w:pPr>
      <w:r>
        <w:rPr>
          <w:color w:val="auto"/>
        </w:rPr>
        <w:t xml:space="preserve">En outre, </w:t>
      </w:r>
      <w:r w:rsidR="00244512">
        <w:rPr>
          <w:color w:val="auto"/>
        </w:rPr>
        <w:t xml:space="preserve">la CEA accompagne le Secrétariat général dans la mobilisation des ressources auprès des partenaires pour la concrétisation immédiate des priorités du PAREB. </w:t>
      </w:r>
    </w:p>
    <w:p w14:paraId="7CC4A457" w14:textId="77777777" w:rsidR="00244512" w:rsidRPr="000B6940" w:rsidRDefault="00244512" w:rsidP="000B6940">
      <w:pPr>
        <w:pStyle w:val="Sous-partie2"/>
        <w:numPr>
          <w:ilvl w:val="0"/>
          <w:numId w:val="0"/>
        </w:numPr>
        <w:rPr>
          <w:color w:val="auto"/>
        </w:rPr>
      </w:pPr>
    </w:p>
    <w:p w14:paraId="3417435C" w14:textId="3DB8B684" w:rsidR="008F11E8" w:rsidRDefault="002905E7" w:rsidP="00502B59">
      <w:pPr>
        <w:pStyle w:val="Sous-partie2"/>
      </w:pPr>
      <w:r>
        <w:t>Un</w:t>
      </w:r>
      <w:r w:rsidR="00502B59" w:rsidRPr="00502B59">
        <w:t xml:space="preserve"> mécanisme régional de responsabilité élargie des producteurs (REP) </w:t>
      </w:r>
      <w:r w:rsidRPr="00502B59">
        <w:t>pour les pneus usagés et les emballages,</w:t>
      </w:r>
      <w:r>
        <w:t xml:space="preserve"> </w:t>
      </w:r>
      <w:r w:rsidR="00502B59" w:rsidRPr="00502B59">
        <w:t>pour les pays insulaires d'Afrique et de l'océan Indien</w:t>
      </w:r>
    </w:p>
    <w:p w14:paraId="3169B85C" w14:textId="2FC8D717" w:rsidR="008C4BAA" w:rsidRPr="008C4BAA" w:rsidRDefault="008C4BAA" w:rsidP="008C4BAA">
      <w:pPr>
        <w:pStyle w:val="Sous-partie2"/>
        <w:numPr>
          <w:ilvl w:val="0"/>
          <w:numId w:val="0"/>
        </w:numPr>
        <w:rPr>
          <w:color w:val="auto"/>
        </w:rPr>
      </w:pPr>
      <w:r w:rsidRPr="008C4BAA">
        <w:rPr>
          <w:color w:val="auto"/>
        </w:rPr>
        <w:t>Dans la continuité des actions engagées depuis 2024, le Secrétariat général, en partenariat avec Common Seas, a organisé un atelier de cadrage, suivi d’une consultation des principales parties prenantes. Celles-ci incluaient les acteurs clés de la plateforme public-privée régionale dédiée à la promotion des chaînes de valeur des déchets, ainsi que les points focaux nationaux REP désignés par les États membres</w:t>
      </w:r>
      <w:r>
        <w:rPr>
          <w:color w:val="auto"/>
        </w:rPr>
        <w:t xml:space="preserve">, des représentants des projets régionaux complémentaires, notamment le projet EXPLOI, ISLANDS </w:t>
      </w:r>
      <w:proofErr w:type="spellStart"/>
      <w:r>
        <w:rPr>
          <w:color w:val="auto"/>
        </w:rPr>
        <w:t>project</w:t>
      </w:r>
      <w:proofErr w:type="spellEnd"/>
      <w:r>
        <w:rPr>
          <w:color w:val="auto"/>
        </w:rPr>
        <w:t>, …</w:t>
      </w:r>
    </w:p>
    <w:p w14:paraId="3FD280A8" w14:textId="77777777" w:rsidR="008C4BAA" w:rsidRPr="008C4BAA" w:rsidRDefault="008C4BAA" w:rsidP="008C4BAA">
      <w:pPr>
        <w:pStyle w:val="Sous-partie2"/>
        <w:numPr>
          <w:ilvl w:val="0"/>
          <w:numId w:val="0"/>
        </w:numPr>
        <w:rPr>
          <w:color w:val="auto"/>
        </w:rPr>
      </w:pPr>
    </w:p>
    <w:p w14:paraId="10EABAE9" w14:textId="77777777" w:rsidR="008C4BAA" w:rsidRDefault="008C4BAA" w:rsidP="008C4BAA">
      <w:pPr>
        <w:pStyle w:val="Sous-partie2"/>
        <w:numPr>
          <w:ilvl w:val="0"/>
          <w:numId w:val="0"/>
        </w:numPr>
        <w:rPr>
          <w:color w:val="auto"/>
        </w:rPr>
      </w:pPr>
      <w:r w:rsidRPr="008C4BAA">
        <w:rPr>
          <w:color w:val="auto"/>
        </w:rPr>
        <w:t>Ces échanges ont permis d’élaborer les termes de référence de l’étude de faisabilité relative à la mise en place d’une approche régionale de la responsabilité élargie des producteurs (REP) pour les déchets d’emballages plastiques. Le lancement de cette étude est prévu pour mai 2026.</w:t>
      </w:r>
    </w:p>
    <w:p w14:paraId="652555CE" w14:textId="46F04AB9" w:rsidR="008C4BAA" w:rsidRDefault="008C4BAA" w:rsidP="008C4BAA">
      <w:pPr>
        <w:pStyle w:val="Sous-partie2"/>
        <w:numPr>
          <w:ilvl w:val="0"/>
          <w:numId w:val="0"/>
        </w:numPr>
        <w:tabs>
          <w:tab w:val="left" w:pos="3810"/>
        </w:tabs>
        <w:rPr>
          <w:color w:val="auto"/>
        </w:rPr>
      </w:pPr>
      <w:r>
        <w:rPr>
          <w:color w:val="auto"/>
        </w:rPr>
        <w:tab/>
      </w:r>
    </w:p>
    <w:p w14:paraId="4C8E4EAE" w14:textId="2FCED2E6" w:rsidR="008C4BAA" w:rsidRDefault="008C4BAA" w:rsidP="008C4BAA">
      <w:pPr>
        <w:pStyle w:val="Sous-partie2"/>
        <w:numPr>
          <w:ilvl w:val="0"/>
          <w:numId w:val="0"/>
        </w:numPr>
        <w:tabs>
          <w:tab w:val="left" w:pos="3810"/>
        </w:tabs>
        <w:rPr>
          <w:color w:val="auto"/>
        </w:rPr>
      </w:pPr>
      <w:r>
        <w:rPr>
          <w:color w:val="auto"/>
        </w:rPr>
        <w:t xml:space="preserve">En outre, </w:t>
      </w:r>
      <w:r w:rsidR="000A3622">
        <w:rPr>
          <w:color w:val="auto"/>
        </w:rPr>
        <w:t>dans la poursuite des échanges initiés depuis 2025,</w:t>
      </w:r>
      <w:r w:rsidR="00D41FB8">
        <w:rPr>
          <w:color w:val="auto"/>
        </w:rPr>
        <w:t xml:space="preserve"> en marge de l’atelier </w:t>
      </w:r>
      <w:r w:rsidR="00D41FB8" w:rsidRPr="00D41FB8">
        <w:rPr>
          <w:color w:val="auto"/>
        </w:rPr>
        <w:t>d</w:t>
      </w:r>
      <w:r w:rsidR="00D41FB8">
        <w:rPr>
          <w:color w:val="auto"/>
        </w:rPr>
        <w:t>e l</w:t>
      </w:r>
      <w:r w:rsidR="00D41FB8" w:rsidRPr="00D41FB8">
        <w:rPr>
          <w:color w:val="auto"/>
        </w:rPr>
        <w:t xml:space="preserve">’Afrique de l’Est sur la gestion des déchets et l’économie circulaire, </w:t>
      </w:r>
      <w:r w:rsidR="00D41FB8">
        <w:rPr>
          <w:color w:val="auto"/>
        </w:rPr>
        <w:t xml:space="preserve">organisé par l’UNOSD en avril 225 à Antananarivo, elle </w:t>
      </w:r>
      <w:r>
        <w:rPr>
          <w:color w:val="auto"/>
        </w:rPr>
        <w:t xml:space="preserve">a répondu favorablement à la requête du Secrétariat </w:t>
      </w:r>
      <w:r w:rsidR="00D41FB8">
        <w:rPr>
          <w:color w:val="auto"/>
        </w:rPr>
        <w:t>général en date de janvier 2026, pour l’accompagnement de la COI dans l’accélération d</w:t>
      </w:r>
      <w:r w:rsidR="00C92E23">
        <w:rPr>
          <w:color w:val="auto"/>
        </w:rPr>
        <w:t>’un</w:t>
      </w:r>
      <w:r w:rsidR="00D41FB8">
        <w:rPr>
          <w:color w:val="auto"/>
        </w:rPr>
        <w:t xml:space="preserve">e transition vers l’économie circulaire, notamment </w:t>
      </w:r>
      <w:r w:rsidR="00DC710D">
        <w:rPr>
          <w:color w:val="auto"/>
        </w:rPr>
        <w:t>dans :</w:t>
      </w:r>
    </w:p>
    <w:p w14:paraId="1575A07A" w14:textId="77777777" w:rsidR="00D41FB8" w:rsidRDefault="00D41FB8" w:rsidP="008C4BAA">
      <w:pPr>
        <w:pStyle w:val="Sous-partie2"/>
        <w:numPr>
          <w:ilvl w:val="0"/>
          <w:numId w:val="0"/>
        </w:numPr>
        <w:tabs>
          <w:tab w:val="left" w:pos="3810"/>
        </w:tabs>
        <w:rPr>
          <w:color w:val="auto"/>
        </w:rPr>
      </w:pPr>
    </w:p>
    <w:p w14:paraId="7ED57ED6" w14:textId="262548DC" w:rsidR="00D41FB8" w:rsidRPr="00D41FB8" w:rsidRDefault="00DC710D" w:rsidP="00DC710D">
      <w:pPr>
        <w:pStyle w:val="Sous-partie2"/>
        <w:numPr>
          <w:ilvl w:val="0"/>
          <w:numId w:val="42"/>
        </w:numPr>
        <w:tabs>
          <w:tab w:val="left" w:pos="3810"/>
        </w:tabs>
        <w:rPr>
          <w:color w:val="auto"/>
        </w:rPr>
      </w:pPr>
      <w:r w:rsidRPr="00D41FB8">
        <w:rPr>
          <w:color w:val="auto"/>
        </w:rPr>
        <w:t>Le</w:t>
      </w:r>
      <w:r w:rsidR="00D41FB8" w:rsidRPr="00D41FB8">
        <w:rPr>
          <w:color w:val="auto"/>
        </w:rPr>
        <w:t xml:space="preserve"> développement et la mise en œuvre d’une plateforme numérique régionale sur la</w:t>
      </w:r>
      <w:r>
        <w:rPr>
          <w:color w:val="auto"/>
        </w:rPr>
        <w:t xml:space="preserve"> </w:t>
      </w:r>
      <w:r w:rsidR="00D41FB8" w:rsidRPr="00D41FB8">
        <w:rPr>
          <w:color w:val="auto"/>
        </w:rPr>
        <w:t>gestion des déchets et l’économie circulaire pour les déchets de pneus, les déchets électroniques et les emballages ;</w:t>
      </w:r>
    </w:p>
    <w:p w14:paraId="5F6FD52C" w14:textId="76C73C17" w:rsidR="00D41FB8" w:rsidRPr="00D41FB8" w:rsidRDefault="00DC710D" w:rsidP="00DC710D">
      <w:pPr>
        <w:pStyle w:val="Sous-partie2"/>
        <w:numPr>
          <w:ilvl w:val="0"/>
          <w:numId w:val="42"/>
        </w:numPr>
        <w:tabs>
          <w:tab w:val="left" w:pos="3810"/>
        </w:tabs>
        <w:rPr>
          <w:color w:val="auto"/>
        </w:rPr>
      </w:pPr>
      <w:r w:rsidRPr="00D41FB8">
        <w:rPr>
          <w:color w:val="auto"/>
        </w:rPr>
        <w:t>La</w:t>
      </w:r>
      <w:r w:rsidR="00D41FB8" w:rsidRPr="00D41FB8">
        <w:rPr>
          <w:color w:val="auto"/>
        </w:rPr>
        <w:t xml:space="preserve"> mise en place d’une architecture régionale intégrée pour la gestion des déchets et l’économie circulaire dans les chaînes de valeur ciblées ; et</w:t>
      </w:r>
    </w:p>
    <w:p w14:paraId="6E3865C8" w14:textId="7D35178A" w:rsidR="00D41FB8" w:rsidRDefault="00DC710D" w:rsidP="00DC710D">
      <w:pPr>
        <w:pStyle w:val="Sous-partie2"/>
        <w:numPr>
          <w:ilvl w:val="0"/>
          <w:numId w:val="42"/>
        </w:numPr>
        <w:tabs>
          <w:tab w:val="left" w:pos="3810"/>
        </w:tabs>
        <w:rPr>
          <w:color w:val="auto"/>
        </w:rPr>
      </w:pPr>
      <w:r w:rsidRPr="00D41FB8">
        <w:rPr>
          <w:color w:val="auto"/>
        </w:rPr>
        <w:t>L’organisation</w:t>
      </w:r>
      <w:r w:rsidR="00D41FB8" w:rsidRPr="00D41FB8">
        <w:rPr>
          <w:color w:val="auto"/>
        </w:rPr>
        <w:t xml:space="preserve"> d’un atelier régional à l’intention des États membres de la COI, consacré à la gestion des déchets, à la gouvernance des données et à l’économie circulaire.</w:t>
      </w:r>
    </w:p>
    <w:p w14:paraId="2F7F5914" w14:textId="18112782" w:rsidR="00955BB3" w:rsidRPr="0008468B" w:rsidRDefault="00955BB3" w:rsidP="008C4BAA">
      <w:pPr>
        <w:pStyle w:val="Titrepartie"/>
      </w:pPr>
      <w:r w:rsidRPr="0008468B">
        <w:t>Proposition de décision</w:t>
      </w:r>
    </w:p>
    <w:p w14:paraId="05F1F967" w14:textId="1F40FACF" w:rsidR="0008468B" w:rsidRPr="004F5C4B" w:rsidRDefault="0008468B" w:rsidP="00FE285D">
      <w:pPr>
        <w:pStyle w:val="Paragraphe"/>
      </w:pPr>
      <w:r w:rsidRPr="004F5C4B">
        <w:t>Le Comité des OPL</w:t>
      </w:r>
      <w:r w:rsidR="00777426">
        <w:t xml:space="preserve"> </w:t>
      </w:r>
      <w:r w:rsidR="00A76B07">
        <w:t>:</w:t>
      </w:r>
    </w:p>
    <w:p w14:paraId="68BC2637" w14:textId="7FD65C11" w:rsidR="00F75D76" w:rsidRDefault="00F75D76" w:rsidP="00CB679A">
      <w:pPr>
        <w:pStyle w:val="Paragraphe"/>
        <w:numPr>
          <w:ilvl w:val="0"/>
          <w:numId w:val="6"/>
        </w:numPr>
      </w:pPr>
      <w:r>
        <w:t>Prend note d</w:t>
      </w:r>
      <w:r w:rsidR="008C4BAA">
        <w:t xml:space="preserve">es avancées dans la promotion de la mise en place d’une approche régionale de la </w:t>
      </w:r>
      <w:r w:rsidR="003F773D">
        <w:t>responsabilité élargie des producteurs (</w:t>
      </w:r>
      <w:r w:rsidR="008C4BAA">
        <w:t>REP</w:t>
      </w:r>
      <w:r w:rsidR="003F773D">
        <w:t>)</w:t>
      </w:r>
      <w:r w:rsidR="008C4BAA">
        <w:t xml:space="preserve"> pour les déchets d’emballages plastiques, en collaboration </w:t>
      </w:r>
      <w:r w:rsidR="00BC1317">
        <w:t>avec</w:t>
      </w:r>
      <w:r>
        <w:t xml:space="preserve"> COMMON SEAS pour la mise en œuvre de la feuille de route du mécanisme REP régional des déchets pneumatiques et emballages.</w:t>
      </w:r>
    </w:p>
    <w:p w14:paraId="5982B799" w14:textId="713D9CBF" w:rsidR="00DC710D" w:rsidRDefault="00DC710D" w:rsidP="00CB679A">
      <w:pPr>
        <w:pStyle w:val="Paragraphe"/>
        <w:numPr>
          <w:ilvl w:val="0"/>
          <w:numId w:val="6"/>
        </w:numPr>
      </w:pPr>
      <w:r>
        <w:t>Prend note de l’évolution positive de la collaboration avec l’UNOSD et mandate le Secréta</w:t>
      </w:r>
      <w:r w:rsidR="003F773D">
        <w:t>riat</w:t>
      </w:r>
      <w:r>
        <w:t xml:space="preserve"> général à initier les actions pour :</w:t>
      </w:r>
    </w:p>
    <w:p w14:paraId="14BD624B" w14:textId="7ED4E484" w:rsidR="00DC710D" w:rsidRDefault="00DC710D" w:rsidP="00DC710D">
      <w:pPr>
        <w:pStyle w:val="Paragraphe"/>
        <w:numPr>
          <w:ilvl w:val="1"/>
          <w:numId w:val="38"/>
        </w:numPr>
      </w:pPr>
      <w:r w:rsidRPr="00DC710D">
        <w:t>Le développement et la mise en œuvre d’une plateforme numérique régionale sur la gestion des déchets et l’économie circulaire pour les déchets de pneus, les déchets électroniques et les emballages ;</w:t>
      </w:r>
    </w:p>
    <w:p w14:paraId="3A206F3C" w14:textId="5D6193FA" w:rsidR="00DC710D" w:rsidRDefault="00DC710D" w:rsidP="00DC710D">
      <w:pPr>
        <w:pStyle w:val="Paragraphe"/>
        <w:numPr>
          <w:ilvl w:val="1"/>
          <w:numId w:val="38"/>
        </w:numPr>
      </w:pPr>
      <w:r>
        <w:t>La</w:t>
      </w:r>
      <w:r w:rsidRPr="00DC710D">
        <w:t xml:space="preserve"> mise en place d’une architecture régionale intégrée pour la gestion des déchets et l’économie circulaire dans les chaînes de valeur ciblées ; et</w:t>
      </w:r>
    </w:p>
    <w:p w14:paraId="022ACCE8" w14:textId="0AF5C783" w:rsidR="00DC710D" w:rsidRDefault="00DC710D" w:rsidP="00DC710D">
      <w:pPr>
        <w:pStyle w:val="Paragraphe"/>
        <w:numPr>
          <w:ilvl w:val="1"/>
          <w:numId w:val="38"/>
        </w:numPr>
      </w:pPr>
      <w:r w:rsidRPr="00DC710D">
        <w:t>L’organisation d’un atelier régional à l’intention des États membres de la COI, consacré à la gestion des déchets, à la gouvernance des données et à l’économie circulaire.</w:t>
      </w:r>
    </w:p>
    <w:p w14:paraId="26B62C21" w14:textId="77777777" w:rsidR="000B11E4" w:rsidRDefault="009B2F20" w:rsidP="00981447">
      <w:pPr>
        <w:pStyle w:val="Paragraphe"/>
        <w:numPr>
          <w:ilvl w:val="0"/>
          <w:numId w:val="6"/>
        </w:numPr>
      </w:pPr>
      <w:r>
        <w:t>Recommande au Conseil des ministres d</w:t>
      </w:r>
      <w:r w:rsidR="000B11E4">
        <w:t xml:space="preserve">e : </w:t>
      </w:r>
    </w:p>
    <w:p w14:paraId="2FF3546A" w14:textId="3AC5755E" w:rsidR="00D00158" w:rsidRDefault="000B11E4" w:rsidP="00FC41C2">
      <w:pPr>
        <w:pStyle w:val="Paragraphe"/>
        <w:numPr>
          <w:ilvl w:val="1"/>
          <w:numId w:val="38"/>
        </w:numPr>
      </w:pPr>
      <w:r>
        <w:t>A</w:t>
      </w:r>
      <w:r w:rsidR="009B2F20">
        <w:t xml:space="preserve">pprouver le plan d’action régional de l’économie </w:t>
      </w:r>
      <w:r w:rsidR="00DC710D">
        <w:t>bleue de la COI 2026-2030</w:t>
      </w:r>
    </w:p>
    <w:p w14:paraId="0F636653" w14:textId="77777777" w:rsidR="00F75D76" w:rsidRDefault="00F75D76" w:rsidP="00F75D76">
      <w:pPr>
        <w:pStyle w:val="Paragraphe"/>
        <w:ind w:left="1440"/>
      </w:pPr>
    </w:p>
    <w:p w14:paraId="7EAEB404" w14:textId="72ACB4A7" w:rsidR="00955BB3" w:rsidRDefault="00955BB3" w:rsidP="00FE285D">
      <w:pPr>
        <w:pStyle w:val="Titrepartie"/>
      </w:pPr>
      <w:r w:rsidRPr="0008468B">
        <w:t>Rappel des décisions antérieures</w:t>
      </w:r>
    </w:p>
    <w:p w14:paraId="588EFFF8" w14:textId="77777777" w:rsidR="00DC710D" w:rsidRPr="0008468B" w:rsidRDefault="00DC710D" w:rsidP="00DC710D">
      <w:pPr>
        <w:pStyle w:val="Titrepartie"/>
        <w:numPr>
          <w:ilvl w:val="0"/>
          <w:numId w:val="0"/>
        </w:numPr>
        <w:ind w:left="720"/>
      </w:pPr>
    </w:p>
    <w:bookmarkEnd w:id="0"/>
    <w:p w14:paraId="1D6F1669" w14:textId="72833CAD" w:rsidR="00417683" w:rsidRPr="0008468B" w:rsidRDefault="00417683" w:rsidP="00060CA0">
      <w:pPr>
        <w:pStyle w:val="Titrepartie"/>
      </w:pPr>
      <w:r w:rsidRPr="0008468B">
        <w:t>Annexe</w:t>
      </w:r>
      <w:r w:rsidR="008F173C" w:rsidRPr="0008468B">
        <w:t>s</w:t>
      </w:r>
      <w:r w:rsidRPr="0008468B">
        <w:t> :</w:t>
      </w:r>
    </w:p>
    <w:p w14:paraId="649B8179" w14:textId="38749BCB" w:rsidR="00614A8F" w:rsidRPr="00550977" w:rsidRDefault="00620B90" w:rsidP="00614A8F">
      <w:pPr>
        <w:pStyle w:val="Paragraphe"/>
        <w:numPr>
          <w:ilvl w:val="0"/>
          <w:numId w:val="9"/>
        </w:numPr>
      </w:pPr>
      <w:r>
        <w:t>Annexe 1 </w:t>
      </w:r>
      <w:r w:rsidR="0055059B">
        <w:t xml:space="preserve">: </w:t>
      </w:r>
      <w:r w:rsidR="00614A8F">
        <w:t>Le</w:t>
      </w:r>
      <w:r w:rsidR="00614A8F" w:rsidRPr="00550977">
        <w:t xml:space="preserve"> </w:t>
      </w:r>
      <w:r w:rsidR="003622C4">
        <w:t>P</w:t>
      </w:r>
      <w:r w:rsidR="00DC710D">
        <w:t>AREB 2026-2030</w:t>
      </w:r>
    </w:p>
    <w:p w14:paraId="7F019825" w14:textId="456F48EE" w:rsidR="00AB6C58" w:rsidRPr="00961E12" w:rsidRDefault="00614A8F" w:rsidP="00CA5DF1">
      <w:pPr>
        <w:pStyle w:val="Paragraphe"/>
        <w:numPr>
          <w:ilvl w:val="0"/>
          <w:numId w:val="9"/>
        </w:numPr>
      </w:pPr>
      <w:r>
        <w:t>Annexe 2 :</w:t>
      </w:r>
      <w:r w:rsidR="00DC710D">
        <w:t xml:space="preserve"> Les TDR de l’étude de faisabilité de la mise en place de la REP régionale des déchets d’emballage plastique dans la région de l’océan Indien</w:t>
      </w:r>
    </w:p>
    <w:sectPr w:rsidR="00AB6C58" w:rsidRPr="00961E12"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B4F7" w14:textId="77777777" w:rsidR="00AA07FD" w:rsidRDefault="00AA07FD">
      <w:pPr>
        <w:spacing w:after="0" w:line="240" w:lineRule="auto"/>
      </w:pPr>
      <w:r>
        <w:separator/>
      </w:r>
    </w:p>
  </w:endnote>
  <w:endnote w:type="continuationSeparator" w:id="0">
    <w:p w14:paraId="6B849006" w14:textId="77777777" w:rsidR="00AA07FD" w:rsidRDefault="00AA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E034" w14:textId="77777777" w:rsidR="00AA07FD" w:rsidRDefault="00AA07FD">
      <w:pPr>
        <w:spacing w:after="0" w:line="240" w:lineRule="auto"/>
      </w:pPr>
      <w:r>
        <w:separator/>
      </w:r>
    </w:p>
  </w:footnote>
  <w:footnote w:type="continuationSeparator" w:id="0">
    <w:p w14:paraId="08EC2F9E" w14:textId="77777777" w:rsidR="00AA07FD" w:rsidRDefault="00AA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D72ADC2" w:rsidR="00AA63A3" w:rsidRDefault="00854EEA" w:rsidP="00E527C0">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AD1EC1">
      <w:rPr>
        <w:rFonts w:ascii="Verdana" w:hAnsi="Verdana"/>
        <w:b/>
        <w:bCs/>
        <w:sz w:val="20"/>
        <w:szCs w:val="20"/>
      </w:rPr>
      <w:t xml:space="preserve">Point. </w:t>
    </w:r>
    <w:r w:rsidR="00AD1EC1">
      <w:rPr>
        <w:rFonts w:ascii="Verdana" w:hAnsi="Verdana"/>
        <w:b/>
        <w:bCs/>
        <w:sz w:val="20"/>
        <w:szCs w:val="20"/>
      </w:rPr>
      <w:t>2.</w:t>
    </w:r>
    <w:r w:rsidR="00C65FD9">
      <w:rPr>
        <w:rFonts w:ascii="Verdana" w:hAnsi="Verdana"/>
        <w:b/>
        <w:b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11746E"/>
    <w:multiLevelType w:val="hybridMultilevel"/>
    <w:tmpl w:val="DAC8BF5C"/>
    <w:lvl w:ilvl="0" w:tplc="7F600106">
      <w:numFmt w:val="bullet"/>
      <w:lvlText w:val="-"/>
      <w:lvlJc w:val="left"/>
      <w:pPr>
        <w:ind w:left="360" w:hanging="360"/>
      </w:pPr>
      <w:rPr>
        <w:rFonts w:ascii="Trebuchet MS" w:eastAsiaTheme="minorHAnsi" w:hAnsi="Trebuchet M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774A96"/>
    <w:multiLevelType w:val="hybridMultilevel"/>
    <w:tmpl w:val="2258FD90"/>
    <w:lvl w:ilvl="0" w:tplc="7F600106">
      <w:numFmt w:val="bullet"/>
      <w:lvlText w:val="-"/>
      <w:lvlJc w:val="left"/>
      <w:pPr>
        <w:ind w:left="720" w:hanging="360"/>
      </w:pPr>
      <w:rPr>
        <w:rFonts w:ascii="Trebuchet MS" w:eastAsiaTheme="minorHAnsi" w:hAnsi="Trebuchet MS"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52C6603"/>
    <w:multiLevelType w:val="hybridMultilevel"/>
    <w:tmpl w:val="F6244796"/>
    <w:lvl w:ilvl="0" w:tplc="C5E80D92">
      <w:numFmt w:val="bullet"/>
      <w:lvlText w:val="-"/>
      <w:lvlJc w:val="left"/>
      <w:pPr>
        <w:ind w:left="1065" w:hanging="705"/>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921374B"/>
    <w:multiLevelType w:val="hybridMultilevel"/>
    <w:tmpl w:val="BEF8A430"/>
    <w:lvl w:ilvl="0" w:tplc="C4DCC608">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77718C"/>
    <w:multiLevelType w:val="hybridMultilevel"/>
    <w:tmpl w:val="C346DC64"/>
    <w:lvl w:ilvl="0" w:tplc="FFFFFFFF">
      <w:start w:val="1"/>
      <w:numFmt w:val="lowerLetter"/>
      <w:lvlText w:val="%1)"/>
      <w:lvlJc w:val="left"/>
      <w:pPr>
        <w:ind w:left="720" w:hanging="360"/>
      </w:pPr>
    </w:lvl>
    <w:lvl w:ilvl="1" w:tplc="CD443798">
      <w:start w:val="1"/>
      <w:numFmt w:val="lowerRoman"/>
      <w:lvlText w:val="%2)"/>
      <w:lvlJc w:val="left"/>
      <w:pPr>
        <w:ind w:left="1440" w:hanging="360"/>
      </w:pPr>
      <w:rPr>
        <w:rFonts w:ascii="Verdana" w:eastAsiaTheme="minorHAnsi" w:hAnsi="Verdana"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7"/>
  </w:num>
  <w:num w:numId="2" w16cid:durableId="730155708">
    <w:abstractNumId w:val="19"/>
  </w:num>
  <w:num w:numId="3" w16cid:durableId="1226992778">
    <w:abstractNumId w:val="4"/>
  </w:num>
  <w:num w:numId="4" w16cid:durableId="131143113">
    <w:abstractNumId w:val="0"/>
  </w:num>
  <w:num w:numId="5" w16cid:durableId="2012178635">
    <w:abstractNumId w:val="17"/>
  </w:num>
  <w:num w:numId="6" w16cid:durableId="758718310">
    <w:abstractNumId w:val="6"/>
  </w:num>
  <w:num w:numId="7" w16cid:durableId="1547988449">
    <w:abstractNumId w:val="8"/>
  </w:num>
  <w:num w:numId="8" w16cid:durableId="1117337497">
    <w:abstractNumId w:val="4"/>
    <w:lvlOverride w:ilvl="0">
      <w:startOverride w:val="1"/>
    </w:lvlOverride>
  </w:num>
  <w:num w:numId="9" w16cid:durableId="1107774655">
    <w:abstractNumId w:val="3"/>
  </w:num>
  <w:num w:numId="10" w16cid:durableId="1865903141">
    <w:abstractNumId w:val="1"/>
  </w:num>
  <w:num w:numId="11" w16cid:durableId="409931527">
    <w:abstractNumId w:val="4"/>
  </w:num>
  <w:num w:numId="12" w16cid:durableId="1956594569">
    <w:abstractNumId w:val="16"/>
  </w:num>
  <w:num w:numId="13" w16cid:durableId="568005613">
    <w:abstractNumId w:val="10"/>
  </w:num>
  <w:num w:numId="14" w16cid:durableId="1140994487">
    <w:abstractNumId w:val="4"/>
  </w:num>
  <w:num w:numId="15" w16cid:durableId="752436064">
    <w:abstractNumId w:val="13"/>
  </w:num>
  <w:num w:numId="16" w16cid:durableId="1242790777">
    <w:abstractNumId w:val="4"/>
  </w:num>
  <w:num w:numId="17" w16cid:durableId="1205292131">
    <w:abstractNumId w:val="12"/>
  </w:num>
  <w:num w:numId="18" w16cid:durableId="1190029721">
    <w:abstractNumId w:val="15"/>
  </w:num>
  <w:num w:numId="19" w16cid:durableId="800463630">
    <w:abstractNumId w:val="18"/>
  </w:num>
  <w:num w:numId="20" w16cid:durableId="1661227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4"/>
  </w:num>
  <w:num w:numId="22" w16cid:durableId="132063604">
    <w:abstractNumId w:val="2"/>
  </w:num>
  <w:num w:numId="23" w16cid:durableId="1913083392">
    <w:abstractNumId w:val="21"/>
  </w:num>
  <w:num w:numId="24" w16cid:durableId="1078208974">
    <w:abstractNumId w:val="4"/>
  </w:num>
  <w:num w:numId="25" w16cid:durableId="1617759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4"/>
  </w:num>
  <w:num w:numId="27" w16cid:durableId="1180200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4"/>
  </w:num>
  <w:num w:numId="29" w16cid:durableId="1274897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4"/>
  </w:num>
  <w:num w:numId="31" w16cid:durableId="844828479">
    <w:abstractNumId w:val="4"/>
  </w:num>
  <w:num w:numId="32" w16cid:durableId="35737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30148">
    <w:abstractNumId w:val="4"/>
  </w:num>
  <w:num w:numId="34" w16cid:durableId="1964535627">
    <w:abstractNumId w:val="4"/>
  </w:num>
  <w:num w:numId="35" w16cid:durableId="1942836215">
    <w:abstractNumId w:val="4"/>
  </w:num>
  <w:num w:numId="36" w16cid:durableId="948665145">
    <w:abstractNumId w:val="5"/>
  </w:num>
  <w:num w:numId="37" w16cid:durableId="1005477789">
    <w:abstractNumId w:val="11"/>
  </w:num>
  <w:num w:numId="38" w16cid:durableId="1331635234">
    <w:abstractNumId w:val="20"/>
  </w:num>
  <w:num w:numId="39" w16cid:durableId="453250628">
    <w:abstractNumId w:val="4"/>
  </w:num>
  <w:num w:numId="40" w16cid:durableId="1098939680">
    <w:abstractNumId w:val="4"/>
  </w:num>
  <w:num w:numId="41" w16cid:durableId="230623729">
    <w:abstractNumId w:val="4"/>
  </w:num>
  <w:num w:numId="42" w16cid:durableId="1394236906">
    <w:abstractNumId w:val="9"/>
  </w:num>
  <w:num w:numId="43" w16cid:durableId="690179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6D35"/>
    <w:rsid w:val="000373B2"/>
    <w:rsid w:val="00042CF5"/>
    <w:rsid w:val="00060CA0"/>
    <w:rsid w:val="00063A26"/>
    <w:rsid w:val="0007029A"/>
    <w:rsid w:val="00082823"/>
    <w:rsid w:val="0008468B"/>
    <w:rsid w:val="000A3622"/>
    <w:rsid w:val="000A468A"/>
    <w:rsid w:val="000B0FBD"/>
    <w:rsid w:val="000B11E4"/>
    <w:rsid w:val="000B489A"/>
    <w:rsid w:val="000B5884"/>
    <w:rsid w:val="000B6940"/>
    <w:rsid w:val="000F4728"/>
    <w:rsid w:val="00100667"/>
    <w:rsid w:val="00107D9D"/>
    <w:rsid w:val="00117B4E"/>
    <w:rsid w:val="00117F1A"/>
    <w:rsid w:val="00150C9A"/>
    <w:rsid w:val="00164615"/>
    <w:rsid w:val="00171522"/>
    <w:rsid w:val="001744D7"/>
    <w:rsid w:val="0018252D"/>
    <w:rsid w:val="00194998"/>
    <w:rsid w:val="001A56F1"/>
    <w:rsid w:val="001B3F3A"/>
    <w:rsid w:val="001B4738"/>
    <w:rsid w:val="001D2ACA"/>
    <w:rsid w:val="001F0C27"/>
    <w:rsid w:val="001F6CDE"/>
    <w:rsid w:val="00203609"/>
    <w:rsid w:val="0020446F"/>
    <w:rsid w:val="00217D63"/>
    <w:rsid w:val="00236A45"/>
    <w:rsid w:val="00244512"/>
    <w:rsid w:val="002573FA"/>
    <w:rsid w:val="0026279A"/>
    <w:rsid w:val="00262F52"/>
    <w:rsid w:val="00265437"/>
    <w:rsid w:val="002764E2"/>
    <w:rsid w:val="00286817"/>
    <w:rsid w:val="002905E7"/>
    <w:rsid w:val="002A0933"/>
    <w:rsid w:val="002A096E"/>
    <w:rsid w:val="002C2E3F"/>
    <w:rsid w:val="002C56ED"/>
    <w:rsid w:val="002D37CC"/>
    <w:rsid w:val="002D3C5B"/>
    <w:rsid w:val="002E590C"/>
    <w:rsid w:val="002F10DA"/>
    <w:rsid w:val="00345C92"/>
    <w:rsid w:val="00354CE2"/>
    <w:rsid w:val="003604B9"/>
    <w:rsid w:val="003622C4"/>
    <w:rsid w:val="003772FB"/>
    <w:rsid w:val="00391152"/>
    <w:rsid w:val="00391D47"/>
    <w:rsid w:val="003975E7"/>
    <w:rsid w:val="003A0D37"/>
    <w:rsid w:val="003B2862"/>
    <w:rsid w:val="003B4B20"/>
    <w:rsid w:val="003C2538"/>
    <w:rsid w:val="003D485F"/>
    <w:rsid w:val="003D5328"/>
    <w:rsid w:val="003F16E6"/>
    <w:rsid w:val="003F6A7D"/>
    <w:rsid w:val="003F773D"/>
    <w:rsid w:val="0040307F"/>
    <w:rsid w:val="0041278C"/>
    <w:rsid w:val="00417683"/>
    <w:rsid w:val="00422748"/>
    <w:rsid w:val="0042468B"/>
    <w:rsid w:val="00426673"/>
    <w:rsid w:val="00435784"/>
    <w:rsid w:val="00441824"/>
    <w:rsid w:val="00444C58"/>
    <w:rsid w:val="004478C3"/>
    <w:rsid w:val="004607F7"/>
    <w:rsid w:val="00485E88"/>
    <w:rsid w:val="00491466"/>
    <w:rsid w:val="00495AF0"/>
    <w:rsid w:val="004D1F09"/>
    <w:rsid w:val="004F5C4B"/>
    <w:rsid w:val="00502B59"/>
    <w:rsid w:val="00512B71"/>
    <w:rsid w:val="0053773D"/>
    <w:rsid w:val="00544F07"/>
    <w:rsid w:val="0055059B"/>
    <w:rsid w:val="00550977"/>
    <w:rsid w:val="005725B7"/>
    <w:rsid w:val="005813A2"/>
    <w:rsid w:val="0058689F"/>
    <w:rsid w:val="005A52D1"/>
    <w:rsid w:val="005B3A11"/>
    <w:rsid w:val="005C1713"/>
    <w:rsid w:val="005E217A"/>
    <w:rsid w:val="00614A8F"/>
    <w:rsid w:val="00620B90"/>
    <w:rsid w:val="00627329"/>
    <w:rsid w:val="006356AF"/>
    <w:rsid w:val="006548BF"/>
    <w:rsid w:val="00660504"/>
    <w:rsid w:val="00663459"/>
    <w:rsid w:val="0067468C"/>
    <w:rsid w:val="0069014A"/>
    <w:rsid w:val="00690C42"/>
    <w:rsid w:val="00696720"/>
    <w:rsid w:val="006B416E"/>
    <w:rsid w:val="006E2D9E"/>
    <w:rsid w:val="00721142"/>
    <w:rsid w:val="007429E7"/>
    <w:rsid w:val="0077195E"/>
    <w:rsid w:val="00774A1D"/>
    <w:rsid w:val="00776B0C"/>
    <w:rsid w:val="00777426"/>
    <w:rsid w:val="007B245C"/>
    <w:rsid w:val="007C0735"/>
    <w:rsid w:val="007C78FC"/>
    <w:rsid w:val="007D52D0"/>
    <w:rsid w:val="007E2BB5"/>
    <w:rsid w:val="007F3CE9"/>
    <w:rsid w:val="0080295F"/>
    <w:rsid w:val="00803332"/>
    <w:rsid w:val="00810A2C"/>
    <w:rsid w:val="00812361"/>
    <w:rsid w:val="00816DAC"/>
    <w:rsid w:val="00822CE0"/>
    <w:rsid w:val="00823B65"/>
    <w:rsid w:val="00827004"/>
    <w:rsid w:val="0083290E"/>
    <w:rsid w:val="008372E0"/>
    <w:rsid w:val="00843FF2"/>
    <w:rsid w:val="008453AB"/>
    <w:rsid w:val="00854EEA"/>
    <w:rsid w:val="008551DA"/>
    <w:rsid w:val="0085656C"/>
    <w:rsid w:val="008623C9"/>
    <w:rsid w:val="00870EF1"/>
    <w:rsid w:val="008C4BAA"/>
    <w:rsid w:val="008D193F"/>
    <w:rsid w:val="008D6EA7"/>
    <w:rsid w:val="008E3D59"/>
    <w:rsid w:val="008F11E8"/>
    <w:rsid w:val="008F173C"/>
    <w:rsid w:val="00932A80"/>
    <w:rsid w:val="00937B52"/>
    <w:rsid w:val="00955BB3"/>
    <w:rsid w:val="00961E12"/>
    <w:rsid w:val="00981447"/>
    <w:rsid w:val="009A38AD"/>
    <w:rsid w:val="009A565A"/>
    <w:rsid w:val="009B0DE6"/>
    <w:rsid w:val="009B2F20"/>
    <w:rsid w:val="009B2F57"/>
    <w:rsid w:val="009C0E98"/>
    <w:rsid w:val="009F3C0F"/>
    <w:rsid w:val="009F496C"/>
    <w:rsid w:val="009F75C8"/>
    <w:rsid w:val="00A10495"/>
    <w:rsid w:val="00A148A1"/>
    <w:rsid w:val="00A36C09"/>
    <w:rsid w:val="00A37C9F"/>
    <w:rsid w:val="00A516F9"/>
    <w:rsid w:val="00A609F8"/>
    <w:rsid w:val="00A65270"/>
    <w:rsid w:val="00A70123"/>
    <w:rsid w:val="00A75936"/>
    <w:rsid w:val="00A76B07"/>
    <w:rsid w:val="00A81B98"/>
    <w:rsid w:val="00A90305"/>
    <w:rsid w:val="00A97E6D"/>
    <w:rsid w:val="00AA07FD"/>
    <w:rsid w:val="00AA63A3"/>
    <w:rsid w:val="00AB5308"/>
    <w:rsid w:val="00AB5EB7"/>
    <w:rsid w:val="00AB6C58"/>
    <w:rsid w:val="00AB7F34"/>
    <w:rsid w:val="00AC144A"/>
    <w:rsid w:val="00AD1EC1"/>
    <w:rsid w:val="00AD4D97"/>
    <w:rsid w:val="00AE2453"/>
    <w:rsid w:val="00AE2695"/>
    <w:rsid w:val="00AF4AE1"/>
    <w:rsid w:val="00AF509B"/>
    <w:rsid w:val="00B03531"/>
    <w:rsid w:val="00B05DFC"/>
    <w:rsid w:val="00B11F5E"/>
    <w:rsid w:val="00B25DA2"/>
    <w:rsid w:val="00B36EEA"/>
    <w:rsid w:val="00B5101B"/>
    <w:rsid w:val="00B81BAA"/>
    <w:rsid w:val="00B8535E"/>
    <w:rsid w:val="00B95D3F"/>
    <w:rsid w:val="00BA4B55"/>
    <w:rsid w:val="00BB368C"/>
    <w:rsid w:val="00BB4F9A"/>
    <w:rsid w:val="00BC1317"/>
    <w:rsid w:val="00BD5927"/>
    <w:rsid w:val="00C12C93"/>
    <w:rsid w:val="00C14FA2"/>
    <w:rsid w:val="00C26D0E"/>
    <w:rsid w:val="00C325F5"/>
    <w:rsid w:val="00C457E8"/>
    <w:rsid w:val="00C609B9"/>
    <w:rsid w:val="00C635C3"/>
    <w:rsid w:val="00C65FD9"/>
    <w:rsid w:val="00C92E23"/>
    <w:rsid w:val="00CB2BBA"/>
    <w:rsid w:val="00CB679A"/>
    <w:rsid w:val="00CD4906"/>
    <w:rsid w:val="00CE2386"/>
    <w:rsid w:val="00CE4290"/>
    <w:rsid w:val="00CF6E0E"/>
    <w:rsid w:val="00D00158"/>
    <w:rsid w:val="00D14691"/>
    <w:rsid w:val="00D20D13"/>
    <w:rsid w:val="00D25219"/>
    <w:rsid w:val="00D32E49"/>
    <w:rsid w:val="00D41FB8"/>
    <w:rsid w:val="00D47564"/>
    <w:rsid w:val="00D53346"/>
    <w:rsid w:val="00D657AE"/>
    <w:rsid w:val="00DC710D"/>
    <w:rsid w:val="00E10479"/>
    <w:rsid w:val="00E17FF8"/>
    <w:rsid w:val="00E3047A"/>
    <w:rsid w:val="00E31D44"/>
    <w:rsid w:val="00E32408"/>
    <w:rsid w:val="00E34CAE"/>
    <w:rsid w:val="00E3648C"/>
    <w:rsid w:val="00E415A2"/>
    <w:rsid w:val="00E463B3"/>
    <w:rsid w:val="00E527C0"/>
    <w:rsid w:val="00E52E01"/>
    <w:rsid w:val="00E57F4E"/>
    <w:rsid w:val="00E71669"/>
    <w:rsid w:val="00E82EB8"/>
    <w:rsid w:val="00E845D4"/>
    <w:rsid w:val="00E93901"/>
    <w:rsid w:val="00EC22CC"/>
    <w:rsid w:val="00EC2430"/>
    <w:rsid w:val="00ED1576"/>
    <w:rsid w:val="00ED6B69"/>
    <w:rsid w:val="00EE34F4"/>
    <w:rsid w:val="00EE38B2"/>
    <w:rsid w:val="00EE5DDC"/>
    <w:rsid w:val="00EF22A4"/>
    <w:rsid w:val="00F0674E"/>
    <w:rsid w:val="00F124E6"/>
    <w:rsid w:val="00F43FA3"/>
    <w:rsid w:val="00F50B20"/>
    <w:rsid w:val="00F50B52"/>
    <w:rsid w:val="00F51D7B"/>
    <w:rsid w:val="00F54EA0"/>
    <w:rsid w:val="00F75D76"/>
    <w:rsid w:val="00F86E4C"/>
    <w:rsid w:val="00F96EE9"/>
    <w:rsid w:val="00FA5668"/>
    <w:rsid w:val="00FB4683"/>
    <w:rsid w:val="00FC41C2"/>
    <w:rsid w:val="00FD747C"/>
    <w:rsid w:val="00FE2366"/>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Rvision">
    <w:name w:val="Revision"/>
    <w:hidden/>
    <w:uiPriority w:val="99"/>
    <w:semiHidden/>
    <w:rsid w:val="00117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930</Words>
  <Characters>5024</Characters>
  <Application>Microsoft Office Word</Application>
  <DocSecurity>0</DocSecurity>
  <Lines>100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13</cp:revision>
  <dcterms:created xsi:type="dcterms:W3CDTF">2025-11-04T16:25:00Z</dcterms:created>
  <dcterms:modified xsi:type="dcterms:W3CDTF">2026-04-22T07:47:00Z</dcterms:modified>
</cp:coreProperties>
</file>