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DC76009" w:rsidR="00EC22CC" w:rsidRDefault="0091069C" w:rsidP="00854EEA">
            <w:pPr>
              <w:jc w:val="center"/>
              <w:rPr>
                <w:rFonts w:ascii="Verdana" w:hAnsi="Verdana"/>
                <w:b/>
                <w:bCs/>
                <w:sz w:val="20"/>
                <w:szCs w:val="20"/>
              </w:rPr>
            </w:pPr>
            <w:r>
              <w:rPr>
                <w:rFonts w:ascii="Verdana" w:hAnsi="Verdana"/>
                <w:b/>
                <w:bCs/>
                <w:sz w:val="20"/>
                <w:szCs w:val="20"/>
              </w:rPr>
              <w:t xml:space="preserve">Coopération </w:t>
            </w:r>
            <w:r w:rsidR="00637AEE">
              <w:rPr>
                <w:rFonts w:ascii="Verdana" w:hAnsi="Verdana"/>
                <w:b/>
                <w:bCs/>
                <w:sz w:val="20"/>
                <w:szCs w:val="20"/>
              </w:rPr>
              <w:t xml:space="preserve">économique </w:t>
            </w:r>
            <w:r w:rsidR="00E03FD0">
              <w:rPr>
                <w:rFonts w:ascii="Verdana" w:hAnsi="Verdana"/>
                <w:b/>
                <w:bCs/>
                <w:sz w:val="20"/>
                <w:szCs w:val="20"/>
              </w:rPr>
              <w:t>et connectivité</w:t>
            </w:r>
          </w:p>
        </w:tc>
      </w:tr>
      <w:tr w:rsidR="00EC22CC" w14:paraId="7F1B63D2" w14:textId="77777777" w:rsidTr="002A0933">
        <w:tc>
          <w:tcPr>
            <w:tcW w:w="7225" w:type="dxa"/>
          </w:tcPr>
          <w:p w14:paraId="056D9B10" w14:textId="6961A0FA" w:rsidR="00EC22CC" w:rsidRPr="002A096E" w:rsidRDefault="006B416E" w:rsidP="00E03FD0">
            <w:pPr>
              <w:rPr>
                <w:rFonts w:ascii="Verdana" w:hAnsi="Verdana"/>
                <w:sz w:val="20"/>
                <w:szCs w:val="20"/>
              </w:rPr>
            </w:pPr>
            <w:r>
              <w:rPr>
                <w:rFonts w:ascii="Verdana" w:hAnsi="Verdana"/>
                <w:sz w:val="20"/>
                <w:szCs w:val="20"/>
              </w:rPr>
              <w:t>Comité des OPL 0</w:t>
            </w:r>
            <w:r w:rsidR="00057162">
              <w:rPr>
                <w:rFonts w:ascii="Verdana" w:hAnsi="Verdana"/>
                <w:sz w:val="20"/>
                <w:szCs w:val="20"/>
              </w:rPr>
              <w:t>2</w:t>
            </w:r>
            <w:r>
              <w:rPr>
                <w:rFonts w:ascii="Verdana" w:hAnsi="Verdana"/>
                <w:sz w:val="20"/>
                <w:szCs w:val="20"/>
              </w:rPr>
              <w:t>/202</w:t>
            </w:r>
            <w:r w:rsidR="00E03FD0">
              <w:rPr>
                <w:rFonts w:ascii="Verdana" w:hAnsi="Verdana"/>
                <w:sz w:val="20"/>
                <w:szCs w:val="20"/>
              </w:rPr>
              <w:t>6</w:t>
            </w:r>
            <w:r>
              <w:rPr>
                <w:rFonts w:ascii="Verdana" w:hAnsi="Verdana"/>
                <w:sz w:val="20"/>
                <w:szCs w:val="20"/>
              </w:rPr>
              <w:t xml:space="preserve">, Maurice </w:t>
            </w:r>
            <w:r w:rsidR="00E63F6D">
              <w:rPr>
                <w:rFonts w:ascii="Verdana" w:hAnsi="Verdana"/>
                <w:sz w:val="20"/>
                <w:szCs w:val="20"/>
              </w:rPr>
              <w:t>05-07</w:t>
            </w:r>
            <w:r w:rsidR="00E03FD0" w:rsidRPr="00E03FD0">
              <w:rPr>
                <w:rFonts w:ascii="Verdana" w:hAnsi="Verdana"/>
                <w:sz w:val="20"/>
                <w:szCs w:val="20"/>
              </w:rPr>
              <w:t xml:space="preserve"> mai 2026 </w:t>
            </w:r>
          </w:p>
        </w:tc>
        <w:tc>
          <w:tcPr>
            <w:tcW w:w="1837" w:type="dxa"/>
          </w:tcPr>
          <w:p w14:paraId="58E25D1F" w14:textId="3A0B7AD3" w:rsidR="00EC22CC" w:rsidRPr="002A0933" w:rsidRDefault="002A096E" w:rsidP="00854EEA">
            <w:pPr>
              <w:jc w:val="center"/>
              <w:rPr>
                <w:rFonts w:ascii="Verdana" w:hAnsi="Verdana"/>
                <w:sz w:val="20"/>
                <w:szCs w:val="20"/>
              </w:rPr>
            </w:pPr>
            <w:r w:rsidRPr="00AD1EC1">
              <w:rPr>
                <w:rFonts w:ascii="Verdana" w:hAnsi="Verdana"/>
                <w:sz w:val="20"/>
                <w:szCs w:val="20"/>
              </w:rPr>
              <w:t xml:space="preserve">Point </w:t>
            </w:r>
            <w:r w:rsidR="00BB0817">
              <w:rPr>
                <w:rFonts w:ascii="Verdana" w:hAnsi="Verdana"/>
                <w:sz w:val="20"/>
                <w:szCs w:val="20"/>
              </w:rPr>
              <w:t>2.</w:t>
            </w:r>
            <w:r w:rsidR="00E03FD0">
              <w:rPr>
                <w:rFonts w:ascii="Verdana" w:hAnsi="Verdana"/>
                <w:sz w:val="20"/>
                <w:szCs w:val="20"/>
              </w:rPr>
              <w:t>4</w:t>
            </w:r>
          </w:p>
        </w:tc>
      </w:tr>
      <w:tr w:rsidR="00EC22CC" w14:paraId="537D1DE5" w14:textId="77777777" w:rsidTr="002A0933">
        <w:tc>
          <w:tcPr>
            <w:tcW w:w="7225"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41AE2CE2" w:rsidR="00A90305" w:rsidRDefault="00A90305" w:rsidP="00A90305">
            <w:pPr>
              <w:rPr>
                <w:rFonts w:ascii="Verdana" w:hAnsi="Verdana"/>
                <w:sz w:val="20"/>
                <w:szCs w:val="20"/>
              </w:rPr>
            </w:pPr>
            <w:r>
              <w:rPr>
                <w:rFonts w:ascii="Verdana" w:hAnsi="Verdana"/>
                <w:i/>
                <w:iCs/>
                <w:sz w:val="20"/>
                <w:szCs w:val="20"/>
              </w:rPr>
              <w:t xml:space="preserve">Version du </w:t>
            </w:r>
            <w:r w:rsidR="00E03FD0">
              <w:rPr>
                <w:rFonts w:ascii="Verdana" w:hAnsi="Verdana"/>
                <w:i/>
                <w:iCs/>
                <w:sz w:val="20"/>
                <w:szCs w:val="20"/>
              </w:rPr>
              <w:t>18/04/2026</w:t>
            </w:r>
          </w:p>
        </w:tc>
      </w:tr>
    </w:tbl>
    <w:p w14:paraId="1611BCC4" w14:textId="77777777" w:rsidR="00854EEA" w:rsidRPr="00F66740" w:rsidRDefault="00854EEA" w:rsidP="00816DAC">
      <w:pPr>
        <w:pStyle w:val="Paragraphe"/>
        <w:rPr>
          <w:sz w:val="6"/>
          <w:szCs w:val="6"/>
        </w:rPr>
      </w:pPr>
      <w:bookmarkStart w:id="0" w:name="_Hlk24535240"/>
    </w:p>
    <w:p w14:paraId="678F0DFC" w14:textId="3923B394" w:rsidR="00854EEA" w:rsidRDefault="00955BB3" w:rsidP="00A70123">
      <w:pPr>
        <w:pStyle w:val="Titrepartie"/>
      </w:pPr>
      <w:r w:rsidRPr="0008468B">
        <w:t>Résumé</w:t>
      </w:r>
    </w:p>
    <w:p w14:paraId="52DDF623" w14:textId="77777777" w:rsidR="0091069C" w:rsidRDefault="0091069C" w:rsidP="0091069C">
      <w:pPr>
        <w:pStyle w:val="Titrepartie"/>
        <w:numPr>
          <w:ilvl w:val="0"/>
          <w:numId w:val="0"/>
        </w:numPr>
      </w:pPr>
    </w:p>
    <w:p w14:paraId="53709D15" w14:textId="27C3E809" w:rsidR="002837C0" w:rsidRPr="00BB0817" w:rsidRDefault="00D1782C" w:rsidP="002837C0">
      <w:pPr>
        <w:pStyle w:val="Titrepartie"/>
        <w:numPr>
          <w:ilvl w:val="0"/>
          <w:numId w:val="0"/>
        </w:numPr>
        <w:rPr>
          <w:b w:val="0"/>
          <w:bCs w:val="0"/>
          <w:color w:val="auto"/>
          <w:sz w:val="20"/>
        </w:rPr>
      </w:pPr>
      <w:r>
        <w:rPr>
          <w:b w:val="0"/>
          <w:bCs w:val="0"/>
          <w:color w:val="auto"/>
          <w:sz w:val="20"/>
        </w:rPr>
        <w:t>En cohérence avec le P</w:t>
      </w:r>
      <w:r w:rsidR="00BB0817">
        <w:rPr>
          <w:b w:val="0"/>
          <w:bCs w:val="0"/>
          <w:color w:val="auto"/>
          <w:sz w:val="20"/>
        </w:rPr>
        <w:t>lan de développement stratégique 2023-2033</w:t>
      </w:r>
      <w:r>
        <w:rPr>
          <w:b w:val="0"/>
          <w:bCs w:val="0"/>
          <w:color w:val="auto"/>
          <w:sz w:val="20"/>
        </w:rPr>
        <w:t xml:space="preserve"> – axe 2</w:t>
      </w:r>
      <w:r w:rsidR="00BB0817">
        <w:rPr>
          <w:b w:val="0"/>
          <w:bCs w:val="0"/>
          <w:color w:val="auto"/>
          <w:sz w:val="20"/>
        </w:rPr>
        <w:t>, en faveur d’</w:t>
      </w:r>
      <w:r w:rsidR="0091069C" w:rsidRPr="0091069C">
        <w:rPr>
          <w:b w:val="0"/>
          <w:bCs w:val="0"/>
          <w:color w:val="auto"/>
          <w:sz w:val="20"/>
        </w:rPr>
        <w:t xml:space="preserve">une Indianocéanie de développement économique intégré, durable et innovant, </w:t>
      </w:r>
      <w:r w:rsidR="00806CEC">
        <w:rPr>
          <w:b w:val="0"/>
          <w:bCs w:val="0"/>
          <w:color w:val="auto"/>
          <w:sz w:val="20"/>
        </w:rPr>
        <w:t>et en application des décisions des instances</w:t>
      </w:r>
      <w:r w:rsidR="00B627E8">
        <w:rPr>
          <w:b w:val="0"/>
          <w:bCs w:val="0"/>
          <w:color w:val="auto"/>
          <w:sz w:val="20"/>
        </w:rPr>
        <w:t xml:space="preserve">, le Secrétariat général de la COI </w:t>
      </w:r>
      <w:r w:rsidR="006C4A37">
        <w:rPr>
          <w:b w:val="0"/>
          <w:bCs w:val="0"/>
          <w:color w:val="auto"/>
          <w:sz w:val="20"/>
        </w:rPr>
        <w:t xml:space="preserve">a avancé sur des dossiers et initiatives portant sur </w:t>
      </w:r>
      <w:r w:rsidR="0091069C" w:rsidRPr="00BB0817">
        <w:rPr>
          <w:b w:val="0"/>
          <w:bCs w:val="0"/>
          <w:color w:val="auto"/>
          <w:sz w:val="20"/>
        </w:rPr>
        <w:t>l</w:t>
      </w:r>
      <w:r w:rsidR="002837C0" w:rsidRPr="00BB0817">
        <w:rPr>
          <w:b w:val="0"/>
          <w:bCs w:val="0"/>
          <w:color w:val="auto"/>
          <w:sz w:val="20"/>
        </w:rPr>
        <w:t>e</w:t>
      </w:r>
      <w:r w:rsidR="00E03FD0">
        <w:rPr>
          <w:b w:val="0"/>
          <w:bCs w:val="0"/>
          <w:color w:val="auto"/>
          <w:sz w:val="20"/>
        </w:rPr>
        <w:t xml:space="preserve"> dialogue régional sur les échanges économiques de la région de l’océan Indien occidental, </w:t>
      </w:r>
      <w:r w:rsidR="00F33B8F">
        <w:rPr>
          <w:b w:val="0"/>
          <w:bCs w:val="0"/>
          <w:color w:val="auto"/>
          <w:sz w:val="20"/>
        </w:rPr>
        <w:t>l</w:t>
      </w:r>
      <w:r w:rsidR="000A1617">
        <w:rPr>
          <w:b w:val="0"/>
          <w:bCs w:val="0"/>
          <w:color w:val="auto"/>
          <w:sz w:val="20"/>
        </w:rPr>
        <w:t>a connectivité aérienne</w:t>
      </w:r>
      <w:r w:rsidR="00847984">
        <w:rPr>
          <w:b w:val="0"/>
          <w:bCs w:val="0"/>
          <w:color w:val="auto"/>
          <w:sz w:val="20"/>
        </w:rPr>
        <w:t xml:space="preserve"> et </w:t>
      </w:r>
      <w:r w:rsidR="00635A41">
        <w:rPr>
          <w:b w:val="0"/>
          <w:bCs w:val="0"/>
          <w:color w:val="auto"/>
          <w:sz w:val="20"/>
        </w:rPr>
        <w:t>maritime</w:t>
      </w:r>
      <w:r w:rsidR="000A1617">
        <w:rPr>
          <w:b w:val="0"/>
          <w:bCs w:val="0"/>
          <w:color w:val="auto"/>
          <w:sz w:val="20"/>
        </w:rPr>
        <w:t xml:space="preserve"> </w:t>
      </w:r>
      <w:r w:rsidR="00F33B8F">
        <w:rPr>
          <w:b w:val="0"/>
          <w:bCs w:val="0"/>
          <w:color w:val="auto"/>
          <w:sz w:val="20"/>
        </w:rPr>
        <w:t xml:space="preserve">régionale. </w:t>
      </w:r>
    </w:p>
    <w:p w14:paraId="0D9D8C94" w14:textId="77777777" w:rsidR="002837C0" w:rsidRDefault="002837C0" w:rsidP="002837C0">
      <w:pPr>
        <w:pStyle w:val="Titrepartie"/>
        <w:numPr>
          <w:ilvl w:val="0"/>
          <w:numId w:val="0"/>
        </w:numPr>
        <w:rPr>
          <w:b w:val="0"/>
          <w:bCs w:val="0"/>
          <w:color w:val="auto"/>
          <w:sz w:val="20"/>
        </w:rPr>
      </w:pPr>
    </w:p>
    <w:p w14:paraId="7E2470E3" w14:textId="1787E533" w:rsidR="0091069C" w:rsidRDefault="00955BB3" w:rsidP="002837C0">
      <w:pPr>
        <w:pStyle w:val="Titrepartie"/>
      </w:pPr>
      <w:r w:rsidRPr="0008468B">
        <w:t>Etat d’avancement</w:t>
      </w:r>
    </w:p>
    <w:p w14:paraId="57B998EB" w14:textId="5CEF9940" w:rsidR="00BB0817" w:rsidRPr="00BB0817" w:rsidRDefault="00F33B8F" w:rsidP="00BB0817">
      <w:pPr>
        <w:pStyle w:val="Sous-partie2"/>
      </w:pPr>
      <w:bookmarkStart w:id="1" w:name="_Hlk161827325"/>
      <w:r>
        <w:t>Le dialogue régional sur les échanges économiques de la région de l’océan Indien occidental</w:t>
      </w:r>
    </w:p>
    <w:bookmarkEnd w:id="1"/>
    <w:p w14:paraId="6D4928F0" w14:textId="74FEB575" w:rsidR="00734EFF" w:rsidRPr="00734EFF" w:rsidRDefault="00734EFF" w:rsidP="00734EFF">
      <w:pPr>
        <w:pStyle w:val="Titrepartie"/>
        <w:numPr>
          <w:ilvl w:val="0"/>
          <w:numId w:val="0"/>
        </w:numPr>
        <w:rPr>
          <w:b w:val="0"/>
          <w:bCs w:val="0"/>
          <w:color w:val="auto"/>
          <w:sz w:val="20"/>
        </w:rPr>
      </w:pPr>
      <w:r w:rsidRPr="00F4647C">
        <w:rPr>
          <w:color w:val="auto"/>
          <w:sz w:val="20"/>
        </w:rPr>
        <w:t>L’étude récente sur les échanges économiques dans l’océan Indien occidental</w:t>
      </w:r>
      <w:r w:rsidRPr="00734EFF">
        <w:rPr>
          <w:b w:val="0"/>
          <w:bCs w:val="0"/>
          <w:color w:val="auto"/>
          <w:sz w:val="20"/>
        </w:rPr>
        <w:t xml:space="preserve">, conduite avec l’appui de l’AFD dans le cadre du FEXTE, confirme </w:t>
      </w:r>
      <w:r w:rsidR="00E54B37">
        <w:rPr>
          <w:b w:val="0"/>
          <w:bCs w:val="0"/>
          <w:color w:val="auto"/>
          <w:sz w:val="20"/>
        </w:rPr>
        <w:t xml:space="preserve">la vulnérabilité des économies des Etats membres, </w:t>
      </w:r>
      <w:r w:rsidRPr="00734EFF">
        <w:rPr>
          <w:b w:val="0"/>
          <w:bCs w:val="0"/>
          <w:color w:val="auto"/>
          <w:sz w:val="20"/>
        </w:rPr>
        <w:t xml:space="preserve">la faiblesse persistante de l’intégration économique régionale, en dépit de complémentarités avérées entre les économies de la zone. Les contraintes identifiées – fragmentation des cadres réglementaires, insuffisance de la connectivité et absence de mécanisme structurant de coordination – appellent une réponse collective plus ambitieuse. </w:t>
      </w:r>
      <w:r w:rsidR="002F316D">
        <w:rPr>
          <w:b w:val="0"/>
          <w:bCs w:val="0"/>
          <w:color w:val="auto"/>
          <w:sz w:val="20"/>
        </w:rPr>
        <w:t>C</w:t>
      </w:r>
      <w:r w:rsidRPr="00734EFF">
        <w:rPr>
          <w:b w:val="0"/>
          <w:bCs w:val="0"/>
          <w:color w:val="auto"/>
          <w:sz w:val="20"/>
        </w:rPr>
        <w:t>ette analyse met en lumière des enjeux partagés par l’ensemble des États membres de la COI et souligne la nécessité d’une action régionale renforcée, cohérente et orientée vers des résultats concrets.</w:t>
      </w:r>
      <w:r>
        <w:rPr>
          <w:b w:val="0"/>
          <w:bCs w:val="0"/>
          <w:color w:val="auto"/>
          <w:sz w:val="20"/>
        </w:rPr>
        <w:t xml:space="preserve"> Le Secrétariat général a été mobilisé durant le processus de consultation des parties prenantes initié depuis septembre 2025 et le dialogue stratégique, durant l’atelier de restitution de l’étude à Maurice en mars 2026.</w:t>
      </w:r>
    </w:p>
    <w:p w14:paraId="2AB45FB2" w14:textId="77777777" w:rsidR="00734EFF" w:rsidRPr="00734EFF" w:rsidRDefault="00734EFF" w:rsidP="00734EFF">
      <w:pPr>
        <w:pStyle w:val="Titrepartie"/>
        <w:numPr>
          <w:ilvl w:val="0"/>
          <w:numId w:val="0"/>
        </w:numPr>
        <w:rPr>
          <w:b w:val="0"/>
          <w:bCs w:val="0"/>
          <w:color w:val="auto"/>
          <w:sz w:val="20"/>
        </w:rPr>
      </w:pPr>
    </w:p>
    <w:p w14:paraId="64C807B4" w14:textId="53B12872" w:rsidR="00734EFF" w:rsidRPr="00734EFF" w:rsidRDefault="00734EFF" w:rsidP="00734EFF">
      <w:pPr>
        <w:pStyle w:val="Titrepartie"/>
        <w:numPr>
          <w:ilvl w:val="0"/>
          <w:numId w:val="0"/>
        </w:numPr>
        <w:rPr>
          <w:b w:val="0"/>
          <w:bCs w:val="0"/>
          <w:color w:val="auto"/>
          <w:sz w:val="20"/>
        </w:rPr>
      </w:pPr>
      <w:r w:rsidRPr="00734EFF">
        <w:rPr>
          <w:b w:val="0"/>
          <w:bCs w:val="0"/>
          <w:color w:val="auto"/>
          <w:sz w:val="20"/>
        </w:rPr>
        <w:t>L’étude formule, à cet égard, des recommandations structurantes, articulées autour de cinq priorités : la définition d’un cadre stratégique régional des échanges économiques, le renforcement du pilotage et de la coordination interacteurs, la mobilisation accrue de financements et de dispositifs d’appui, la réduction des obstacles aux échanges (notamment en matière de connectivité, de normes et de mobilité), ainsi que la structuration de chaînes de valeur régionales. Ces orientations convergent vers un besoin central : disposer d’un cadre opérationnel régional capable d’organiser, d’accélérer et de rendre plus lisible l’intégration économique de l’Indianocéanie.</w:t>
      </w:r>
    </w:p>
    <w:p w14:paraId="68DC6EA3" w14:textId="77777777" w:rsidR="00734EFF" w:rsidRPr="00734EFF" w:rsidRDefault="00734EFF" w:rsidP="00734EFF">
      <w:pPr>
        <w:pStyle w:val="Titrepartie"/>
        <w:numPr>
          <w:ilvl w:val="0"/>
          <w:numId w:val="0"/>
        </w:numPr>
        <w:rPr>
          <w:b w:val="0"/>
          <w:bCs w:val="0"/>
          <w:color w:val="auto"/>
          <w:sz w:val="20"/>
        </w:rPr>
      </w:pPr>
    </w:p>
    <w:p w14:paraId="71D8A4CB" w14:textId="5F81AD54" w:rsidR="00D4492B" w:rsidRDefault="00D45A45" w:rsidP="00D4492B">
      <w:pPr>
        <w:pStyle w:val="Sous-partie2"/>
        <w:numPr>
          <w:ilvl w:val="1"/>
          <w:numId w:val="50"/>
        </w:numPr>
      </w:pPr>
      <w:r>
        <w:t>Connectivité régionale</w:t>
      </w:r>
    </w:p>
    <w:p w14:paraId="2CEA535E" w14:textId="5355753E" w:rsidR="00310176" w:rsidRDefault="00187EEA" w:rsidP="000A517F">
      <w:pPr>
        <w:pStyle w:val="Titrepartie"/>
        <w:numPr>
          <w:ilvl w:val="0"/>
          <w:numId w:val="0"/>
        </w:numPr>
        <w:rPr>
          <w:b w:val="0"/>
          <w:bCs w:val="0"/>
          <w:color w:val="auto"/>
          <w:sz w:val="20"/>
        </w:rPr>
      </w:pPr>
      <w:r w:rsidRPr="00310176">
        <w:rPr>
          <w:color w:val="auto"/>
          <w:sz w:val="20"/>
        </w:rPr>
        <w:t xml:space="preserve">Concernant la connectivité </w:t>
      </w:r>
      <w:r w:rsidR="000A517F" w:rsidRPr="00310176">
        <w:rPr>
          <w:color w:val="auto"/>
          <w:sz w:val="20"/>
        </w:rPr>
        <w:t>aérienne</w:t>
      </w:r>
      <w:r w:rsidR="000A517F">
        <w:rPr>
          <w:b w:val="0"/>
          <w:bCs w:val="0"/>
          <w:color w:val="auto"/>
          <w:sz w:val="20"/>
        </w:rPr>
        <w:t xml:space="preserve">, </w:t>
      </w:r>
      <w:r w:rsidR="0099277B">
        <w:rPr>
          <w:b w:val="0"/>
          <w:bCs w:val="0"/>
          <w:color w:val="auto"/>
          <w:sz w:val="20"/>
        </w:rPr>
        <w:t>conformément à la décision 5d) du 37</w:t>
      </w:r>
      <w:r w:rsidR="0099277B" w:rsidRPr="00770A62">
        <w:rPr>
          <w:b w:val="0"/>
          <w:bCs w:val="0"/>
          <w:color w:val="auto"/>
          <w:sz w:val="20"/>
          <w:vertAlign w:val="superscript"/>
        </w:rPr>
        <w:t>ème</w:t>
      </w:r>
      <w:r w:rsidR="0099277B">
        <w:rPr>
          <w:b w:val="0"/>
          <w:bCs w:val="0"/>
          <w:color w:val="auto"/>
          <w:sz w:val="20"/>
        </w:rPr>
        <w:t xml:space="preserve"> Conseil des ministres</w:t>
      </w:r>
      <w:r w:rsidR="000A517F">
        <w:rPr>
          <w:b w:val="0"/>
          <w:bCs w:val="0"/>
          <w:color w:val="auto"/>
          <w:sz w:val="20"/>
        </w:rPr>
        <w:t xml:space="preserve"> et la décision 8d) du COPL 02-2025</w:t>
      </w:r>
      <w:r w:rsidR="0099277B">
        <w:rPr>
          <w:b w:val="0"/>
          <w:bCs w:val="0"/>
          <w:color w:val="auto"/>
          <w:sz w:val="20"/>
        </w:rPr>
        <w:t xml:space="preserve">, </w:t>
      </w:r>
      <w:r w:rsidR="000A517F">
        <w:rPr>
          <w:b w:val="0"/>
          <w:bCs w:val="0"/>
          <w:color w:val="auto"/>
          <w:sz w:val="20"/>
        </w:rPr>
        <w:t xml:space="preserve">le Secrétaire général a procédé à </w:t>
      </w:r>
      <w:r w:rsidR="0099277B">
        <w:rPr>
          <w:b w:val="0"/>
          <w:bCs w:val="0"/>
          <w:color w:val="auto"/>
          <w:sz w:val="20"/>
        </w:rPr>
        <w:t>la</w:t>
      </w:r>
      <w:r w:rsidR="00F54FDA">
        <w:rPr>
          <w:b w:val="0"/>
          <w:bCs w:val="0"/>
          <w:color w:val="auto"/>
          <w:sz w:val="20"/>
        </w:rPr>
        <w:t xml:space="preserve"> redynamisation d</w:t>
      </w:r>
      <w:r w:rsidR="000A517F">
        <w:rPr>
          <w:b w:val="0"/>
          <w:bCs w:val="0"/>
          <w:color w:val="auto"/>
          <w:sz w:val="20"/>
        </w:rPr>
        <w:t xml:space="preserve">u </w:t>
      </w:r>
      <w:r w:rsidR="00F54FDA" w:rsidRPr="00F54FDA">
        <w:rPr>
          <w:b w:val="0"/>
          <w:bCs w:val="0"/>
          <w:color w:val="auto"/>
          <w:sz w:val="20"/>
        </w:rPr>
        <w:t>comité</w:t>
      </w:r>
      <w:r w:rsidR="000A517F">
        <w:rPr>
          <w:b w:val="0"/>
          <w:bCs w:val="0"/>
          <w:color w:val="auto"/>
          <w:sz w:val="20"/>
        </w:rPr>
        <w:t xml:space="preserve"> de l’aviation civile de la COI. Cette </w:t>
      </w:r>
      <w:r w:rsidR="000A517F" w:rsidRPr="000A517F">
        <w:rPr>
          <w:b w:val="0"/>
          <w:bCs w:val="0"/>
          <w:color w:val="auto"/>
          <w:sz w:val="20"/>
        </w:rPr>
        <w:t>relance effective</w:t>
      </w:r>
      <w:r w:rsidR="000A517F">
        <w:rPr>
          <w:b w:val="0"/>
          <w:bCs w:val="0"/>
          <w:color w:val="auto"/>
          <w:sz w:val="20"/>
        </w:rPr>
        <w:t xml:space="preserve"> était marquée par </w:t>
      </w:r>
      <w:r w:rsidR="000A517F" w:rsidRPr="000A517F">
        <w:rPr>
          <w:b w:val="0"/>
          <w:bCs w:val="0"/>
          <w:color w:val="auto"/>
          <w:sz w:val="20"/>
        </w:rPr>
        <w:t>l’organisation d’une réunion technique préparatoire en décembre 2025</w:t>
      </w:r>
      <w:r w:rsidR="00084CF1">
        <w:rPr>
          <w:b w:val="0"/>
          <w:bCs w:val="0"/>
          <w:color w:val="auto"/>
          <w:sz w:val="20"/>
        </w:rPr>
        <w:t xml:space="preserve"> (Annexe </w:t>
      </w:r>
      <w:r w:rsidR="00BD135F">
        <w:rPr>
          <w:b w:val="0"/>
          <w:bCs w:val="0"/>
          <w:color w:val="auto"/>
          <w:sz w:val="20"/>
        </w:rPr>
        <w:t>1</w:t>
      </w:r>
      <w:r w:rsidR="00084CF1">
        <w:rPr>
          <w:b w:val="0"/>
          <w:bCs w:val="0"/>
          <w:color w:val="auto"/>
          <w:sz w:val="20"/>
        </w:rPr>
        <w:t>)</w:t>
      </w:r>
      <w:r w:rsidR="000A517F" w:rsidRPr="000A517F">
        <w:rPr>
          <w:b w:val="0"/>
          <w:bCs w:val="0"/>
          <w:color w:val="auto"/>
          <w:sz w:val="20"/>
        </w:rPr>
        <w:t xml:space="preserve">, </w:t>
      </w:r>
      <w:r w:rsidR="000A517F">
        <w:rPr>
          <w:b w:val="0"/>
          <w:bCs w:val="0"/>
          <w:color w:val="auto"/>
          <w:sz w:val="20"/>
        </w:rPr>
        <w:t>soulignant</w:t>
      </w:r>
      <w:r w:rsidR="000A517F" w:rsidRPr="000A517F">
        <w:rPr>
          <w:b w:val="0"/>
          <w:bCs w:val="0"/>
          <w:color w:val="auto"/>
          <w:sz w:val="20"/>
        </w:rPr>
        <w:t xml:space="preserve"> la reprise d’un dialogue structuré entre les autorités nationales compétentes après une période d’inactivité prolongée. </w:t>
      </w:r>
    </w:p>
    <w:p w14:paraId="3A66D8A8" w14:textId="77777777" w:rsidR="00310176" w:rsidRDefault="00310176" w:rsidP="000A517F">
      <w:pPr>
        <w:pStyle w:val="Titrepartie"/>
        <w:numPr>
          <w:ilvl w:val="0"/>
          <w:numId w:val="0"/>
        </w:numPr>
        <w:rPr>
          <w:b w:val="0"/>
          <w:bCs w:val="0"/>
          <w:color w:val="auto"/>
          <w:sz w:val="20"/>
        </w:rPr>
      </w:pPr>
    </w:p>
    <w:p w14:paraId="10FEFD5F" w14:textId="3F409D96" w:rsidR="000A517F" w:rsidRDefault="000A517F" w:rsidP="000A517F">
      <w:pPr>
        <w:pStyle w:val="Titrepartie"/>
        <w:numPr>
          <w:ilvl w:val="0"/>
          <w:numId w:val="0"/>
        </w:numPr>
        <w:rPr>
          <w:b w:val="0"/>
          <w:bCs w:val="0"/>
          <w:color w:val="auto"/>
          <w:sz w:val="20"/>
        </w:rPr>
      </w:pPr>
      <w:r w:rsidRPr="000A517F">
        <w:rPr>
          <w:b w:val="0"/>
          <w:bCs w:val="0"/>
          <w:color w:val="auto"/>
          <w:sz w:val="20"/>
        </w:rPr>
        <w:t xml:space="preserve">Cette réunion a permis de réaffirmer le rôle stratégique du Comité, institué à la suite du Conseil des ministres de 2014 pour renforcer la coopération technique et réglementaire en matière de transport aérien, en lien direct avec les enjeux de connectivité régionale et de développement économique. Les échanges ont mis en évidence la persistance de défis communs – coûts élevés, fragmentation de l’offre, insuffisance de coordination – tout en </w:t>
      </w:r>
      <w:r w:rsidRPr="000A517F">
        <w:rPr>
          <w:b w:val="0"/>
          <w:bCs w:val="0"/>
          <w:color w:val="auto"/>
          <w:sz w:val="20"/>
        </w:rPr>
        <w:lastRenderedPageBreak/>
        <w:t>confirmant une volonté partagée des États membres de relancer une dynamique de coopération opérationnelle.</w:t>
      </w:r>
    </w:p>
    <w:p w14:paraId="070A5DD8" w14:textId="77777777" w:rsidR="00310176" w:rsidRPr="000A517F" w:rsidRDefault="00310176" w:rsidP="000A517F">
      <w:pPr>
        <w:pStyle w:val="Titrepartie"/>
        <w:numPr>
          <w:ilvl w:val="0"/>
          <w:numId w:val="0"/>
        </w:numPr>
        <w:rPr>
          <w:b w:val="0"/>
          <w:bCs w:val="0"/>
          <w:color w:val="auto"/>
          <w:sz w:val="20"/>
        </w:rPr>
      </w:pPr>
    </w:p>
    <w:p w14:paraId="234D5E5E" w14:textId="32048E73" w:rsidR="00310176" w:rsidRDefault="000A517F" w:rsidP="000A517F">
      <w:pPr>
        <w:pStyle w:val="Titrepartie"/>
        <w:numPr>
          <w:ilvl w:val="0"/>
          <w:numId w:val="0"/>
        </w:numPr>
        <w:rPr>
          <w:b w:val="0"/>
          <w:bCs w:val="0"/>
          <w:color w:val="auto"/>
          <w:sz w:val="20"/>
        </w:rPr>
      </w:pPr>
      <w:r w:rsidRPr="000A517F">
        <w:rPr>
          <w:b w:val="0"/>
          <w:bCs w:val="0"/>
          <w:color w:val="auto"/>
          <w:sz w:val="20"/>
        </w:rPr>
        <w:t xml:space="preserve">Sur le plan concret, cette relance s’est traduite par l’identification de priorités régionales structurantes, notamment l’harmonisation réglementaire, le renforcement des capacités techniques, l’amélioration de la connectivité </w:t>
      </w:r>
      <w:r w:rsidR="00057162" w:rsidRPr="000A517F">
        <w:rPr>
          <w:b w:val="0"/>
          <w:bCs w:val="0"/>
          <w:color w:val="auto"/>
          <w:sz w:val="20"/>
        </w:rPr>
        <w:t>intrarégionale</w:t>
      </w:r>
      <w:r w:rsidRPr="000A517F">
        <w:rPr>
          <w:b w:val="0"/>
          <w:bCs w:val="0"/>
          <w:color w:val="auto"/>
          <w:sz w:val="20"/>
        </w:rPr>
        <w:t xml:space="preserve"> et une meilleure articulation avec le Comité des compagnies aériennes. </w:t>
      </w:r>
    </w:p>
    <w:p w14:paraId="6B63BF09" w14:textId="77777777" w:rsidR="00310176" w:rsidRDefault="00310176" w:rsidP="000A517F">
      <w:pPr>
        <w:pStyle w:val="Titrepartie"/>
        <w:numPr>
          <w:ilvl w:val="0"/>
          <w:numId w:val="0"/>
        </w:numPr>
        <w:rPr>
          <w:b w:val="0"/>
          <w:bCs w:val="0"/>
          <w:color w:val="auto"/>
          <w:sz w:val="20"/>
        </w:rPr>
      </w:pPr>
    </w:p>
    <w:p w14:paraId="738BEB7B" w14:textId="16F496F2" w:rsidR="00310176" w:rsidRPr="000A517F" w:rsidRDefault="000A517F" w:rsidP="00310176">
      <w:pPr>
        <w:pStyle w:val="Titrepartie"/>
        <w:numPr>
          <w:ilvl w:val="0"/>
          <w:numId w:val="0"/>
        </w:numPr>
        <w:rPr>
          <w:b w:val="0"/>
          <w:bCs w:val="0"/>
          <w:color w:val="auto"/>
          <w:sz w:val="20"/>
        </w:rPr>
      </w:pPr>
      <w:r w:rsidRPr="000A517F">
        <w:rPr>
          <w:b w:val="0"/>
          <w:bCs w:val="0"/>
          <w:color w:val="auto"/>
          <w:sz w:val="20"/>
        </w:rPr>
        <w:t xml:space="preserve">Les participants ont convenu de l’élaboration d’une feuille de route actualisée pour la période 2025–2027, accompagnée de livrables précis (notes techniques, calendrier de réunions, mécanismes de suivi), ainsi que de la mise en place d’une coordination continue entre les points focaux nationaux. </w:t>
      </w:r>
      <w:r w:rsidR="00310176" w:rsidRPr="000A517F">
        <w:rPr>
          <w:b w:val="0"/>
          <w:bCs w:val="0"/>
          <w:color w:val="auto"/>
          <w:sz w:val="20"/>
        </w:rPr>
        <w:t xml:space="preserve">La prochaine étape consistera en la tenue d’une réunion formelle du Comité en présentiel, envisagée en </w:t>
      </w:r>
      <w:r w:rsidR="00310176">
        <w:rPr>
          <w:b w:val="0"/>
          <w:bCs w:val="0"/>
          <w:color w:val="auto"/>
          <w:sz w:val="20"/>
        </w:rPr>
        <w:t xml:space="preserve">second semestre </w:t>
      </w:r>
      <w:r w:rsidR="00310176" w:rsidRPr="000A517F">
        <w:rPr>
          <w:b w:val="0"/>
          <w:bCs w:val="0"/>
          <w:color w:val="auto"/>
          <w:sz w:val="20"/>
        </w:rPr>
        <w:t xml:space="preserve">2026, qui devra permettre de consolider ces orientations et de traduire cette relance en actions concrètes au service d’une connectivité aérienne régionale plus intégrée et efficace. </w:t>
      </w:r>
    </w:p>
    <w:p w14:paraId="422C7EAE" w14:textId="7A456F6A" w:rsidR="00187EEA" w:rsidRDefault="00187EEA" w:rsidP="00310176">
      <w:pPr>
        <w:pStyle w:val="Titrepartie"/>
        <w:numPr>
          <w:ilvl w:val="0"/>
          <w:numId w:val="0"/>
        </w:numPr>
        <w:rPr>
          <w:b w:val="0"/>
          <w:bCs w:val="0"/>
          <w:color w:val="auto"/>
          <w:sz w:val="20"/>
        </w:rPr>
      </w:pPr>
    </w:p>
    <w:p w14:paraId="0980517F" w14:textId="77777777" w:rsidR="000B1F5C" w:rsidRDefault="00310176" w:rsidP="00187EEA">
      <w:pPr>
        <w:pStyle w:val="Titrepartie"/>
        <w:numPr>
          <w:ilvl w:val="0"/>
          <w:numId w:val="0"/>
        </w:numPr>
        <w:rPr>
          <w:b w:val="0"/>
          <w:bCs w:val="0"/>
          <w:color w:val="auto"/>
          <w:sz w:val="20"/>
        </w:rPr>
      </w:pPr>
      <w:r w:rsidRPr="008446B0">
        <w:rPr>
          <w:color w:val="auto"/>
          <w:sz w:val="20"/>
        </w:rPr>
        <w:t>C</w:t>
      </w:r>
      <w:r w:rsidR="00EF0728" w:rsidRPr="008446B0">
        <w:rPr>
          <w:color w:val="auto"/>
          <w:sz w:val="20"/>
        </w:rPr>
        <w:t>oncernant la connectivité maritime</w:t>
      </w:r>
      <w:r w:rsidR="00EF0728">
        <w:rPr>
          <w:b w:val="0"/>
          <w:bCs w:val="0"/>
          <w:color w:val="auto"/>
          <w:sz w:val="20"/>
        </w:rPr>
        <w:t xml:space="preserve">, </w:t>
      </w:r>
      <w:r w:rsidR="000B1F5C">
        <w:rPr>
          <w:b w:val="0"/>
          <w:bCs w:val="0"/>
          <w:color w:val="auto"/>
          <w:sz w:val="20"/>
        </w:rPr>
        <w:t xml:space="preserve">dans le contexte actuel géopolitique mondial, dans la continuité des actions de la COI, le dialogue mené avec le secteur privé et notamment les résultats de l’étude sur les échanges économiques réitèrent la nécessité de disposer </w:t>
      </w:r>
      <w:r w:rsidR="000B1F5C" w:rsidRPr="000B1F5C">
        <w:rPr>
          <w:b w:val="0"/>
          <w:bCs w:val="0"/>
          <w:color w:val="auto"/>
          <w:sz w:val="20"/>
        </w:rPr>
        <w:t>d’une stratégie régionale de service de navire de ravitaillement régional</w:t>
      </w:r>
      <w:r w:rsidR="000B1F5C">
        <w:rPr>
          <w:b w:val="0"/>
          <w:bCs w:val="0"/>
          <w:color w:val="auto"/>
          <w:sz w:val="20"/>
        </w:rPr>
        <w:t xml:space="preserve"> dans l’océan Indien. </w:t>
      </w:r>
    </w:p>
    <w:p w14:paraId="49CC35AE" w14:textId="6F70CF8A" w:rsidR="00EF0728" w:rsidRDefault="000B1F5C" w:rsidP="00187EEA">
      <w:pPr>
        <w:pStyle w:val="Titrepartie"/>
        <w:numPr>
          <w:ilvl w:val="0"/>
          <w:numId w:val="0"/>
        </w:numPr>
        <w:rPr>
          <w:b w:val="0"/>
          <w:bCs w:val="0"/>
          <w:color w:val="auto"/>
          <w:sz w:val="20"/>
        </w:rPr>
      </w:pPr>
      <w:r>
        <w:rPr>
          <w:b w:val="0"/>
          <w:bCs w:val="0"/>
          <w:color w:val="auto"/>
          <w:sz w:val="20"/>
        </w:rPr>
        <w:t>En outre, l</w:t>
      </w:r>
      <w:r w:rsidR="00EF0728">
        <w:rPr>
          <w:b w:val="0"/>
          <w:bCs w:val="0"/>
          <w:color w:val="auto"/>
          <w:sz w:val="20"/>
        </w:rPr>
        <w:t xml:space="preserve">a participation de la COI </w:t>
      </w:r>
      <w:r w:rsidR="00EF0728" w:rsidRPr="00EF0728">
        <w:rPr>
          <w:b w:val="0"/>
          <w:bCs w:val="0"/>
          <w:color w:val="auto"/>
          <w:sz w:val="20"/>
        </w:rPr>
        <w:t>à la 9ème Conférence de Tokyo sur le développement de l’Afrique (TICAD9)</w:t>
      </w:r>
      <w:r w:rsidR="00EF0728">
        <w:rPr>
          <w:b w:val="0"/>
          <w:bCs w:val="0"/>
          <w:color w:val="auto"/>
          <w:sz w:val="20"/>
        </w:rPr>
        <w:t xml:space="preserve"> a permis de relancer les discussions avec l’Ambassade de Japon pour </w:t>
      </w:r>
      <w:r w:rsidR="00EF0728" w:rsidRPr="00EF0728">
        <w:rPr>
          <w:b w:val="0"/>
          <w:bCs w:val="0"/>
          <w:color w:val="auto"/>
          <w:sz w:val="20"/>
        </w:rPr>
        <w:t>mieux baliser les opportunités de coopération</w:t>
      </w:r>
      <w:r w:rsidR="00EF0728">
        <w:rPr>
          <w:b w:val="0"/>
          <w:bCs w:val="0"/>
          <w:color w:val="auto"/>
          <w:sz w:val="20"/>
        </w:rPr>
        <w:t xml:space="preserve"> et notamment identifier des sources de financement pour la redynamisation du Comité </w:t>
      </w:r>
      <w:r w:rsidR="00635A41">
        <w:rPr>
          <w:b w:val="0"/>
          <w:bCs w:val="0"/>
          <w:color w:val="auto"/>
          <w:sz w:val="20"/>
        </w:rPr>
        <w:t xml:space="preserve">technique </w:t>
      </w:r>
      <w:r w:rsidR="00D24847">
        <w:rPr>
          <w:b w:val="0"/>
          <w:bCs w:val="0"/>
          <w:color w:val="auto"/>
          <w:sz w:val="20"/>
        </w:rPr>
        <w:t>régional sur l’amélioration de la connectivité maritime dans la région sud-ouest de l’océan Indien</w:t>
      </w:r>
      <w:r>
        <w:rPr>
          <w:b w:val="0"/>
          <w:bCs w:val="0"/>
          <w:color w:val="auto"/>
          <w:sz w:val="20"/>
        </w:rPr>
        <w:t xml:space="preserve"> et la concrétisation de sa feuille de route quinquennale</w:t>
      </w:r>
      <w:r w:rsidR="0051533E">
        <w:rPr>
          <w:b w:val="0"/>
          <w:bCs w:val="0"/>
          <w:color w:val="auto"/>
          <w:sz w:val="20"/>
        </w:rPr>
        <w:t xml:space="preserve"> en conformité à la décision 3(e) du conseil extraordinaire de 2022</w:t>
      </w:r>
      <w:r w:rsidR="00D24847">
        <w:rPr>
          <w:b w:val="0"/>
          <w:bCs w:val="0"/>
          <w:color w:val="auto"/>
          <w:sz w:val="20"/>
        </w:rPr>
        <w:t xml:space="preserve">. </w:t>
      </w:r>
      <w:r w:rsidR="00EF0728">
        <w:rPr>
          <w:b w:val="0"/>
          <w:bCs w:val="0"/>
          <w:color w:val="auto"/>
          <w:sz w:val="20"/>
        </w:rPr>
        <w:t xml:space="preserve"> </w:t>
      </w:r>
      <w:r w:rsidR="00310176">
        <w:rPr>
          <w:b w:val="0"/>
          <w:bCs w:val="0"/>
          <w:color w:val="auto"/>
          <w:sz w:val="20"/>
        </w:rPr>
        <w:t>Une demande officielle de soutien technique et financier a été adressée à l’Ambassade de Japon.</w:t>
      </w:r>
    </w:p>
    <w:p w14:paraId="568F532C" w14:textId="77777777" w:rsidR="008446B0" w:rsidRDefault="008446B0" w:rsidP="00187EEA">
      <w:pPr>
        <w:pStyle w:val="Titrepartie"/>
        <w:numPr>
          <w:ilvl w:val="0"/>
          <w:numId w:val="0"/>
        </w:numPr>
        <w:rPr>
          <w:b w:val="0"/>
          <w:bCs w:val="0"/>
          <w:color w:val="auto"/>
          <w:sz w:val="20"/>
        </w:rPr>
      </w:pPr>
    </w:p>
    <w:p w14:paraId="5D958933" w14:textId="2ACB0A99" w:rsidR="00D24847" w:rsidRDefault="00E152ED" w:rsidP="00187EEA">
      <w:pPr>
        <w:pStyle w:val="Titrepartie"/>
        <w:numPr>
          <w:ilvl w:val="0"/>
          <w:numId w:val="0"/>
        </w:numPr>
        <w:rPr>
          <w:b w:val="0"/>
          <w:bCs w:val="0"/>
          <w:color w:val="auto"/>
          <w:sz w:val="20"/>
        </w:rPr>
      </w:pPr>
      <w:r>
        <w:rPr>
          <w:b w:val="0"/>
          <w:bCs w:val="0"/>
          <w:color w:val="auto"/>
          <w:sz w:val="20"/>
        </w:rPr>
        <w:t xml:space="preserve">Tenant compte de la tension actuel sur les marchés internationaux augmentant les effets négatifs de la dépendance de la région aux importations, il apparait urgent d’avancer concrètement sur la </w:t>
      </w:r>
      <w:r w:rsidRPr="00F66740">
        <w:rPr>
          <w:color w:val="auto"/>
          <w:sz w:val="20"/>
        </w:rPr>
        <w:t>mise en place d’un mécanisme régional d’achats groupés</w:t>
      </w:r>
      <w:r>
        <w:rPr>
          <w:b w:val="0"/>
          <w:bCs w:val="0"/>
          <w:color w:val="auto"/>
          <w:sz w:val="20"/>
        </w:rPr>
        <w:t xml:space="preserve"> capitalisant sur les (réf. </w:t>
      </w:r>
      <w:r w:rsidR="0051533E">
        <w:rPr>
          <w:b w:val="0"/>
          <w:bCs w:val="0"/>
          <w:color w:val="auto"/>
          <w:sz w:val="20"/>
        </w:rPr>
        <w:t xml:space="preserve"> décision 8(d) du 37</w:t>
      </w:r>
      <w:r w:rsidR="0051533E" w:rsidRPr="00F66740">
        <w:rPr>
          <w:b w:val="0"/>
          <w:bCs w:val="0"/>
          <w:color w:val="auto"/>
          <w:sz w:val="20"/>
          <w:vertAlign w:val="superscript"/>
        </w:rPr>
        <w:t>e</w:t>
      </w:r>
      <w:r w:rsidR="0051533E">
        <w:rPr>
          <w:b w:val="0"/>
          <w:bCs w:val="0"/>
          <w:color w:val="auto"/>
          <w:sz w:val="20"/>
        </w:rPr>
        <w:t xml:space="preserve"> </w:t>
      </w:r>
      <w:r>
        <w:rPr>
          <w:b w:val="0"/>
          <w:bCs w:val="0"/>
          <w:color w:val="auto"/>
          <w:sz w:val="20"/>
        </w:rPr>
        <w:t>C</w:t>
      </w:r>
      <w:r w:rsidR="0051533E">
        <w:rPr>
          <w:b w:val="0"/>
          <w:bCs w:val="0"/>
          <w:color w:val="auto"/>
          <w:sz w:val="20"/>
        </w:rPr>
        <w:t xml:space="preserve">onseil </w:t>
      </w:r>
      <w:r>
        <w:rPr>
          <w:b w:val="0"/>
          <w:bCs w:val="0"/>
          <w:color w:val="auto"/>
          <w:sz w:val="20"/>
        </w:rPr>
        <w:t xml:space="preserve">des ministres). </w:t>
      </w:r>
    </w:p>
    <w:p w14:paraId="68937EFD" w14:textId="77777777" w:rsidR="0051533E" w:rsidRPr="00791F14" w:rsidRDefault="0051533E" w:rsidP="00187EEA">
      <w:pPr>
        <w:pStyle w:val="Titrepartie"/>
        <w:numPr>
          <w:ilvl w:val="0"/>
          <w:numId w:val="0"/>
        </w:numPr>
        <w:rPr>
          <w:b w:val="0"/>
          <w:bCs w:val="0"/>
          <w:color w:val="auto"/>
          <w:sz w:val="20"/>
        </w:rPr>
      </w:pPr>
    </w:p>
    <w:p w14:paraId="2F7F5914" w14:textId="4CAC10BD" w:rsidR="00955BB3" w:rsidRPr="0008468B" w:rsidRDefault="00955BB3" w:rsidP="00016A3F">
      <w:pPr>
        <w:pStyle w:val="Titrepartie"/>
      </w:pPr>
      <w:r w:rsidRPr="0008468B">
        <w:t>Proposition de décision</w:t>
      </w:r>
    </w:p>
    <w:p w14:paraId="05F1F967" w14:textId="1F40FACF" w:rsidR="0008468B" w:rsidRPr="004F5C4B" w:rsidRDefault="0008468B" w:rsidP="00FE285D">
      <w:pPr>
        <w:pStyle w:val="Paragraphe"/>
      </w:pPr>
      <w:r w:rsidRPr="004F5C4B">
        <w:t>Le Comité des OPL</w:t>
      </w:r>
      <w:r w:rsidR="00777426">
        <w:t xml:space="preserve"> </w:t>
      </w:r>
      <w:r w:rsidR="00A76B07">
        <w:t>:</w:t>
      </w:r>
    </w:p>
    <w:p w14:paraId="4A82BB21" w14:textId="77777777" w:rsidR="000B1F5C" w:rsidRDefault="00310176" w:rsidP="00310176">
      <w:pPr>
        <w:pStyle w:val="Paragraphe"/>
        <w:numPr>
          <w:ilvl w:val="0"/>
          <w:numId w:val="6"/>
        </w:numPr>
      </w:pPr>
      <w:r>
        <w:t>M</w:t>
      </w:r>
      <w:r w:rsidR="00734EFF" w:rsidRPr="00734EFF">
        <w:t xml:space="preserve">andate le Secrétariat général de la COI pour : </w:t>
      </w:r>
    </w:p>
    <w:p w14:paraId="26B0D5DC" w14:textId="78CB8B85" w:rsidR="000B1F5C" w:rsidRDefault="000B1F5C" w:rsidP="000B1F5C">
      <w:pPr>
        <w:pStyle w:val="Paragraphe"/>
        <w:numPr>
          <w:ilvl w:val="0"/>
          <w:numId w:val="59"/>
        </w:numPr>
      </w:pPr>
      <w:r w:rsidRPr="00734EFF">
        <w:t>Élaborer</w:t>
      </w:r>
      <w:r w:rsidR="00734EFF" w:rsidRPr="00734EFF">
        <w:t xml:space="preserve">, en concertation avec les États membres, une feuille de route régionale pour le renforcement des échanges économiques, alignée sur l’Axe 2 du PDS 2023-2033 ; </w:t>
      </w:r>
    </w:p>
    <w:p w14:paraId="2CE88CE8" w14:textId="09454175" w:rsidR="000B1F5C" w:rsidRDefault="007033ED" w:rsidP="000B1F5C">
      <w:pPr>
        <w:pStyle w:val="Paragraphe"/>
        <w:numPr>
          <w:ilvl w:val="0"/>
          <w:numId w:val="59"/>
        </w:numPr>
      </w:pPr>
      <w:r>
        <w:t>Développer</w:t>
      </w:r>
      <w:r w:rsidR="00734EFF" w:rsidRPr="00734EFF">
        <w:t xml:space="preserve">, à court terme, un nombre limité de projets pilotes structurants sur des chaînes de valeur régionales prioritaires ; </w:t>
      </w:r>
    </w:p>
    <w:p w14:paraId="034189D9" w14:textId="4A626A9F" w:rsidR="000B1F5C" w:rsidRDefault="00EB2CB2" w:rsidP="000B1F5C">
      <w:pPr>
        <w:pStyle w:val="Paragraphe"/>
        <w:numPr>
          <w:ilvl w:val="0"/>
          <w:numId w:val="59"/>
        </w:numPr>
      </w:pPr>
      <w:r>
        <w:t xml:space="preserve">Poursuivre l’action de </w:t>
      </w:r>
      <w:r w:rsidR="0051533E">
        <w:t>mobilisation de moyens pour la feuille de route sur la connectivité maritime</w:t>
      </w:r>
      <w:r>
        <w:t xml:space="preserve"> et</w:t>
      </w:r>
      <w:r w:rsidR="0051533E">
        <w:t xml:space="preserve"> </w:t>
      </w:r>
      <w:r>
        <w:t>m</w:t>
      </w:r>
      <w:r w:rsidR="000B1F5C">
        <w:t>o</w:t>
      </w:r>
      <w:r w:rsidR="00734EFF">
        <w:t xml:space="preserve">biliser des ressources pour </w:t>
      </w:r>
      <w:r w:rsidR="00734EFF" w:rsidRPr="00734EFF">
        <w:t>proposer un dispositif régional de facilitation des échanges et de suivi des flux économiques</w:t>
      </w:r>
      <w:r w:rsidR="00057162">
        <w:t>,</w:t>
      </w:r>
      <w:r w:rsidR="00734EFF" w:rsidRPr="00734EFF">
        <w:t xml:space="preserve"> </w:t>
      </w:r>
      <w:r w:rsidR="00057162">
        <w:t>en consultation avec les Etats membres,</w:t>
      </w:r>
      <w:r w:rsidR="00057162" w:rsidRPr="00734EFF">
        <w:t xml:space="preserve"> afin de doter l’Indianocéanie d’un cadre opérationnel à même d’accélérer son intégration économique au bénéfice de ses États membres ;</w:t>
      </w:r>
      <w:r w:rsidR="00734EFF" w:rsidRPr="00734EFF">
        <w:t xml:space="preserve"> </w:t>
      </w:r>
    </w:p>
    <w:p w14:paraId="20F0F86C" w14:textId="696229E4" w:rsidR="000B1F5C" w:rsidRDefault="000B1F5C" w:rsidP="000B1F5C">
      <w:pPr>
        <w:pStyle w:val="Paragraphe"/>
        <w:numPr>
          <w:ilvl w:val="0"/>
          <w:numId w:val="59"/>
        </w:numPr>
      </w:pPr>
      <w:r>
        <w:t>M</w:t>
      </w:r>
      <w:r w:rsidR="009D3ACA">
        <w:t xml:space="preserve">obiliser les ressources </w:t>
      </w:r>
      <w:r w:rsidR="00847984">
        <w:t>pour l’é</w:t>
      </w:r>
      <w:r w:rsidR="00847984" w:rsidRPr="00847984">
        <w:t xml:space="preserve">tablissement d’une stratégie régionale de service de navire de ravitaillement </w:t>
      </w:r>
      <w:r w:rsidRPr="00847984">
        <w:t>régional</w:t>
      </w:r>
      <w:r>
        <w:t>,</w:t>
      </w:r>
      <w:r w:rsidR="00847984">
        <w:t xml:space="preserve"> en partenariat avec le secteur privé ; </w:t>
      </w:r>
    </w:p>
    <w:p w14:paraId="41193759" w14:textId="40FACE0D" w:rsidR="00310176" w:rsidRDefault="000B1F5C" w:rsidP="000B1F5C">
      <w:pPr>
        <w:pStyle w:val="Paragraphe"/>
        <w:numPr>
          <w:ilvl w:val="0"/>
          <w:numId w:val="59"/>
        </w:numPr>
      </w:pPr>
      <w:r>
        <w:t>E</w:t>
      </w:r>
      <w:r w:rsidR="00734EFF" w:rsidRPr="00734EFF">
        <w:t>ngager les partenaires techniques et financiers en vue de la mobilisation de ressources dédiées</w:t>
      </w:r>
      <w:r w:rsidR="00310176">
        <w:t xml:space="preserve">, et tenir les Etats membres informés des résultats. </w:t>
      </w:r>
    </w:p>
    <w:p w14:paraId="5E8B4DEE" w14:textId="064F44CE" w:rsidR="000B1F5C" w:rsidRDefault="000B1F5C" w:rsidP="000B1F5C">
      <w:pPr>
        <w:pStyle w:val="Titrepartie"/>
        <w:numPr>
          <w:ilvl w:val="0"/>
          <w:numId w:val="6"/>
        </w:numPr>
        <w:rPr>
          <w:b w:val="0"/>
          <w:bCs w:val="0"/>
          <w:color w:val="auto"/>
          <w:sz w:val="20"/>
        </w:rPr>
      </w:pPr>
      <w:r w:rsidRPr="00310176">
        <w:rPr>
          <w:b w:val="0"/>
          <w:bCs w:val="0"/>
          <w:color w:val="auto"/>
          <w:sz w:val="20"/>
        </w:rPr>
        <w:t xml:space="preserve">Mandate le Secrétariat général à mobiliser les ressources pour l’organisation de la </w:t>
      </w:r>
      <w:r w:rsidRPr="000A517F">
        <w:rPr>
          <w:b w:val="0"/>
          <w:bCs w:val="0"/>
          <w:color w:val="auto"/>
          <w:sz w:val="20"/>
        </w:rPr>
        <w:t xml:space="preserve">réunion du Comité </w:t>
      </w:r>
      <w:r w:rsidRPr="00310176">
        <w:rPr>
          <w:b w:val="0"/>
          <w:bCs w:val="0"/>
          <w:color w:val="auto"/>
          <w:sz w:val="20"/>
        </w:rPr>
        <w:t xml:space="preserve">de l’aviation civile </w:t>
      </w:r>
      <w:r w:rsidRPr="000A517F">
        <w:rPr>
          <w:b w:val="0"/>
          <w:bCs w:val="0"/>
          <w:color w:val="auto"/>
          <w:sz w:val="20"/>
        </w:rPr>
        <w:t>en présentiel</w:t>
      </w:r>
      <w:r w:rsidRPr="00310176">
        <w:rPr>
          <w:b w:val="0"/>
          <w:bCs w:val="0"/>
          <w:color w:val="auto"/>
          <w:sz w:val="20"/>
        </w:rPr>
        <w:t>.</w:t>
      </w:r>
    </w:p>
    <w:p w14:paraId="5C71C2A5" w14:textId="799FF071" w:rsidR="007033ED" w:rsidRDefault="00CC7D79" w:rsidP="003B26BE">
      <w:pPr>
        <w:pStyle w:val="Paragraphe"/>
        <w:numPr>
          <w:ilvl w:val="0"/>
          <w:numId w:val="6"/>
        </w:numPr>
      </w:pPr>
      <w:r>
        <w:t>Demande au</w:t>
      </w:r>
      <w:r w:rsidR="007033ED">
        <w:t xml:space="preserve"> Secrétariat général </w:t>
      </w:r>
      <w:r>
        <w:t>d’accélérer</w:t>
      </w:r>
      <w:r w:rsidR="00062189">
        <w:t xml:space="preserve"> la</w:t>
      </w:r>
      <w:r w:rsidR="007033ED">
        <w:t xml:space="preserve"> mobilisation des ressources et des Etats membres dans la mise en place du mécanisme d’achat groupés des produits de première nécessité, </w:t>
      </w:r>
      <w:r w:rsidR="00083071">
        <w:t xml:space="preserve">conformément à la décision 3f) du COPL 03/2022. </w:t>
      </w:r>
    </w:p>
    <w:p w14:paraId="205AA4C4" w14:textId="317FDAD4" w:rsidR="00692636" w:rsidRDefault="00692636" w:rsidP="003B26BE">
      <w:pPr>
        <w:pStyle w:val="Paragraphe"/>
        <w:numPr>
          <w:ilvl w:val="0"/>
          <w:numId w:val="6"/>
        </w:numPr>
      </w:pPr>
      <w:r>
        <w:t xml:space="preserve">Remercie </w:t>
      </w:r>
      <w:r w:rsidRPr="00692636">
        <w:t>la partie française pour la mise à disposition d’un expert technique international en diplomatie économique et entrepreneuriat</w:t>
      </w:r>
      <w:r>
        <w:t xml:space="preserve"> d’août 2022 à août 2026</w:t>
      </w:r>
      <w:r w:rsidRPr="00692636">
        <w:t>. Son engagement et la qualité de son expertise ont apporté une contribution significative aux réflexions et aux avancées sur ces thématiques stratégiques, renforçant ainsi la pertinence et l’impact des travaux menés.</w:t>
      </w:r>
    </w:p>
    <w:p w14:paraId="5523D2C8" w14:textId="77777777" w:rsidR="00310176" w:rsidRPr="00310176" w:rsidRDefault="00310176" w:rsidP="00310176">
      <w:pPr>
        <w:pStyle w:val="Titrepartie"/>
        <w:numPr>
          <w:ilvl w:val="0"/>
          <w:numId w:val="0"/>
        </w:numPr>
        <w:ind w:left="360"/>
        <w:rPr>
          <w:b w:val="0"/>
          <w:bCs w:val="0"/>
          <w:color w:val="auto"/>
          <w:sz w:val="20"/>
        </w:rPr>
      </w:pPr>
    </w:p>
    <w:p w14:paraId="7EAEB404" w14:textId="4E7FA03F" w:rsidR="00955BB3" w:rsidRDefault="00310176" w:rsidP="00FE285D">
      <w:pPr>
        <w:pStyle w:val="Titrepartie"/>
      </w:pPr>
      <w:r>
        <w:t>A</w:t>
      </w:r>
      <w:r w:rsidR="00955BB3" w:rsidRPr="0008468B">
        <w:t>ppel des décisions antérieures</w:t>
      </w:r>
    </w:p>
    <w:p w14:paraId="4348C0F4" w14:textId="005744BA" w:rsidR="00083071" w:rsidRDefault="00083071" w:rsidP="00F66740">
      <w:pPr>
        <w:pStyle w:val="Paragraphe"/>
        <w:spacing w:after="120"/>
        <w:ind w:left="360"/>
        <w:rPr>
          <w:b/>
          <w:bCs/>
          <w:i/>
          <w:iCs/>
        </w:rPr>
      </w:pPr>
      <w:r w:rsidRPr="00083071">
        <w:rPr>
          <w:b/>
          <w:bCs/>
          <w:i/>
          <w:iCs/>
        </w:rPr>
        <w:t xml:space="preserve">Cf. décision </w:t>
      </w:r>
      <w:r>
        <w:rPr>
          <w:b/>
          <w:bCs/>
          <w:i/>
          <w:iCs/>
        </w:rPr>
        <w:t>3f</w:t>
      </w:r>
      <w:r w:rsidRPr="00083071">
        <w:rPr>
          <w:b/>
          <w:bCs/>
          <w:i/>
          <w:iCs/>
        </w:rPr>
        <w:t>), le Comité des OPL 0</w:t>
      </w:r>
      <w:r>
        <w:rPr>
          <w:b/>
          <w:bCs/>
          <w:i/>
          <w:iCs/>
        </w:rPr>
        <w:t>3</w:t>
      </w:r>
      <w:r w:rsidRPr="00083071">
        <w:rPr>
          <w:b/>
          <w:bCs/>
          <w:i/>
          <w:iCs/>
        </w:rPr>
        <w:t>/202</w:t>
      </w:r>
      <w:r>
        <w:rPr>
          <w:b/>
          <w:bCs/>
          <w:i/>
          <w:iCs/>
        </w:rPr>
        <w:t>2</w:t>
      </w:r>
      <w:r w:rsidRPr="00083071">
        <w:rPr>
          <w:b/>
          <w:bCs/>
          <w:i/>
          <w:iCs/>
        </w:rPr>
        <w:t xml:space="preserve"> du </w:t>
      </w:r>
      <w:r>
        <w:rPr>
          <w:b/>
          <w:bCs/>
          <w:i/>
          <w:iCs/>
        </w:rPr>
        <w:t>15 et 16 décembre 2022</w:t>
      </w:r>
    </w:p>
    <w:p w14:paraId="69F50473" w14:textId="04829462" w:rsidR="00083071" w:rsidRPr="00083071" w:rsidRDefault="00083071" w:rsidP="00F66740">
      <w:pPr>
        <w:pStyle w:val="Paragraphe"/>
        <w:spacing w:after="120"/>
      </w:pPr>
      <w:r w:rsidRPr="00083071">
        <w:t>Soutient le rôle de la COI dans la facilitation de la coopération pour l’acquisition des produits de première nécessité</w:t>
      </w:r>
      <w:r>
        <w:t xml:space="preserve"> (…)</w:t>
      </w:r>
    </w:p>
    <w:p w14:paraId="6BEEAF85" w14:textId="3CA123D6" w:rsidR="00D24847" w:rsidRDefault="00D24847" w:rsidP="00F66740">
      <w:pPr>
        <w:pStyle w:val="Paragraphe"/>
        <w:spacing w:after="120"/>
        <w:ind w:left="360"/>
        <w:rPr>
          <w:b/>
          <w:bCs/>
          <w:i/>
          <w:iCs/>
        </w:rPr>
      </w:pPr>
      <w:r w:rsidRPr="00F21684">
        <w:rPr>
          <w:b/>
          <w:bCs/>
          <w:i/>
          <w:iCs/>
        </w:rPr>
        <w:t xml:space="preserve">Cf. décision 5d) du </w:t>
      </w:r>
      <w:r w:rsidRPr="00D24847">
        <w:rPr>
          <w:b/>
          <w:bCs/>
          <w:i/>
          <w:iCs/>
        </w:rPr>
        <w:t>37</w:t>
      </w:r>
      <w:r w:rsidRPr="00F66740">
        <w:rPr>
          <w:b/>
          <w:bCs/>
          <w:i/>
          <w:iCs/>
          <w:vertAlign w:val="superscript"/>
        </w:rPr>
        <w:t>ème</w:t>
      </w:r>
      <w:r w:rsidRPr="00D24847">
        <w:rPr>
          <w:b/>
          <w:bCs/>
          <w:i/>
          <w:iCs/>
        </w:rPr>
        <w:t xml:space="preserve"> </w:t>
      </w:r>
      <w:r w:rsidR="00E152ED">
        <w:rPr>
          <w:b/>
          <w:bCs/>
          <w:i/>
          <w:iCs/>
        </w:rPr>
        <w:t>C</w:t>
      </w:r>
      <w:r w:rsidRPr="00D24847">
        <w:rPr>
          <w:b/>
          <w:bCs/>
          <w:i/>
          <w:iCs/>
        </w:rPr>
        <w:t>onseil des ministres de la Commission de l’océan Indien (COI)</w:t>
      </w:r>
    </w:p>
    <w:p w14:paraId="7607F764" w14:textId="16A26014" w:rsidR="00D24847" w:rsidRPr="00D24847" w:rsidRDefault="00D24847" w:rsidP="00F66740">
      <w:pPr>
        <w:pStyle w:val="Paragraphe"/>
        <w:spacing w:after="120"/>
      </w:pPr>
      <w:r>
        <w:t>Prend note des actions envisagées en faveur du développement des échanges économiques comme indiqué dans le PDS 2023-2033.</w:t>
      </w:r>
    </w:p>
    <w:p w14:paraId="5C05D5B8" w14:textId="0CE8ACED" w:rsidR="00E32419" w:rsidRDefault="00E32419" w:rsidP="00F66740">
      <w:pPr>
        <w:pStyle w:val="Titrepartie"/>
        <w:numPr>
          <w:ilvl w:val="0"/>
          <w:numId w:val="0"/>
        </w:numPr>
        <w:spacing w:after="120"/>
        <w:ind w:left="360"/>
        <w:rPr>
          <w:i/>
          <w:iCs/>
          <w:color w:val="auto"/>
          <w:sz w:val="20"/>
        </w:rPr>
      </w:pPr>
      <w:r w:rsidRPr="00E32419">
        <w:rPr>
          <w:i/>
          <w:iCs/>
          <w:color w:val="auto"/>
          <w:sz w:val="20"/>
        </w:rPr>
        <w:t>Cf. décision 8b) du 37</w:t>
      </w:r>
      <w:r w:rsidRPr="00F66740">
        <w:rPr>
          <w:i/>
          <w:iCs/>
          <w:color w:val="auto"/>
          <w:sz w:val="20"/>
          <w:vertAlign w:val="superscript"/>
        </w:rPr>
        <w:t>ème</w:t>
      </w:r>
      <w:r w:rsidRPr="00E32419">
        <w:rPr>
          <w:i/>
          <w:iCs/>
          <w:color w:val="auto"/>
          <w:sz w:val="20"/>
        </w:rPr>
        <w:t xml:space="preserve"> </w:t>
      </w:r>
      <w:r w:rsidR="00E152ED">
        <w:rPr>
          <w:i/>
          <w:iCs/>
          <w:color w:val="auto"/>
          <w:sz w:val="20"/>
        </w:rPr>
        <w:t>C</w:t>
      </w:r>
      <w:r w:rsidRPr="00E32419">
        <w:rPr>
          <w:i/>
          <w:iCs/>
          <w:color w:val="auto"/>
          <w:sz w:val="20"/>
        </w:rPr>
        <w:t>onseil des ministres de la Commission de l’océan Indien (COI)</w:t>
      </w:r>
    </w:p>
    <w:p w14:paraId="089FE856" w14:textId="095F45D5" w:rsidR="00E32419" w:rsidRPr="00E32419" w:rsidRDefault="00E32419" w:rsidP="00F66740">
      <w:pPr>
        <w:pStyle w:val="Paragraphe"/>
        <w:spacing w:after="120"/>
      </w:pPr>
      <w:r>
        <w:t>D</w:t>
      </w:r>
      <w:r w:rsidRPr="0091069C">
        <w:t>emande au Secrétariat général d’apporter les appuis nécessaires à ce comité en termes de secrétariat, de suivi et de coordination des activités et de mobilisation des ressources en tant que de besoin</w:t>
      </w:r>
    </w:p>
    <w:p w14:paraId="108B7FCC" w14:textId="3C0EA848" w:rsidR="00E32419" w:rsidRPr="00E32419" w:rsidRDefault="00E32419" w:rsidP="00F66740">
      <w:pPr>
        <w:pStyle w:val="Titrepartie"/>
        <w:numPr>
          <w:ilvl w:val="0"/>
          <w:numId w:val="0"/>
        </w:numPr>
        <w:spacing w:after="120"/>
        <w:ind w:left="360"/>
        <w:rPr>
          <w:i/>
          <w:iCs/>
          <w:color w:val="auto"/>
          <w:sz w:val="20"/>
        </w:rPr>
      </w:pPr>
      <w:r w:rsidRPr="00E32419">
        <w:rPr>
          <w:i/>
          <w:iCs/>
          <w:color w:val="auto"/>
          <w:sz w:val="20"/>
        </w:rPr>
        <w:t xml:space="preserve">Cf. décision 22, le Comité des OPL 02/2024 du 02 et 03 décembre 2024 </w:t>
      </w:r>
    </w:p>
    <w:p w14:paraId="56732148" w14:textId="294A4B4B" w:rsidR="00E32419" w:rsidRDefault="00E32419" w:rsidP="00F66740">
      <w:pPr>
        <w:spacing w:after="120"/>
        <w:jc w:val="both"/>
        <w:rPr>
          <w:rFonts w:ascii="Verdana" w:hAnsi="Verdana" w:cs="Calibri"/>
          <w:sz w:val="20"/>
          <w:szCs w:val="20"/>
        </w:rPr>
      </w:pPr>
      <w:r w:rsidRPr="00E32419">
        <w:rPr>
          <w:rFonts w:ascii="Verdana" w:hAnsi="Verdana" w:cs="Calibri"/>
          <w:sz w:val="20"/>
          <w:szCs w:val="20"/>
        </w:rPr>
        <w:t>Demande</w:t>
      </w:r>
      <w:r>
        <w:rPr>
          <w:rFonts w:ascii="Verdana" w:hAnsi="Verdana" w:cs="Calibri"/>
          <w:sz w:val="20"/>
          <w:szCs w:val="20"/>
        </w:rPr>
        <w:t xml:space="preserve"> au Secrétariat général de transmettre un courrier au Président du comité des douanes soutenant l’intérêt exprimé et sollicitant une information officielle sur la nature de la collaboration souhaitée avec la COI puis d’en informer les Etats membres pour suite à donner.</w:t>
      </w:r>
    </w:p>
    <w:p w14:paraId="59F9391F" w14:textId="74A18A97" w:rsidR="00CF0690" w:rsidRPr="00CF0690" w:rsidRDefault="00CF0690" w:rsidP="00F66740">
      <w:pPr>
        <w:pStyle w:val="Titrepartie"/>
        <w:numPr>
          <w:ilvl w:val="0"/>
          <w:numId w:val="0"/>
        </w:numPr>
        <w:spacing w:after="120"/>
        <w:ind w:left="360"/>
        <w:rPr>
          <w:i/>
          <w:iCs/>
          <w:color w:val="auto"/>
          <w:sz w:val="20"/>
        </w:rPr>
      </w:pPr>
      <w:r w:rsidRPr="00CF0690">
        <w:rPr>
          <w:i/>
          <w:iCs/>
          <w:color w:val="auto"/>
          <w:sz w:val="20"/>
        </w:rPr>
        <w:t xml:space="preserve">Cf. décision </w:t>
      </w:r>
      <w:r>
        <w:rPr>
          <w:i/>
          <w:iCs/>
          <w:color w:val="auto"/>
          <w:sz w:val="20"/>
        </w:rPr>
        <w:t>8b)</w:t>
      </w:r>
      <w:r w:rsidRPr="00CF0690">
        <w:rPr>
          <w:i/>
          <w:iCs/>
          <w:color w:val="auto"/>
          <w:sz w:val="20"/>
        </w:rPr>
        <w:t>, le Comité des OPL 01/2025 du 04 au 06 avril 2025</w:t>
      </w:r>
    </w:p>
    <w:p w14:paraId="5B2F88A7" w14:textId="73F0D5C7" w:rsidR="00CF0690" w:rsidRDefault="00CF0690" w:rsidP="00F66740">
      <w:pPr>
        <w:spacing w:after="120"/>
        <w:jc w:val="both"/>
        <w:rPr>
          <w:rFonts w:ascii="Verdana" w:hAnsi="Verdana" w:cs="Calibri"/>
          <w:sz w:val="20"/>
          <w:szCs w:val="20"/>
        </w:rPr>
      </w:pPr>
      <w:r>
        <w:rPr>
          <w:rFonts w:ascii="Verdana" w:hAnsi="Verdana"/>
          <w:sz w:val="20"/>
          <w:szCs w:val="20"/>
        </w:rPr>
        <w:t>Invite le Secrétariat général à mettre en œuvre la décision 8b) du 37</w:t>
      </w:r>
      <w:r w:rsidRPr="00D01D22">
        <w:rPr>
          <w:rFonts w:ascii="Verdana" w:hAnsi="Verdana"/>
          <w:sz w:val="20"/>
          <w:szCs w:val="20"/>
          <w:vertAlign w:val="superscript"/>
        </w:rPr>
        <w:t>ème</w:t>
      </w:r>
      <w:r>
        <w:rPr>
          <w:rFonts w:ascii="Verdana" w:hAnsi="Verdana"/>
          <w:sz w:val="20"/>
          <w:szCs w:val="20"/>
        </w:rPr>
        <w:t xml:space="preserve"> conseil des ministres de la COI.</w:t>
      </w:r>
    </w:p>
    <w:p w14:paraId="00089D67" w14:textId="0E20B056" w:rsidR="000B1F5C" w:rsidRDefault="000B1F5C" w:rsidP="00F66740">
      <w:pPr>
        <w:pStyle w:val="Titrepartie"/>
        <w:numPr>
          <w:ilvl w:val="0"/>
          <w:numId w:val="0"/>
        </w:numPr>
        <w:spacing w:after="120"/>
        <w:ind w:left="360"/>
        <w:rPr>
          <w:i/>
          <w:iCs/>
          <w:color w:val="auto"/>
          <w:sz w:val="20"/>
        </w:rPr>
      </w:pPr>
      <w:r w:rsidRPr="00CF0690">
        <w:rPr>
          <w:i/>
          <w:iCs/>
          <w:color w:val="auto"/>
          <w:sz w:val="20"/>
        </w:rPr>
        <w:t xml:space="preserve">Cf. décision </w:t>
      </w:r>
      <w:r>
        <w:rPr>
          <w:i/>
          <w:iCs/>
          <w:color w:val="auto"/>
          <w:sz w:val="20"/>
        </w:rPr>
        <w:t>8</w:t>
      </w:r>
      <w:r w:rsidR="00D26046">
        <w:rPr>
          <w:i/>
          <w:iCs/>
          <w:color w:val="auto"/>
          <w:sz w:val="20"/>
        </w:rPr>
        <w:t>c</w:t>
      </w:r>
      <w:r>
        <w:rPr>
          <w:i/>
          <w:iCs/>
          <w:color w:val="auto"/>
          <w:sz w:val="20"/>
        </w:rPr>
        <w:t>)</w:t>
      </w:r>
      <w:r w:rsidRPr="00CF0690">
        <w:rPr>
          <w:i/>
          <w:iCs/>
          <w:color w:val="auto"/>
          <w:sz w:val="20"/>
        </w:rPr>
        <w:t>, le Comité des OPL 0</w:t>
      </w:r>
      <w:r>
        <w:rPr>
          <w:i/>
          <w:iCs/>
          <w:color w:val="auto"/>
          <w:sz w:val="20"/>
        </w:rPr>
        <w:t>2</w:t>
      </w:r>
      <w:r w:rsidRPr="00CF0690">
        <w:rPr>
          <w:i/>
          <w:iCs/>
          <w:color w:val="auto"/>
          <w:sz w:val="20"/>
        </w:rPr>
        <w:t xml:space="preserve">/2025 du </w:t>
      </w:r>
      <w:r>
        <w:rPr>
          <w:i/>
          <w:iCs/>
          <w:color w:val="auto"/>
          <w:sz w:val="20"/>
        </w:rPr>
        <w:t>11 au 13 novembre</w:t>
      </w:r>
      <w:r w:rsidRPr="00CF0690">
        <w:rPr>
          <w:i/>
          <w:iCs/>
          <w:color w:val="auto"/>
          <w:sz w:val="20"/>
        </w:rPr>
        <w:t xml:space="preserve"> 2025</w:t>
      </w:r>
    </w:p>
    <w:p w14:paraId="7B30D0A3" w14:textId="77777777" w:rsidR="00D26046" w:rsidRDefault="00D26046" w:rsidP="00F66740">
      <w:pPr>
        <w:pStyle w:val="Titrepartie"/>
        <w:numPr>
          <w:ilvl w:val="0"/>
          <w:numId w:val="0"/>
        </w:numPr>
        <w:spacing w:after="120"/>
        <w:rPr>
          <w:b w:val="0"/>
          <w:bCs w:val="0"/>
          <w:color w:val="auto"/>
          <w:sz w:val="20"/>
        </w:rPr>
      </w:pPr>
    </w:p>
    <w:p w14:paraId="48779C58" w14:textId="16CC0F6B" w:rsidR="00D26046" w:rsidRPr="00D26046" w:rsidRDefault="00D26046" w:rsidP="00F66740">
      <w:pPr>
        <w:pStyle w:val="Titrepartie"/>
        <w:numPr>
          <w:ilvl w:val="0"/>
          <w:numId w:val="0"/>
        </w:numPr>
        <w:spacing w:after="120"/>
        <w:rPr>
          <w:b w:val="0"/>
          <w:bCs w:val="0"/>
          <w:color w:val="auto"/>
          <w:sz w:val="20"/>
        </w:rPr>
      </w:pPr>
      <w:r>
        <w:rPr>
          <w:b w:val="0"/>
          <w:bCs w:val="0"/>
          <w:color w:val="auto"/>
          <w:sz w:val="20"/>
        </w:rPr>
        <w:t>(…) réitère sa demande au Secrétariat général de veiller à une relance effective des travaux des comités régionaux des aviations civiles et des transporteurs aériens.</w:t>
      </w:r>
    </w:p>
    <w:p w14:paraId="6B064A6E" w14:textId="77777777" w:rsidR="000B1F5C" w:rsidRPr="000B1F5C" w:rsidRDefault="000B1F5C" w:rsidP="000B1F5C">
      <w:pPr>
        <w:pStyle w:val="Titrepartie"/>
        <w:numPr>
          <w:ilvl w:val="0"/>
          <w:numId w:val="0"/>
        </w:numPr>
        <w:rPr>
          <w:b w:val="0"/>
          <w:bCs w:val="0"/>
          <w:color w:val="auto"/>
          <w:sz w:val="20"/>
        </w:rPr>
      </w:pPr>
    </w:p>
    <w:p w14:paraId="53E5075B" w14:textId="77777777" w:rsidR="00FF7758" w:rsidRPr="0008468B" w:rsidRDefault="00FF7758" w:rsidP="00FF7758">
      <w:pPr>
        <w:pStyle w:val="Titrepartie"/>
        <w:numPr>
          <w:ilvl w:val="0"/>
          <w:numId w:val="0"/>
        </w:numPr>
        <w:ind w:left="360"/>
      </w:pPr>
    </w:p>
    <w:bookmarkEnd w:id="0"/>
    <w:p w14:paraId="1D6F1669" w14:textId="60A449C6" w:rsidR="00417683" w:rsidRPr="0008468B" w:rsidRDefault="00E32419" w:rsidP="00060CA0">
      <w:pPr>
        <w:pStyle w:val="Titrepartie"/>
      </w:pPr>
      <w:r>
        <w:t>A</w:t>
      </w:r>
      <w:r w:rsidR="00417683" w:rsidRPr="0008468B">
        <w:t>nnexe</w:t>
      </w:r>
    </w:p>
    <w:p w14:paraId="07447F5D" w14:textId="04143795" w:rsidR="0093546A" w:rsidRDefault="00614A8F" w:rsidP="00ED2E05">
      <w:pPr>
        <w:pStyle w:val="Paragraphe"/>
        <w:numPr>
          <w:ilvl w:val="0"/>
          <w:numId w:val="9"/>
        </w:numPr>
      </w:pPr>
      <w:r>
        <w:t xml:space="preserve">Annexe </w:t>
      </w:r>
      <w:r w:rsidR="003E481F">
        <w:t>1</w:t>
      </w:r>
      <w:r>
        <w:t xml:space="preserve"> : </w:t>
      </w:r>
      <w:r w:rsidR="00057162">
        <w:rPr>
          <w:rFonts w:cs="Arial"/>
        </w:rPr>
        <w:t>Rapport de la réunion technique préparatoire du Comité de l’aviation civile de la COI</w:t>
      </w:r>
    </w:p>
    <w:sectPr w:rsidR="0093546A" w:rsidSect="00F66740">
      <w:headerReference w:type="default" r:id="rId8"/>
      <w:footerReference w:type="default" r:id="rId9"/>
      <w:pgSz w:w="11906" w:h="16838"/>
      <w:pgMar w:top="1418"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3B9B" w14:textId="77777777" w:rsidR="00FA290F" w:rsidRDefault="00FA290F">
      <w:pPr>
        <w:spacing w:after="0" w:line="240" w:lineRule="auto"/>
      </w:pPr>
      <w:r>
        <w:separator/>
      </w:r>
    </w:p>
  </w:endnote>
  <w:endnote w:type="continuationSeparator" w:id="0">
    <w:p w14:paraId="516139B4" w14:textId="77777777" w:rsidR="00FA290F" w:rsidRDefault="00FA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10FD" w14:textId="77777777" w:rsidR="00FA290F" w:rsidRDefault="00FA290F">
      <w:pPr>
        <w:spacing w:after="0" w:line="240" w:lineRule="auto"/>
      </w:pPr>
      <w:r>
        <w:separator/>
      </w:r>
    </w:p>
  </w:footnote>
  <w:footnote w:type="continuationSeparator" w:id="0">
    <w:p w14:paraId="2528FC4A" w14:textId="77777777" w:rsidR="00FA290F" w:rsidRDefault="00FA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F4151B1" w:rsidR="00AA63A3" w:rsidRDefault="00854EEA" w:rsidP="00FD42D2">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4921194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BB0817">
      <w:rPr>
        <w:rFonts w:ascii="Verdana" w:hAnsi="Verdana"/>
        <w:b/>
        <w:bCs/>
        <w:sz w:val="20"/>
        <w:szCs w:val="20"/>
      </w:rPr>
      <w:t>2.</w:t>
    </w:r>
    <w:r w:rsidR="00E03FD0">
      <w:rPr>
        <w:rFonts w:ascii="Verdana" w:hAnsi="Verdana"/>
        <w:b/>
        <w:bCs/>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A14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B54230"/>
    <w:multiLevelType w:val="hybridMultilevel"/>
    <w:tmpl w:val="66BC92CC"/>
    <w:lvl w:ilvl="0" w:tplc="10000001">
      <w:start w:val="1"/>
      <w:numFmt w:val="bullet"/>
      <w:lvlText w:val=""/>
      <w:lvlJc w:val="left"/>
      <w:pPr>
        <w:ind w:left="720" w:hanging="360"/>
      </w:pPr>
      <w:rPr>
        <w:rFonts w:ascii="Symbol" w:hAnsi="Symbol" w:hint="default"/>
      </w:rPr>
    </w:lvl>
    <w:lvl w:ilvl="1" w:tplc="0E041C08">
      <w:numFmt w:val="bullet"/>
      <w:lvlText w:val="-"/>
      <w:lvlJc w:val="left"/>
      <w:pPr>
        <w:ind w:left="1440" w:hanging="360"/>
      </w:pPr>
      <w:rPr>
        <w:rFonts w:ascii="Verdana" w:eastAsiaTheme="minorHAnsi" w:hAnsi="Verdana" w:cs="Calibr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9AC011E"/>
    <w:multiLevelType w:val="multilevel"/>
    <w:tmpl w:val="33DAB0A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60493D"/>
    <w:multiLevelType w:val="hybridMultilevel"/>
    <w:tmpl w:val="F4341FE6"/>
    <w:lvl w:ilvl="0" w:tplc="0416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BB4C7A"/>
    <w:multiLevelType w:val="multilevel"/>
    <w:tmpl w:val="639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FC586A"/>
    <w:multiLevelType w:val="hybridMultilevel"/>
    <w:tmpl w:val="A36862AA"/>
    <w:lvl w:ilvl="0" w:tplc="04D6068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6AB50B1"/>
    <w:multiLevelType w:val="hybridMultilevel"/>
    <w:tmpl w:val="D400A608"/>
    <w:lvl w:ilvl="0" w:tplc="49CEE266">
      <w:numFmt w:val="bullet"/>
      <w:lvlText w:val="-"/>
      <w:lvlJc w:val="left"/>
      <w:pPr>
        <w:ind w:left="720" w:hanging="360"/>
      </w:pPr>
      <w:rPr>
        <w:rFonts w:ascii="Verdana" w:eastAsiaTheme="minorHAnsi" w:hAnsi="Verdana"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78A2D04"/>
    <w:multiLevelType w:val="hybridMultilevel"/>
    <w:tmpl w:val="4888E656"/>
    <w:lvl w:ilvl="0" w:tplc="49CEE266">
      <w:numFmt w:val="bullet"/>
      <w:lvlText w:val="-"/>
      <w:lvlJc w:val="left"/>
      <w:pPr>
        <w:ind w:left="360" w:hanging="360"/>
      </w:pPr>
      <w:rPr>
        <w:rFonts w:ascii="Verdana" w:eastAsiaTheme="minorHAnsi" w:hAnsi="Verdana"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9"/>
  </w:num>
  <w:num w:numId="2" w16cid:durableId="730155708">
    <w:abstractNumId w:val="20"/>
  </w:num>
  <w:num w:numId="3" w16cid:durableId="1226992778">
    <w:abstractNumId w:val="6"/>
  </w:num>
  <w:num w:numId="4" w16cid:durableId="131143113">
    <w:abstractNumId w:val="1"/>
  </w:num>
  <w:num w:numId="5" w16cid:durableId="2012178635">
    <w:abstractNumId w:val="18"/>
  </w:num>
  <w:num w:numId="6" w16cid:durableId="758718310">
    <w:abstractNumId w:val="7"/>
  </w:num>
  <w:num w:numId="7" w16cid:durableId="1547988449">
    <w:abstractNumId w:val="11"/>
  </w:num>
  <w:num w:numId="8" w16cid:durableId="1117337497">
    <w:abstractNumId w:val="6"/>
    <w:lvlOverride w:ilvl="0">
      <w:startOverride w:val="1"/>
    </w:lvlOverride>
  </w:num>
  <w:num w:numId="9" w16cid:durableId="1107774655">
    <w:abstractNumId w:val="5"/>
  </w:num>
  <w:num w:numId="10" w16cid:durableId="1865903141">
    <w:abstractNumId w:val="2"/>
  </w:num>
  <w:num w:numId="11" w16cid:durableId="409931527">
    <w:abstractNumId w:val="6"/>
  </w:num>
  <w:num w:numId="12" w16cid:durableId="1956594569">
    <w:abstractNumId w:val="17"/>
  </w:num>
  <w:num w:numId="13" w16cid:durableId="568005613">
    <w:abstractNumId w:val="13"/>
  </w:num>
  <w:num w:numId="14" w16cid:durableId="1140994487">
    <w:abstractNumId w:val="6"/>
  </w:num>
  <w:num w:numId="15" w16cid:durableId="752436064">
    <w:abstractNumId w:val="15"/>
  </w:num>
  <w:num w:numId="16" w16cid:durableId="1242790777">
    <w:abstractNumId w:val="6"/>
  </w:num>
  <w:num w:numId="17" w16cid:durableId="1205292131">
    <w:abstractNumId w:val="14"/>
  </w:num>
  <w:num w:numId="18" w16cid:durableId="1190029721">
    <w:abstractNumId w:val="16"/>
  </w:num>
  <w:num w:numId="19" w16cid:durableId="800463630">
    <w:abstractNumId w:val="19"/>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3"/>
  </w:num>
  <w:num w:numId="23" w16cid:durableId="1913083392">
    <w:abstractNumId w:val="24"/>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35737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6"/>
  </w:num>
  <w:num w:numId="34" w16cid:durableId="1964535627">
    <w:abstractNumId w:val="6"/>
  </w:num>
  <w:num w:numId="35" w16cid:durableId="1874994621">
    <w:abstractNumId w:val="6"/>
  </w:num>
  <w:num w:numId="36" w16cid:durableId="923219820">
    <w:abstractNumId w:val="6"/>
  </w:num>
  <w:num w:numId="37" w16cid:durableId="962418196">
    <w:abstractNumId w:val="6"/>
  </w:num>
  <w:num w:numId="38" w16cid:durableId="1263225825">
    <w:abstractNumId w:val="6"/>
  </w:num>
  <w:num w:numId="39" w16cid:durableId="126553149">
    <w:abstractNumId w:val="6"/>
  </w:num>
  <w:num w:numId="40" w16cid:durableId="305748724">
    <w:abstractNumId w:val="0"/>
  </w:num>
  <w:num w:numId="41" w16cid:durableId="1085882583">
    <w:abstractNumId w:val="6"/>
  </w:num>
  <w:num w:numId="42" w16cid:durableId="2021006302">
    <w:abstractNumId w:val="6"/>
  </w:num>
  <w:num w:numId="43" w16cid:durableId="332758584">
    <w:abstractNumId w:val="4"/>
  </w:num>
  <w:num w:numId="44" w16cid:durableId="973485685">
    <w:abstractNumId w:val="22"/>
  </w:num>
  <w:num w:numId="45" w16cid:durableId="207108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5669347">
    <w:abstractNumId w:val="8"/>
  </w:num>
  <w:num w:numId="47" w16cid:durableId="477381285">
    <w:abstractNumId w:val="12"/>
  </w:num>
  <w:num w:numId="48" w16cid:durableId="1262910977">
    <w:abstractNumId w:val="6"/>
  </w:num>
  <w:num w:numId="49" w16cid:durableId="1781795261">
    <w:abstractNumId w:val="6"/>
  </w:num>
  <w:num w:numId="50" w16cid:durableId="1581911105">
    <w:abstractNumId w:val="6"/>
    <w:lvlOverride w:ilvl="0">
      <w:startOverride w:val="2"/>
    </w:lvlOverride>
    <w:lvlOverride w:ilvl="1">
      <w:startOverride w:val="3"/>
    </w:lvlOverride>
  </w:num>
  <w:num w:numId="51" w16cid:durableId="601643426">
    <w:abstractNumId w:val="23"/>
  </w:num>
  <w:num w:numId="52" w16cid:durableId="627785762">
    <w:abstractNumId w:val="10"/>
  </w:num>
  <w:num w:numId="53" w16cid:durableId="855659321">
    <w:abstractNumId w:val="6"/>
  </w:num>
  <w:num w:numId="54" w16cid:durableId="790631489">
    <w:abstractNumId w:val="6"/>
  </w:num>
  <w:num w:numId="55" w16cid:durableId="1298878324">
    <w:abstractNumId w:val="6"/>
  </w:num>
  <w:num w:numId="56" w16cid:durableId="1588803660">
    <w:abstractNumId w:val="6"/>
  </w:num>
  <w:num w:numId="57" w16cid:durableId="61026016">
    <w:abstractNumId w:val="6"/>
  </w:num>
  <w:num w:numId="58" w16cid:durableId="1211840347">
    <w:abstractNumId w:val="6"/>
  </w:num>
  <w:num w:numId="59" w16cid:durableId="1599486238">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2EE8"/>
    <w:rsid w:val="00016A3F"/>
    <w:rsid w:val="000268ED"/>
    <w:rsid w:val="000373B2"/>
    <w:rsid w:val="00041521"/>
    <w:rsid w:val="00042CF5"/>
    <w:rsid w:val="00057162"/>
    <w:rsid w:val="00060CA0"/>
    <w:rsid w:val="00062189"/>
    <w:rsid w:val="00062DB3"/>
    <w:rsid w:val="00063A26"/>
    <w:rsid w:val="00064FBF"/>
    <w:rsid w:val="0006588B"/>
    <w:rsid w:val="00083071"/>
    <w:rsid w:val="0008468B"/>
    <w:rsid w:val="00084863"/>
    <w:rsid w:val="00084CF1"/>
    <w:rsid w:val="000A1617"/>
    <w:rsid w:val="000A468A"/>
    <w:rsid w:val="000A517F"/>
    <w:rsid w:val="000B0776"/>
    <w:rsid w:val="000B0FBD"/>
    <w:rsid w:val="000B1F5C"/>
    <w:rsid w:val="000B489A"/>
    <w:rsid w:val="000B5884"/>
    <w:rsid w:val="000B6940"/>
    <w:rsid w:val="000F12AE"/>
    <w:rsid w:val="000F4728"/>
    <w:rsid w:val="00107D9D"/>
    <w:rsid w:val="001147CB"/>
    <w:rsid w:val="00117F1A"/>
    <w:rsid w:val="00125BD5"/>
    <w:rsid w:val="00132EA5"/>
    <w:rsid w:val="00150C9A"/>
    <w:rsid w:val="00171522"/>
    <w:rsid w:val="0018252D"/>
    <w:rsid w:val="00187EEA"/>
    <w:rsid w:val="001A56F1"/>
    <w:rsid w:val="001B3F3A"/>
    <w:rsid w:val="001B4738"/>
    <w:rsid w:val="001C0987"/>
    <w:rsid w:val="001F0C27"/>
    <w:rsid w:val="001F6CDE"/>
    <w:rsid w:val="0020446F"/>
    <w:rsid w:val="00217D63"/>
    <w:rsid w:val="002351B0"/>
    <w:rsid w:val="00236A45"/>
    <w:rsid w:val="002537AC"/>
    <w:rsid w:val="002573FA"/>
    <w:rsid w:val="0026279A"/>
    <w:rsid w:val="00262F52"/>
    <w:rsid w:val="00266B00"/>
    <w:rsid w:val="002764E2"/>
    <w:rsid w:val="002837C0"/>
    <w:rsid w:val="002A0933"/>
    <w:rsid w:val="002A096E"/>
    <w:rsid w:val="002C56ED"/>
    <w:rsid w:val="002C5EB1"/>
    <w:rsid w:val="002D3C5B"/>
    <w:rsid w:val="002E53F9"/>
    <w:rsid w:val="002E590C"/>
    <w:rsid w:val="002F316D"/>
    <w:rsid w:val="00303F8A"/>
    <w:rsid w:val="00310176"/>
    <w:rsid w:val="00345C92"/>
    <w:rsid w:val="00354CE2"/>
    <w:rsid w:val="00355B8E"/>
    <w:rsid w:val="003604B9"/>
    <w:rsid w:val="00371CF1"/>
    <w:rsid w:val="003772FB"/>
    <w:rsid w:val="003847CE"/>
    <w:rsid w:val="00391152"/>
    <w:rsid w:val="003975E7"/>
    <w:rsid w:val="003A2928"/>
    <w:rsid w:val="003B2862"/>
    <w:rsid w:val="003B386D"/>
    <w:rsid w:val="003B4B20"/>
    <w:rsid w:val="003C2538"/>
    <w:rsid w:val="003D485F"/>
    <w:rsid w:val="003D5328"/>
    <w:rsid w:val="003E481F"/>
    <w:rsid w:val="003F16E6"/>
    <w:rsid w:val="003F21B0"/>
    <w:rsid w:val="00401B3F"/>
    <w:rsid w:val="004043D1"/>
    <w:rsid w:val="004124B2"/>
    <w:rsid w:val="0041278C"/>
    <w:rsid w:val="00417683"/>
    <w:rsid w:val="00422748"/>
    <w:rsid w:val="0042468B"/>
    <w:rsid w:val="00426673"/>
    <w:rsid w:val="00431E28"/>
    <w:rsid w:val="00441824"/>
    <w:rsid w:val="00444C58"/>
    <w:rsid w:val="004478C3"/>
    <w:rsid w:val="004607F7"/>
    <w:rsid w:val="00477738"/>
    <w:rsid w:val="00485E88"/>
    <w:rsid w:val="004870BC"/>
    <w:rsid w:val="00491466"/>
    <w:rsid w:val="004954BD"/>
    <w:rsid w:val="004A4216"/>
    <w:rsid w:val="004F3B0F"/>
    <w:rsid w:val="004F5C4B"/>
    <w:rsid w:val="00502B59"/>
    <w:rsid w:val="00502DAA"/>
    <w:rsid w:val="00512B71"/>
    <w:rsid w:val="0051533E"/>
    <w:rsid w:val="0053773D"/>
    <w:rsid w:val="00544F07"/>
    <w:rsid w:val="0055059B"/>
    <w:rsid w:val="00550977"/>
    <w:rsid w:val="00564AD2"/>
    <w:rsid w:val="005725B7"/>
    <w:rsid w:val="005813A2"/>
    <w:rsid w:val="005B0110"/>
    <w:rsid w:val="005B7CBF"/>
    <w:rsid w:val="005C1713"/>
    <w:rsid w:val="005D3EBB"/>
    <w:rsid w:val="005E217A"/>
    <w:rsid w:val="00614A8F"/>
    <w:rsid w:val="00620B90"/>
    <w:rsid w:val="00627329"/>
    <w:rsid w:val="006356AF"/>
    <w:rsid w:val="00635927"/>
    <w:rsid w:val="00635A41"/>
    <w:rsid w:val="00637AEE"/>
    <w:rsid w:val="006417A3"/>
    <w:rsid w:val="0064414D"/>
    <w:rsid w:val="006548BF"/>
    <w:rsid w:val="00660504"/>
    <w:rsid w:val="00663459"/>
    <w:rsid w:val="0067468C"/>
    <w:rsid w:val="00674E5A"/>
    <w:rsid w:val="0069014A"/>
    <w:rsid w:val="00690C42"/>
    <w:rsid w:val="00692636"/>
    <w:rsid w:val="00696720"/>
    <w:rsid w:val="006A6BCA"/>
    <w:rsid w:val="006B416E"/>
    <w:rsid w:val="006C4A37"/>
    <w:rsid w:val="006E2D9E"/>
    <w:rsid w:val="007033ED"/>
    <w:rsid w:val="00712628"/>
    <w:rsid w:val="00721142"/>
    <w:rsid w:val="00734EFF"/>
    <w:rsid w:val="00770A62"/>
    <w:rsid w:val="0077195E"/>
    <w:rsid w:val="00777426"/>
    <w:rsid w:val="00791F14"/>
    <w:rsid w:val="007B245C"/>
    <w:rsid w:val="007C0735"/>
    <w:rsid w:val="007C78FC"/>
    <w:rsid w:val="007E2BB5"/>
    <w:rsid w:val="007F3CE9"/>
    <w:rsid w:val="0080295F"/>
    <w:rsid w:val="00803332"/>
    <w:rsid w:val="00806CEC"/>
    <w:rsid w:val="00812361"/>
    <w:rsid w:val="00816DAC"/>
    <w:rsid w:val="00821474"/>
    <w:rsid w:val="00822CE0"/>
    <w:rsid w:val="0082359B"/>
    <w:rsid w:val="00823B65"/>
    <w:rsid w:val="00827004"/>
    <w:rsid w:val="0083290E"/>
    <w:rsid w:val="008372E0"/>
    <w:rsid w:val="00843FF2"/>
    <w:rsid w:val="008446B0"/>
    <w:rsid w:val="008453AB"/>
    <w:rsid w:val="00847984"/>
    <w:rsid w:val="00854EEA"/>
    <w:rsid w:val="008551DA"/>
    <w:rsid w:val="008623C9"/>
    <w:rsid w:val="008C0017"/>
    <w:rsid w:val="008D193F"/>
    <w:rsid w:val="008E78E8"/>
    <w:rsid w:val="008F11E8"/>
    <w:rsid w:val="008F173C"/>
    <w:rsid w:val="0091069C"/>
    <w:rsid w:val="0093546A"/>
    <w:rsid w:val="00940441"/>
    <w:rsid w:val="00943D63"/>
    <w:rsid w:val="00953ED3"/>
    <w:rsid w:val="00955BB3"/>
    <w:rsid w:val="00961E12"/>
    <w:rsid w:val="0099277B"/>
    <w:rsid w:val="009A38AD"/>
    <w:rsid w:val="009A565A"/>
    <w:rsid w:val="009B0DE6"/>
    <w:rsid w:val="009D3ACA"/>
    <w:rsid w:val="009D755B"/>
    <w:rsid w:val="009F3C0F"/>
    <w:rsid w:val="009F496C"/>
    <w:rsid w:val="00A10495"/>
    <w:rsid w:val="00A148A1"/>
    <w:rsid w:val="00A267C5"/>
    <w:rsid w:val="00A36C09"/>
    <w:rsid w:val="00A37C9F"/>
    <w:rsid w:val="00A65270"/>
    <w:rsid w:val="00A70123"/>
    <w:rsid w:val="00A75821"/>
    <w:rsid w:val="00A75936"/>
    <w:rsid w:val="00A76B07"/>
    <w:rsid w:val="00A81B98"/>
    <w:rsid w:val="00A83B56"/>
    <w:rsid w:val="00A90305"/>
    <w:rsid w:val="00A972B1"/>
    <w:rsid w:val="00A97A4F"/>
    <w:rsid w:val="00AA63A3"/>
    <w:rsid w:val="00AB5EB7"/>
    <w:rsid w:val="00AB7F34"/>
    <w:rsid w:val="00AD1EC1"/>
    <w:rsid w:val="00AD4D97"/>
    <w:rsid w:val="00AE2453"/>
    <w:rsid w:val="00AE2695"/>
    <w:rsid w:val="00AE4644"/>
    <w:rsid w:val="00AE48BF"/>
    <w:rsid w:val="00B05DFC"/>
    <w:rsid w:val="00B11F5E"/>
    <w:rsid w:val="00B25DA2"/>
    <w:rsid w:val="00B36EEA"/>
    <w:rsid w:val="00B5101B"/>
    <w:rsid w:val="00B627E8"/>
    <w:rsid w:val="00B95D3F"/>
    <w:rsid w:val="00BA4B55"/>
    <w:rsid w:val="00BB0817"/>
    <w:rsid w:val="00BB368C"/>
    <w:rsid w:val="00BB4F9A"/>
    <w:rsid w:val="00BC4F7B"/>
    <w:rsid w:val="00BD135F"/>
    <w:rsid w:val="00BD5927"/>
    <w:rsid w:val="00BE0EFC"/>
    <w:rsid w:val="00BF5AC1"/>
    <w:rsid w:val="00C12C93"/>
    <w:rsid w:val="00C26D0E"/>
    <w:rsid w:val="00C325F5"/>
    <w:rsid w:val="00C457E8"/>
    <w:rsid w:val="00C609B9"/>
    <w:rsid w:val="00C635C3"/>
    <w:rsid w:val="00CB2BBA"/>
    <w:rsid w:val="00CC7D79"/>
    <w:rsid w:val="00CD36C2"/>
    <w:rsid w:val="00CE2386"/>
    <w:rsid w:val="00CE4290"/>
    <w:rsid w:val="00CF0690"/>
    <w:rsid w:val="00CF6E0E"/>
    <w:rsid w:val="00D14691"/>
    <w:rsid w:val="00D1782C"/>
    <w:rsid w:val="00D20D13"/>
    <w:rsid w:val="00D24847"/>
    <w:rsid w:val="00D26046"/>
    <w:rsid w:val="00D32E49"/>
    <w:rsid w:val="00D4002B"/>
    <w:rsid w:val="00D4492B"/>
    <w:rsid w:val="00D45A45"/>
    <w:rsid w:val="00D47564"/>
    <w:rsid w:val="00D53346"/>
    <w:rsid w:val="00D53348"/>
    <w:rsid w:val="00D60754"/>
    <w:rsid w:val="00D64F50"/>
    <w:rsid w:val="00D657AE"/>
    <w:rsid w:val="00D76C31"/>
    <w:rsid w:val="00D810B3"/>
    <w:rsid w:val="00E03FD0"/>
    <w:rsid w:val="00E152ED"/>
    <w:rsid w:val="00E31D44"/>
    <w:rsid w:val="00E32408"/>
    <w:rsid w:val="00E32419"/>
    <w:rsid w:val="00E34CAE"/>
    <w:rsid w:val="00E3648C"/>
    <w:rsid w:val="00E415A2"/>
    <w:rsid w:val="00E54B37"/>
    <w:rsid w:val="00E57F4E"/>
    <w:rsid w:val="00E63F6D"/>
    <w:rsid w:val="00E71669"/>
    <w:rsid w:val="00E845D4"/>
    <w:rsid w:val="00E93901"/>
    <w:rsid w:val="00EB2CB2"/>
    <w:rsid w:val="00EB4679"/>
    <w:rsid w:val="00EB540B"/>
    <w:rsid w:val="00EC22CC"/>
    <w:rsid w:val="00EC2430"/>
    <w:rsid w:val="00ED1576"/>
    <w:rsid w:val="00ED6B69"/>
    <w:rsid w:val="00EE34F4"/>
    <w:rsid w:val="00EE7DE1"/>
    <w:rsid w:val="00EF0728"/>
    <w:rsid w:val="00EF22A4"/>
    <w:rsid w:val="00EF283E"/>
    <w:rsid w:val="00F0674E"/>
    <w:rsid w:val="00F124E6"/>
    <w:rsid w:val="00F21684"/>
    <w:rsid w:val="00F33B8F"/>
    <w:rsid w:val="00F4647C"/>
    <w:rsid w:val="00F51D7B"/>
    <w:rsid w:val="00F54EA0"/>
    <w:rsid w:val="00F54FDA"/>
    <w:rsid w:val="00F66740"/>
    <w:rsid w:val="00F70DF0"/>
    <w:rsid w:val="00F86E4C"/>
    <w:rsid w:val="00F96EE9"/>
    <w:rsid w:val="00FA290F"/>
    <w:rsid w:val="00FD42D2"/>
    <w:rsid w:val="00FD747C"/>
    <w:rsid w:val="00FE285D"/>
    <w:rsid w:val="00FF554E"/>
    <w:rsid w:val="00FF7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character" w:styleId="lev">
    <w:name w:val="Strong"/>
    <w:basedOn w:val="Policepardfaut"/>
    <w:uiPriority w:val="22"/>
    <w:qFormat/>
    <w:rsid w:val="00BB0817"/>
    <w:rPr>
      <w:b/>
      <w:bCs/>
    </w:rPr>
  </w:style>
  <w:style w:type="paragraph" w:styleId="Rvision">
    <w:name w:val="Revision"/>
    <w:hidden/>
    <w:uiPriority w:val="99"/>
    <w:semiHidden/>
    <w:rsid w:val="00D1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1402</Words>
  <Characters>7715</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5</cp:revision>
  <dcterms:created xsi:type="dcterms:W3CDTF">2026-04-21T07:49:00Z</dcterms:created>
  <dcterms:modified xsi:type="dcterms:W3CDTF">2026-04-22T07:47:00Z</dcterms:modified>
</cp:coreProperties>
</file>