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023976F"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25E74DCA" w:rsidR="00EC22CC" w:rsidRDefault="00D42937" w:rsidP="00854EEA">
            <w:pPr>
              <w:jc w:val="center"/>
              <w:rPr>
                <w:rFonts w:ascii="Verdana" w:hAnsi="Verdana"/>
                <w:b/>
                <w:bCs/>
                <w:sz w:val="20"/>
                <w:szCs w:val="20"/>
              </w:rPr>
            </w:pPr>
            <w:r w:rsidRPr="00D42937">
              <w:rPr>
                <w:rFonts w:ascii="Verdana" w:hAnsi="Verdana"/>
                <w:b/>
                <w:bCs/>
                <w:sz w:val="20"/>
                <w:szCs w:val="20"/>
              </w:rPr>
              <w:t xml:space="preserve">Projet </w:t>
            </w:r>
            <w:r w:rsidR="002F3A03">
              <w:rPr>
                <w:rFonts w:ascii="Verdana" w:hAnsi="Verdana"/>
                <w:b/>
                <w:bCs/>
                <w:sz w:val="20"/>
                <w:szCs w:val="20"/>
              </w:rPr>
              <w:t>Résilience d</w:t>
            </w:r>
            <w:r w:rsidR="00DE795F">
              <w:rPr>
                <w:rFonts w:ascii="Verdana" w:hAnsi="Verdana"/>
                <w:b/>
                <w:bCs/>
                <w:sz w:val="20"/>
                <w:szCs w:val="20"/>
              </w:rPr>
              <w:t>e</w:t>
            </w:r>
            <w:r w:rsidR="002F3A03">
              <w:rPr>
                <w:rFonts w:ascii="Verdana" w:hAnsi="Verdana"/>
                <w:b/>
                <w:bCs/>
                <w:sz w:val="20"/>
                <w:szCs w:val="20"/>
              </w:rPr>
              <w:t xml:space="preserve">s Zones </w:t>
            </w:r>
            <w:r w:rsidR="00DE795F">
              <w:rPr>
                <w:rFonts w:ascii="Verdana" w:hAnsi="Verdana"/>
                <w:b/>
                <w:bCs/>
                <w:sz w:val="20"/>
                <w:szCs w:val="20"/>
              </w:rPr>
              <w:t>Côtières</w:t>
            </w:r>
            <w:r w:rsidR="002F3A03">
              <w:rPr>
                <w:rFonts w:ascii="Verdana" w:hAnsi="Verdana"/>
                <w:b/>
                <w:bCs/>
                <w:sz w:val="20"/>
                <w:szCs w:val="20"/>
              </w:rPr>
              <w:t xml:space="preserve"> de l’Océan Indien (</w:t>
            </w:r>
            <w:r w:rsidRPr="00D42937">
              <w:rPr>
                <w:rFonts w:ascii="Verdana" w:hAnsi="Verdana"/>
                <w:b/>
                <w:bCs/>
                <w:sz w:val="20"/>
                <w:szCs w:val="20"/>
              </w:rPr>
              <w:t>RECOS</w:t>
            </w:r>
            <w:r w:rsidR="002F3A03">
              <w:rPr>
                <w:rFonts w:ascii="Verdana" w:hAnsi="Verdana"/>
                <w:b/>
                <w:bCs/>
                <w:sz w:val="20"/>
                <w:szCs w:val="20"/>
              </w:rPr>
              <w:t>)</w:t>
            </w:r>
            <w:r w:rsidRPr="00D42937">
              <w:rPr>
                <w:rFonts w:ascii="Verdana" w:hAnsi="Verdana"/>
                <w:b/>
                <w:bCs/>
                <w:sz w:val="20"/>
                <w:szCs w:val="20"/>
              </w:rPr>
              <w:t xml:space="preserve"> : </w:t>
            </w:r>
            <w:r w:rsidR="002817DF">
              <w:rPr>
                <w:rFonts w:ascii="Verdana" w:hAnsi="Verdana"/>
                <w:b/>
                <w:bCs/>
                <w:sz w:val="20"/>
                <w:szCs w:val="20"/>
              </w:rPr>
              <w:t>A</w:t>
            </w:r>
            <w:r w:rsidRPr="00D42937">
              <w:rPr>
                <w:rFonts w:ascii="Verdana" w:hAnsi="Verdana"/>
                <w:b/>
                <w:bCs/>
                <w:sz w:val="20"/>
                <w:szCs w:val="20"/>
              </w:rPr>
              <w:t>ppuis à la G</w:t>
            </w:r>
            <w:r w:rsidR="002817DF">
              <w:rPr>
                <w:rFonts w:ascii="Verdana" w:hAnsi="Verdana"/>
                <w:b/>
                <w:bCs/>
                <w:sz w:val="20"/>
                <w:szCs w:val="20"/>
              </w:rPr>
              <w:t xml:space="preserve">estion </w:t>
            </w:r>
            <w:r w:rsidRPr="00D42937">
              <w:rPr>
                <w:rFonts w:ascii="Verdana" w:hAnsi="Verdana"/>
                <w:b/>
                <w:bCs/>
                <w:sz w:val="20"/>
                <w:szCs w:val="20"/>
              </w:rPr>
              <w:t>I</w:t>
            </w:r>
            <w:r w:rsidR="002817DF">
              <w:rPr>
                <w:rFonts w:ascii="Verdana" w:hAnsi="Verdana"/>
                <w:b/>
                <w:bCs/>
                <w:sz w:val="20"/>
                <w:szCs w:val="20"/>
              </w:rPr>
              <w:t xml:space="preserve">ntégrée des Zones </w:t>
            </w:r>
            <w:r w:rsidRPr="00D42937">
              <w:rPr>
                <w:rFonts w:ascii="Verdana" w:hAnsi="Verdana"/>
                <w:b/>
                <w:bCs/>
                <w:sz w:val="20"/>
                <w:szCs w:val="20"/>
              </w:rPr>
              <w:t>C</w:t>
            </w:r>
            <w:r w:rsidR="002817DF">
              <w:rPr>
                <w:rFonts w:ascii="Verdana" w:hAnsi="Verdana"/>
                <w:b/>
                <w:bCs/>
                <w:sz w:val="20"/>
                <w:szCs w:val="20"/>
              </w:rPr>
              <w:t>ôtières (GIZC)</w:t>
            </w:r>
            <w:r w:rsidRPr="00D42937">
              <w:rPr>
                <w:rFonts w:ascii="Verdana" w:hAnsi="Verdana"/>
                <w:b/>
                <w:bCs/>
                <w:sz w:val="20"/>
                <w:szCs w:val="20"/>
              </w:rPr>
              <w:t>, capitalisation et pérennisation</w:t>
            </w:r>
          </w:p>
        </w:tc>
      </w:tr>
      <w:tr w:rsidR="00EC22CC" w14:paraId="7F1B63D2" w14:textId="77777777" w:rsidTr="002A0933">
        <w:tc>
          <w:tcPr>
            <w:tcW w:w="7225" w:type="dxa"/>
          </w:tcPr>
          <w:p w14:paraId="056D9B10" w14:textId="642E328A" w:rsidR="00EC22CC" w:rsidRPr="001D5428" w:rsidRDefault="009A1EBC" w:rsidP="002A096E">
            <w:pPr>
              <w:rPr>
                <w:rFonts w:ascii="Verdana" w:hAnsi="Verdana"/>
                <w:sz w:val="20"/>
                <w:szCs w:val="20"/>
              </w:rPr>
            </w:pPr>
            <w:r w:rsidRPr="001D5428">
              <w:rPr>
                <w:rFonts w:ascii="Verdana" w:hAnsi="Verdana"/>
                <w:sz w:val="20"/>
                <w:szCs w:val="20"/>
              </w:rPr>
              <w:t>Comité des OPL n°0</w:t>
            </w:r>
            <w:r w:rsidR="00D64749">
              <w:rPr>
                <w:rFonts w:ascii="Verdana" w:hAnsi="Verdana"/>
                <w:sz w:val="20"/>
                <w:szCs w:val="20"/>
              </w:rPr>
              <w:t>2</w:t>
            </w:r>
            <w:r w:rsidRPr="001D5428">
              <w:rPr>
                <w:rFonts w:ascii="Verdana" w:hAnsi="Verdana"/>
                <w:sz w:val="20"/>
                <w:szCs w:val="20"/>
              </w:rPr>
              <w:t>/2</w:t>
            </w:r>
            <w:r w:rsidR="001D3475" w:rsidRPr="001D5428">
              <w:rPr>
                <w:rFonts w:ascii="Verdana" w:hAnsi="Verdana"/>
                <w:sz w:val="20"/>
                <w:szCs w:val="20"/>
              </w:rPr>
              <w:t>02</w:t>
            </w:r>
            <w:r w:rsidR="008D4263" w:rsidRPr="001D5428">
              <w:rPr>
                <w:rFonts w:ascii="Verdana" w:hAnsi="Verdana"/>
                <w:sz w:val="20"/>
                <w:szCs w:val="20"/>
              </w:rPr>
              <w:t>6</w:t>
            </w:r>
            <w:r w:rsidR="001D3475" w:rsidRPr="001D5428">
              <w:rPr>
                <w:rFonts w:ascii="Verdana" w:hAnsi="Verdana"/>
                <w:sz w:val="20"/>
                <w:szCs w:val="20"/>
              </w:rPr>
              <w:t xml:space="preserve"> | </w:t>
            </w:r>
            <w:r w:rsidR="00D64749">
              <w:rPr>
                <w:rFonts w:ascii="Verdana" w:hAnsi="Verdana"/>
                <w:sz w:val="20"/>
                <w:szCs w:val="20"/>
              </w:rPr>
              <w:t>05-07</w:t>
            </w:r>
            <w:r w:rsidR="00BE381C">
              <w:rPr>
                <w:rFonts w:ascii="Verdana" w:hAnsi="Verdana"/>
                <w:sz w:val="20"/>
                <w:szCs w:val="20"/>
              </w:rPr>
              <w:t xml:space="preserve"> </w:t>
            </w:r>
            <w:r w:rsidR="00707E6F" w:rsidRPr="001D5428">
              <w:rPr>
                <w:rFonts w:ascii="Verdana" w:hAnsi="Verdana"/>
                <w:sz w:val="20"/>
                <w:szCs w:val="20"/>
              </w:rPr>
              <w:t>202</w:t>
            </w:r>
            <w:r w:rsidR="008D4263" w:rsidRPr="001D5428">
              <w:rPr>
                <w:rFonts w:ascii="Verdana" w:hAnsi="Verdana"/>
                <w:sz w:val="20"/>
                <w:szCs w:val="20"/>
              </w:rPr>
              <w:t>6</w:t>
            </w:r>
            <w:r w:rsidR="001D3475" w:rsidRPr="001D5428">
              <w:rPr>
                <w:rFonts w:ascii="Verdana" w:hAnsi="Verdana"/>
                <w:sz w:val="20"/>
                <w:szCs w:val="20"/>
              </w:rPr>
              <w:t xml:space="preserve">, </w:t>
            </w:r>
            <w:r w:rsidR="00707E6F" w:rsidRPr="001D5428">
              <w:rPr>
                <w:rFonts w:ascii="Verdana" w:hAnsi="Verdana"/>
                <w:sz w:val="20"/>
                <w:szCs w:val="20"/>
              </w:rPr>
              <w:t>Maurice</w:t>
            </w:r>
          </w:p>
        </w:tc>
        <w:tc>
          <w:tcPr>
            <w:tcW w:w="1837" w:type="dxa"/>
          </w:tcPr>
          <w:p w14:paraId="58E25D1F" w14:textId="1451CAB6"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707E6F">
              <w:rPr>
                <w:rFonts w:ascii="Verdana" w:hAnsi="Verdana"/>
                <w:sz w:val="20"/>
                <w:szCs w:val="20"/>
              </w:rPr>
              <w:t>2.2.</w:t>
            </w:r>
          </w:p>
        </w:tc>
      </w:tr>
      <w:tr w:rsidR="00EC22CC" w14:paraId="537D1DE5" w14:textId="77777777" w:rsidTr="002A0933">
        <w:tc>
          <w:tcPr>
            <w:tcW w:w="7225" w:type="dxa"/>
          </w:tcPr>
          <w:p w14:paraId="43DEF09E" w14:textId="6C7BE59C"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707E6F" w:rsidRPr="002817DF">
              <w:rPr>
                <w:rFonts w:ascii="Verdana" w:hAnsi="Verdana"/>
                <w:b/>
                <w:bCs/>
                <w:sz w:val="20"/>
                <w:szCs w:val="20"/>
              </w:rPr>
              <w:t xml:space="preserve">Anfani </w:t>
            </w:r>
            <w:r w:rsidR="00707E6F">
              <w:rPr>
                <w:rFonts w:ascii="Verdana" w:hAnsi="Verdana"/>
                <w:sz w:val="20"/>
                <w:szCs w:val="20"/>
              </w:rPr>
              <w:t>M</w:t>
            </w:r>
            <w:r w:rsidR="001D5428">
              <w:rPr>
                <w:rFonts w:ascii="Verdana" w:hAnsi="Verdana"/>
                <w:sz w:val="20"/>
                <w:szCs w:val="20"/>
              </w:rPr>
              <w:t>SOILI</w:t>
            </w:r>
            <w:r w:rsidR="00707E6F">
              <w:rPr>
                <w:rFonts w:ascii="Verdana" w:hAnsi="Verdana"/>
                <w:sz w:val="20"/>
                <w:szCs w:val="20"/>
              </w:rPr>
              <w:t xml:space="preserve">, </w:t>
            </w:r>
            <w:r w:rsidR="001D5428">
              <w:rPr>
                <w:rFonts w:ascii="Verdana" w:hAnsi="Verdana"/>
                <w:sz w:val="20"/>
                <w:szCs w:val="20"/>
              </w:rPr>
              <w:t>C</w:t>
            </w:r>
            <w:r w:rsidR="00707E6F">
              <w:rPr>
                <w:rFonts w:ascii="Verdana" w:hAnsi="Verdana"/>
                <w:sz w:val="20"/>
                <w:szCs w:val="20"/>
              </w:rPr>
              <w:t>hargé de mission</w:t>
            </w:r>
            <w:r w:rsidR="00695169">
              <w:rPr>
                <w:rFonts w:ascii="Verdana" w:hAnsi="Verdana"/>
                <w:sz w:val="20"/>
                <w:szCs w:val="20"/>
              </w:rPr>
              <w:t xml:space="preserve"> DI-1</w:t>
            </w:r>
          </w:p>
        </w:tc>
        <w:tc>
          <w:tcPr>
            <w:tcW w:w="1837" w:type="dxa"/>
          </w:tcPr>
          <w:p w14:paraId="5AC1AFAB" w14:textId="1318D3B8" w:rsidR="00EC22CC" w:rsidRPr="002A0933" w:rsidRDefault="001D3475" w:rsidP="00854EEA">
            <w:pPr>
              <w:jc w:val="center"/>
              <w:rPr>
                <w:rFonts w:ascii="Verdana" w:hAnsi="Verdana"/>
                <w:sz w:val="20"/>
                <w:szCs w:val="20"/>
              </w:rPr>
            </w:pPr>
            <w:r>
              <w:rPr>
                <w:rFonts w:ascii="Verdana" w:hAnsi="Verdana"/>
                <w:sz w:val="20"/>
                <w:szCs w:val="20"/>
              </w:rPr>
              <w:t>Décision</w:t>
            </w:r>
          </w:p>
        </w:tc>
      </w:tr>
      <w:tr w:rsidR="00A90305" w14:paraId="6896DB30" w14:textId="77777777" w:rsidTr="009F5233">
        <w:tc>
          <w:tcPr>
            <w:tcW w:w="9062" w:type="dxa"/>
            <w:gridSpan w:val="2"/>
          </w:tcPr>
          <w:p w14:paraId="0495241B" w14:textId="139811E9" w:rsidR="00A90305" w:rsidRDefault="00A90305" w:rsidP="00A90305">
            <w:pPr>
              <w:rPr>
                <w:rFonts w:ascii="Verdana" w:hAnsi="Verdana"/>
                <w:sz w:val="20"/>
                <w:szCs w:val="20"/>
              </w:rPr>
            </w:pPr>
            <w:r>
              <w:rPr>
                <w:rFonts w:ascii="Verdana" w:hAnsi="Verdana"/>
                <w:i/>
                <w:iCs/>
                <w:sz w:val="20"/>
                <w:szCs w:val="20"/>
              </w:rPr>
              <w:t xml:space="preserve">Version du </w:t>
            </w:r>
            <w:r w:rsidR="00876B17">
              <w:rPr>
                <w:rFonts w:ascii="Verdana" w:hAnsi="Verdana"/>
                <w:i/>
                <w:iCs/>
                <w:sz w:val="20"/>
                <w:szCs w:val="20"/>
              </w:rPr>
              <w:t>20</w:t>
            </w:r>
            <w:r w:rsidR="003305D0">
              <w:rPr>
                <w:rFonts w:ascii="Verdana" w:hAnsi="Verdana"/>
                <w:i/>
                <w:iCs/>
                <w:sz w:val="20"/>
                <w:szCs w:val="20"/>
              </w:rPr>
              <w:t xml:space="preserve"> avril 2026</w:t>
            </w:r>
            <w:r>
              <w:rPr>
                <w:rFonts w:ascii="Verdana" w:hAnsi="Verdana"/>
                <w:i/>
                <w:iCs/>
                <w:sz w:val="20"/>
                <w:szCs w:val="20"/>
              </w:rPr>
              <w:t xml:space="preserve"> </w:t>
            </w:r>
          </w:p>
        </w:tc>
      </w:tr>
    </w:tbl>
    <w:p w14:paraId="1611BCC4" w14:textId="77777777" w:rsidR="00854EEA" w:rsidRPr="00204C61" w:rsidRDefault="00854EEA" w:rsidP="00816DAC">
      <w:pPr>
        <w:pStyle w:val="Paragraphe"/>
        <w:rPr>
          <w:sz w:val="2"/>
          <w:szCs w:val="2"/>
        </w:rPr>
      </w:pPr>
      <w:bookmarkStart w:id="0" w:name="_Hlk24535240"/>
    </w:p>
    <w:p w14:paraId="678F0DFC" w14:textId="3923B394" w:rsidR="00854EEA" w:rsidRDefault="00955BB3" w:rsidP="00A70123">
      <w:pPr>
        <w:pStyle w:val="Titrepartie"/>
      </w:pPr>
      <w:r w:rsidRPr="0008468B">
        <w:t>Résumé</w:t>
      </w:r>
    </w:p>
    <w:p w14:paraId="1290620C" w14:textId="15644F8C" w:rsidR="00A90764" w:rsidRDefault="003305D0" w:rsidP="00A1740F">
      <w:pPr>
        <w:pStyle w:val="Titrepartie"/>
        <w:numPr>
          <w:ilvl w:val="0"/>
          <w:numId w:val="0"/>
        </w:numPr>
        <w:contextualSpacing w:val="0"/>
        <w:rPr>
          <w:b w:val="0"/>
          <w:bCs w:val="0"/>
          <w:color w:val="auto"/>
          <w:sz w:val="20"/>
        </w:rPr>
      </w:pPr>
      <w:r>
        <w:rPr>
          <w:b w:val="0"/>
          <w:bCs w:val="0"/>
          <w:color w:val="auto"/>
          <w:sz w:val="20"/>
        </w:rPr>
        <w:t xml:space="preserve">Le projet </w:t>
      </w:r>
      <w:r w:rsidR="00D05D77">
        <w:rPr>
          <w:b w:val="0"/>
          <w:bCs w:val="0"/>
          <w:color w:val="auto"/>
          <w:sz w:val="20"/>
        </w:rPr>
        <w:t>Résilience des Zones Côtières de l’Océan Indien (</w:t>
      </w:r>
      <w:r>
        <w:rPr>
          <w:b w:val="0"/>
          <w:bCs w:val="0"/>
          <w:color w:val="auto"/>
          <w:sz w:val="20"/>
        </w:rPr>
        <w:t>RECOS</w:t>
      </w:r>
      <w:r w:rsidR="00D05D77">
        <w:rPr>
          <w:b w:val="0"/>
          <w:bCs w:val="0"/>
          <w:color w:val="auto"/>
          <w:sz w:val="20"/>
        </w:rPr>
        <w:t>)</w:t>
      </w:r>
      <w:r w:rsidR="002F3A03">
        <w:rPr>
          <w:b w:val="0"/>
          <w:bCs w:val="0"/>
          <w:color w:val="auto"/>
          <w:sz w:val="20"/>
        </w:rPr>
        <w:t xml:space="preserve"> a pour objectif global, le renforcement de la résilience des populations et des écosystèmes côtiers face aux effets du changement climatique en restaurant les services rendus par les écosystèmes. Le projet</w:t>
      </w:r>
      <w:r>
        <w:rPr>
          <w:b w:val="0"/>
          <w:bCs w:val="0"/>
          <w:color w:val="auto"/>
          <w:sz w:val="20"/>
        </w:rPr>
        <w:t xml:space="preserve"> entre dans sa dernière année de mise en œuvre. Le 4</w:t>
      </w:r>
      <w:r w:rsidRPr="003305D0">
        <w:rPr>
          <w:b w:val="0"/>
          <w:bCs w:val="0"/>
          <w:color w:val="auto"/>
          <w:sz w:val="20"/>
          <w:vertAlign w:val="superscript"/>
        </w:rPr>
        <w:t>ème</w:t>
      </w:r>
      <w:r>
        <w:rPr>
          <w:b w:val="0"/>
          <w:bCs w:val="0"/>
          <w:color w:val="auto"/>
          <w:sz w:val="20"/>
        </w:rPr>
        <w:t xml:space="preserve"> comité de pilotage </w:t>
      </w:r>
      <w:r w:rsidR="00876B17">
        <w:rPr>
          <w:b w:val="0"/>
          <w:bCs w:val="0"/>
          <w:color w:val="auto"/>
          <w:sz w:val="20"/>
        </w:rPr>
        <w:t>a eu lieu du 1</w:t>
      </w:r>
      <w:r w:rsidR="00876B17" w:rsidRPr="001D5428">
        <w:rPr>
          <w:b w:val="0"/>
          <w:bCs w:val="0"/>
          <w:color w:val="auto"/>
          <w:sz w:val="20"/>
          <w:vertAlign w:val="superscript"/>
        </w:rPr>
        <w:t>er</w:t>
      </w:r>
      <w:r w:rsidR="00876B17">
        <w:rPr>
          <w:b w:val="0"/>
          <w:bCs w:val="0"/>
          <w:color w:val="auto"/>
          <w:sz w:val="20"/>
        </w:rPr>
        <w:t xml:space="preserve"> au 04 </w:t>
      </w:r>
      <w:r>
        <w:rPr>
          <w:b w:val="0"/>
          <w:bCs w:val="0"/>
          <w:color w:val="auto"/>
          <w:sz w:val="20"/>
        </w:rPr>
        <w:t>décembre 2025</w:t>
      </w:r>
      <w:r w:rsidR="002F3A03">
        <w:rPr>
          <w:b w:val="0"/>
          <w:bCs w:val="0"/>
          <w:color w:val="auto"/>
          <w:sz w:val="20"/>
        </w:rPr>
        <w:t xml:space="preserve"> </w:t>
      </w:r>
      <w:r w:rsidR="00876B17">
        <w:rPr>
          <w:b w:val="0"/>
          <w:bCs w:val="0"/>
          <w:color w:val="auto"/>
          <w:sz w:val="20"/>
        </w:rPr>
        <w:t>à Mohéli, Union des Comores,</w:t>
      </w:r>
      <w:r>
        <w:rPr>
          <w:b w:val="0"/>
          <w:bCs w:val="0"/>
          <w:color w:val="auto"/>
          <w:sz w:val="20"/>
        </w:rPr>
        <w:t xml:space="preserve"> ayant validé la proposition d’extension </w:t>
      </w:r>
      <w:r w:rsidR="00A90764">
        <w:rPr>
          <w:b w:val="0"/>
          <w:bCs w:val="0"/>
          <w:color w:val="auto"/>
          <w:sz w:val="20"/>
        </w:rPr>
        <w:t xml:space="preserve">de mise en œuvre des actions </w:t>
      </w:r>
      <w:r>
        <w:rPr>
          <w:b w:val="0"/>
          <w:bCs w:val="0"/>
          <w:color w:val="auto"/>
          <w:sz w:val="20"/>
        </w:rPr>
        <w:t xml:space="preserve">au 30 juin 2027, </w:t>
      </w:r>
      <w:r w:rsidR="00D61AD2">
        <w:rPr>
          <w:b w:val="0"/>
          <w:bCs w:val="0"/>
          <w:color w:val="auto"/>
          <w:sz w:val="20"/>
        </w:rPr>
        <w:t xml:space="preserve">et </w:t>
      </w:r>
      <w:r w:rsidR="00A90764">
        <w:rPr>
          <w:b w:val="0"/>
          <w:bCs w:val="0"/>
          <w:color w:val="auto"/>
          <w:sz w:val="20"/>
        </w:rPr>
        <w:t xml:space="preserve">les activités de terrain seront prolongées jusqu’à fin 2026 afin de consolider les résultats et maximiser les impacts. </w:t>
      </w:r>
    </w:p>
    <w:p w14:paraId="1B87039E" w14:textId="078335A1" w:rsidR="00254430" w:rsidRDefault="00254430" w:rsidP="00A1740F">
      <w:pPr>
        <w:pStyle w:val="Titrepartie"/>
        <w:numPr>
          <w:ilvl w:val="0"/>
          <w:numId w:val="0"/>
        </w:numPr>
        <w:contextualSpacing w:val="0"/>
        <w:rPr>
          <w:b w:val="0"/>
          <w:bCs w:val="0"/>
          <w:color w:val="auto"/>
          <w:sz w:val="20"/>
        </w:rPr>
      </w:pPr>
      <w:r>
        <w:rPr>
          <w:b w:val="0"/>
          <w:bCs w:val="0"/>
          <w:color w:val="auto"/>
          <w:sz w:val="20"/>
        </w:rPr>
        <w:t>En effet</w:t>
      </w:r>
      <w:r w:rsidR="00876B17">
        <w:rPr>
          <w:b w:val="0"/>
          <w:bCs w:val="0"/>
          <w:color w:val="auto"/>
          <w:sz w:val="20"/>
        </w:rPr>
        <w:t>,</w:t>
      </w:r>
      <w:r w:rsidR="00A24E06">
        <w:rPr>
          <w:b w:val="0"/>
          <w:bCs w:val="0"/>
          <w:color w:val="auto"/>
          <w:sz w:val="20"/>
        </w:rPr>
        <w:t xml:space="preserve"> cette dernière année </w:t>
      </w:r>
      <w:r w:rsidR="00BF5A19">
        <w:rPr>
          <w:b w:val="0"/>
          <w:bCs w:val="0"/>
          <w:color w:val="auto"/>
          <w:sz w:val="20"/>
        </w:rPr>
        <w:t xml:space="preserve">de mise en œuvre </w:t>
      </w:r>
      <w:r w:rsidR="00A24E06">
        <w:rPr>
          <w:b w:val="0"/>
          <w:bCs w:val="0"/>
          <w:color w:val="auto"/>
          <w:sz w:val="20"/>
        </w:rPr>
        <w:t>verra la clôture</w:t>
      </w:r>
      <w:r>
        <w:rPr>
          <w:b w:val="0"/>
          <w:bCs w:val="0"/>
          <w:color w:val="auto"/>
          <w:sz w:val="20"/>
        </w:rPr>
        <w:t xml:space="preserve"> </w:t>
      </w:r>
      <w:r w:rsidR="00876B17">
        <w:rPr>
          <w:b w:val="0"/>
          <w:bCs w:val="0"/>
          <w:color w:val="auto"/>
          <w:sz w:val="20"/>
        </w:rPr>
        <w:t>d</w:t>
      </w:r>
      <w:r w:rsidR="00A24E06">
        <w:rPr>
          <w:b w:val="0"/>
          <w:bCs w:val="0"/>
          <w:color w:val="auto"/>
          <w:sz w:val="20"/>
        </w:rPr>
        <w:t>es 13 projets de terrain</w:t>
      </w:r>
      <w:r w:rsidR="00A24E06" w:rsidRPr="00A24E06">
        <w:t xml:space="preserve"> </w:t>
      </w:r>
      <w:r w:rsidR="00A24E06">
        <w:rPr>
          <w:b w:val="0"/>
          <w:bCs w:val="0"/>
          <w:color w:val="auto"/>
          <w:sz w:val="20"/>
        </w:rPr>
        <w:t xml:space="preserve">déployés aux </w:t>
      </w:r>
      <w:r w:rsidR="00A24E06" w:rsidRPr="00A24E06">
        <w:rPr>
          <w:b w:val="0"/>
          <w:bCs w:val="0"/>
          <w:color w:val="auto"/>
          <w:sz w:val="20"/>
        </w:rPr>
        <w:t>Comores, Madagascar, Maurice et les Seychelles sur la gestion intégrée du littoral et la restauration d’écosystèmes marins et côtiers</w:t>
      </w:r>
      <w:r w:rsidR="00A24E06">
        <w:rPr>
          <w:b w:val="0"/>
          <w:bCs w:val="0"/>
          <w:color w:val="auto"/>
          <w:sz w:val="20"/>
        </w:rPr>
        <w:t xml:space="preserve">. Si des résultats sont déjà enregistrés sur l’ensemble de ces sites, la mesure des impacts, leur valorisation, leur diffusion et leur pérennisation seront renforcés par du temps de mise en œuvre supplémentaire. </w:t>
      </w:r>
      <w:r w:rsidR="00D61AD2">
        <w:rPr>
          <w:b w:val="0"/>
          <w:bCs w:val="0"/>
          <w:color w:val="auto"/>
          <w:sz w:val="20"/>
        </w:rPr>
        <w:t xml:space="preserve">D’ailleurs, </w:t>
      </w:r>
      <w:r w:rsidR="00A24E06">
        <w:rPr>
          <w:b w:val="0"/>
          <w:bCs w:val="0"/>
          <w:color w:val="auto"/>
          <w:sz w:val="20"/>
        </w:rPr>
        <w:t xml:space="preserve">12 de ces projets ont fait une demande d’extension jusqu’en novembre 2026, </w:t>
      </w:r>
      <w:r w:rsidR="00D61AD2">
        <w:rPr>
          <w:b w:val="0"/>
          <w:bCs w:val="0"/>
          <w:color w:val="auto"/>
          <w:sz w:val="20"/>
        </w:rPr>
        <w:t>q</w:t>
      </w:r>
      <w:r w:rsidR="00A24E06">
        <w:rPr>
          <w:b w:val="0"/>
          <w:bCs w:val="0"/>
          <w:color w:val="auto"/>
          <w:sz w:val="20"/>
        </w:rPr>
        <w:t xml:space="preserve">ui se formalise par la signature d’Avenants aux contrats de subvention. </w:t>
      </w:r>
    </w:p>
    <w:p w14:paraId="5A46DA03" w14:textId="3CC95EF9" w:rsidR="00A24E06" w:rsidRDefault="00A24E06" w:rsidP="00A1740F">
      <w:pPr>
        <w:pStyle w:val="Titrepartie"/>
        <w:numPr>
          <w:ilvl w:val="0"/>
          <w:numId w:val="0"/>
        </w:numPr>
        <w:contextualSpacing w:val="0"/>
        <w:rPr>
          <w:b w:val="0"/>
          <w:bCs w:val="0"/>
          <w:color w:val="auto"/>
          <w:sz w:val="20"/>
        </w:rPr>
      </w:pPr>
      <w:r>
        <w:rPr>
          <w:b w:val="0"/>
          <w:bCs w:val="0"/>
          <w:color w:val="auto"/>
          <w:sz w:val="20"/>
        </w:rPr>
        <w:t xml:space="preserve">Les résultats attendus du volet scientifique atteignent la quasi-totalité des objectifs. </w:t>
      </w:r>
      <w:r w:rsidR="00974CBE">
        <w:rPr>
          <w:b w:val="0"/>
          <w:bCs w:val="0"/>
          <w:color w:val="auto"/>
          <w:sz w:val="20"/>
        </w:rPr>
        <w:t>Grâce à l’extension, l</w:t>
      </w:r>
      <w:r>
        <w:rPr>
          <w:b w:val="0"/>
          <w:bCs w:val="0"/>
          <w:color w:val="auto"/>
          <w:sz w:val="20"/>
        </w:rPr>
        <w:t>es projets de recherche</w:t>
      </w:r>
      <w:r w:rsidR="00974CBE">
        <w:rPr>
          <w:b w:val="0"/>
          <w:bCs w:val="0"/>
          <w:color w:val="auto"/>
          <w:sz w:val="20"/>
        </w:rPr>
        <w:t xml:space="preserve"> (Doctorats et post doctorats) pourront être finalisés et valorisés durant la période de mise en œuvre de RECOS.</w:t>
      </w:r>
    </w:p>
    <w:p w14:paraId="2850DF59" w14:textId="6A0773BA" w:rsidR="00A90764" w:rsidRDefault="00A90764" w:rsidP="00A1740F">
      <w:pPr>
        <w:pStyle w:val="Titrepartie"/>
        <w:numPr>
          <w:ilvl w:val="0"/>
          <w:numId w:val="0"/>
        </w:numPr>
        <w:contextualSpacing w:val="0"/>
        <w:rPr>
          <w:b w:val="0"/>
          <w:bCs w:val="0"/>
          <w:color w:val="auto"/>
          <w:sz w:val="20"/>
        </w:rPr>
      </w:pPr>
      <w:r>
        <w:rPr>
          <w:b w:val="0"/>
          <w:bCs w:val="0"/>
          <w:color w:val="auto"/>
          <w:sz w:val="20"/>
        </w:rPr>
        <w:t xml:space="preserve">L’appui à la ratification et la mise en œuvre du protocole régional GIZC de la Convention de Nairobi se poursuit via </w:t>
      </w:r>
      <w:r w:rsidR="00DE63F8">
        <w:rPr>
          <w:b w:val="0"/>
          <w:bCs w:val="0"/>
          <w:color w:val="auto"/>
          <w:sz w:val="20"/>
        </w:rPr>
        <w:t>le plaidoyer effectué pour l’accélération de la ratification</w:t>
      </w:r>
      <w:r>
        <w:rPr>
          <w:b w:val="0"/>
          <w:bCs w:val="0"/>
          <w:color w:val="auto"/>
          <w:sz w:val="20"/>
        </w:rPr>
        <w:t xml:space="preserve"> </w:t>
      </w:r>
      <w:r w:rsidR="00DE63F8">
        <w:rPr>
          <w:b w:val="0"/>
          <w:bCs w:val="0"/>
          <w:color w:val="auto"/>
          <w:sz w:val="20"/>
        </w:rPr>
        <w:t xml:space="preserve">et la consolidation des actions du projet RECOS en faveur de la mise en pratique de l’approche GIZC dans les Etats membres de la COI. Des appuis à la préparation et la participation des Etats membres à la COP 12 de la Convention de Nairobi sont également prévus. </w:t>
      </w:r>
    </w:p>
    <w:p w14:paraId="151D5FC8" w14:textId="25C60B9C" w:rsidR="00DE63F8" w:rsidRDefault="00254430" w:rsidP="00A1740F">
      <w:pPr>
        <w:pStyle w:val="Titrepartie"/>
        <w:numPr>
          <w:ilvl w:val="0"/>
          <w:numId w:val="0"/>
        </w:numPr>
        <w:contextualSpacing w:val="0"/>
        <w:rPr>
          <w:b w:val="0"/>
          <w:bCs w:val="0"/>
          <w:color w:val="auto"/>
          <w:sz w:val="20"/>
        </w:rPr>
      </w:pPr>
      <w:r w:rsidRPr="00254430">
        <w:rPr>
          <w:b w:val="0"/>
          <w:bCs w:val="0"/>
          <w:color w:val="auto"/>
          <w:sz w:val="20"/>
        </w:rPr>
        <w:t>E</w:t>
      </w:r>
      <w:r>
        <w:rPr>
          <w:b w:val="0"/>
          <w:bCs w:val="0"/>
          <w:color w:val="auto"/>
          <w:sz w:val="20"/>
        </w:rPr>
        <w:t xml:space="preserve">nfin, en vue de </w:t>
      </w:r>
      <w:r w:rsidRPr="00254430">
        <w:rPr>
          <w:b w:val="0"/>
          <w:bCs w:val="0"/>
          <w:color w:val="auto"/>
          <w:sz w:val="20"/>
        </w:rPr>
        <w:t>consolider les avancées obtenues et à assurer la pérennisation des résultats du projet RECOS</w:t>
      </w:r>
      <w:r>
        <w:rPr>
          <w:b w:val="0"/>
          <w:bCs w:val="0"/>
          <w:color w:val="auto"/>
          <w:sz w:val="20"/>
        </w:rPr>
        <w:t xml:space="preserve">, </w:t>
      </w:r>
      <w:r w:rsidRPr="00254430">
        <w:rPr>
          <w:b w:val="0"/>
          <w:bCs w:val="0"/>
          <w:color w:val="auto"/>
          <w:sz w:val="20"/>
        </w:rPr>
        <w:t>le</w:t>
      </w:r>
      <w:r>
        <w:rPr>
          <w:b w:val="0"/>
          <w:bCs w:val="0"/>
          <w:color w:val="auto"/>
          <w:sz w:val="20"/>
        </w:rPr>
        <w:t xml:space="preserve"> 4</w:t>
      </w:r>
      <w:r w:rsidRPr="00254430">
        <w:rPr>
          <w:b w:val="0"/>
          <w:bCs w:val="0"/>
          <w:color w:val="auto"/>
          <w:sz w:val="20"/>
          <w:vertAlign w:val="superscript"/>
        </w:rPr>
        <w:t>ème</w:t>
      </w:r>
      <w:r w:rsidRPr="00254430">
        <w:rPr>
          <w:b w:val="0"/>
          <w:bCs w:val="0"/>
          <w:color w:val="auto"/>
          <w:sz w:val="20"/>
        </w:rPr>
        <w:t xml:space="preserve"> Comité de pilotage </w:t>
      </w:r>
      <w:r w:rsidR="00D61AD2">
        <w:rPr>
          <w:b w:val="0"/>
          <w:bCs w:val="0"/>
          <w:color w:val="auto"/>
          <w:sz w:val="20"/>
        </w:rPr>
        <w:t xml:space="preserve">du projet </w:t>
      </w:r>
      <w:r w:rsidRPr="00254430">
        <w:rPr>
          <w:b w:val="0"/>
          <w:bCs w:val="0"/>
          <w:color w:val="auto"/>
          <w:sz w:val="20"/>
        </w:rPr>
        <w:t xml:space="preserve">RECOS </w:t>
      </w:r>
      <w:r>
        <w:rPr>
          <w:b w:val="0"/>
          <w:bCs w:val="0"/>
          <w:color w:val="auto"/>
          <w:sz w:val="20"/>
        </w:rPr>
        <w:t>a invité</w:t>
      </w:r>
      <w:r w:rsidRPr="00254430">
        <w:rPr>
          <w:b w:val="0"/>
          <w:bCs w:val="0"/>
          <w:color w:val="auto"/>
          <w:sz w:val="20"/>
        </w:rPr>
        <w:t xml:space="preserve"> le Secrétariat général de la COI à élaborer des notes conceptuelles et documents stratégiques destinés à mobiliser de nouvelles ressources financières. </w:t>
      </w:r>
    </w:p>
    <w:p w14:paraId="0A79D491" w14:textId="77777777" w:rsidR="001C2E0D" w:rsidRPr="00204C61" w:rsidRDefault="001C2E0D" w:rsidP="007D52FF">
      <w:pPr>
        <w:pStyle w:val="Titrepartie"/>
        <w:numPr>
          <w:ilvl w:val="0"/>
          <w:numId w:val="0"/>
        </w:numPr>
        <w:rPr>
          <w:b w:val="0"/>
          <w:bCs w:val="0"/>
          <w:color w:val="auto"/>
          <w:sz w:val="8"/>
          <w:szCs w:val="8"/>
        </w:rPr>
      </w:pPr>
    </w:p>
    <w:p w14:paraId="68009DDB" w14:textId="47531BC6" w:rsidR="0008468B" w:rsidRDefault="00D42937" w:rsidP="007D52FF">
      <w:pPr>
        <w:pStyle w:val="Titrepartie"/>
      </w:pPr>
      <w:r>
        <w:t>Etat d’avancement du projet RECOS</w:t>
      </w:r>
    </w:p>
    <w:p w14:paraId="46DFD3FC" w14:textId="2D0BBE6B" w:rsidR="00095524" w:rsidRDefault="00095524" w:rsidP="00095524">
      <w:pPr>
        <w:pStyle w:val="Titrepartie"/>
        <w:numPr>
          <w:ilvl w:val="0"/>
          <w:numId w:val="0"/>
        </w:numPr>
      </w:pPr>
    </w:p>
    <w:p w14:paraId="71D5E784" w14:textId="0ACCD38F" w:rsidR="0037755D" w:rsidRPr="00F40AA8" w:rsidRDefault="00095524" w:rsidP="00F40AA8">
      <w:pPr>
        <w:pStyle w:val="Titrepartie"/>
        <w:numPr>
          <w:ilvl w:val="0"/>
          <w:numId w:val="0"/>
        </w:numPr>
        <w:rPr>
          <w:b w:val="0"/>
          <w:bCs w:val="0"/>
          <w:color w:val="auto"/>
          <w:sz w:val="20"/>
        </w:rPr>
      </w:pPr>
      <w:r w:rsidRPr="0037755D">
        <w:rPr>
          <w:b w:val="0"/>
          <w:bCs w:val="0"/>
          <w:color w:val="auto"/>
          <w:sz w:val="20"/>
        </w:rPr>
        <w:t xml:space="preserve">Si le projet d’extension de la mise en œuvre des activités jusqu’au 30 juin 2027 et le </w:t>
      </w:r>
      <w:r w:rsidR="0037755D">
        <w:rPr>
          <w:b w:val="0"/>
          <w:bCs w:val="0"/>
          <w:color w:val="auto"/>
          <w:sz w:val="20"/>
        </w:rPr>
        <w:t xml:space="preserve">plan de travail budgétise associé ont </w:t>
      </w:r>
      <w:r w:rsidRPr="0037755D">
        <w:rPr>
          <w:b w:val="0"/>
          <w:bCs w:val="0"/>
          <w:color w:val="auto"/>
          <w:sz w:val="20"/>
        </w:rPr>
        <w:t>été validé</w:t>
      </w:r>
      <w:r w:rsidR="0037755D">
        <w:rPr>
          <w:b w:val="0"/>
          <w:bCs w:val="0"/>
          <w:color w:val="auto"/>
          <w:sz w:val="20"/>
        </w:rPr>
        <w:t>s</w:t>
      </w:r>
      <w:r w:rsidRPr="0037755D">
        <w:rPr>
          <w:b w:val="0"/>
          <w:bCs w:val="0"/>
          <w:color w:val="auto"/>
          <w:sz w:val="20"/>
        </w:rPr>
        <w:t xml:space="preserve"> par le 4</w:t>
      </w:r>
      <w:r w:rsidR="00CB78C0" w:rsidRPr="00CB78C0">
        <w:rPr>
          <w:b w:val="0"/>
          <w:bCs w:val="0"/>
          <w:color w:val="auto"/>
          <w:sz w:val="20"/>
          <w:vertAlign w:val="superscript"/>
        </w:rPr>
        <w:t>ème</w:t>
      </w:r>
      <w:r w:rsidR="00CB78C0">
        <w:rPr>
          <w:b w:val="0"/>
          <w:bCs w:val="0"/>
          <w:color w:val="auto"/>
          <w:sz w:val="20"/>
        </w:rPr>
        <w:t xml:space="preserve"> </w:t>
      </w:r>
      <w:r w:rsidRPr="0037755D">
        <w:rPr>
          <w:b w:val="0"/>
          <w:bCs w:val="0"/>
          <w:color w:val="auto"/>
          <w:sz w:val="20"/>
        </w:rPr>
        <w:t>comité de pilotage, l’Avenant à la Convention de financement n’est pas encore signé, car en attente d’A</w:t>
      </w:r>
      <w:r w:rsidR="00CB78C0">
        <w:rPr>
          <w:b w:val="0"/>
          <w:bCs w:val="0"/>
          <w:color w:val="auto"/>
          <w:sz w:val="20"/>
        </w:rPr>
        <w:t xml:space="preserve">vis de </w:t>
      </w:r>
      <w:r w:rsidRPr="0037755D">
        <w:rPr>
          <w:b w:val="0"/>
          <w:bCs w:val="0"/>
          <w:color w:val="auto"/>
          <w:sz w:val="20"/>
        </w:rPr>
        <w:t>N</w:t>
      </w:r>
      <w:r w:rsidR="00CB78C0">
        <w:rPr>
          <w:b w:val="0"/>
          <w:bCs w:val="0"/>
          <w:color w:val="auto"/>
          <w:sz w:val="20"/>
        </w:rPr>
        <w:t>on-</w:t>
      </w:r>
      <w:r w:rsidRPr="0037755D">
        <w:rPr>
          <w:b w:val="0"/>
          <w:bCs w:val="0"/>
          <w:color w:val="auto"/>
          <w:sz w:val="20"/>
        </w:rPr>
        <w:t>O</w:t>
      </w:r>
      <w:r w:rsidR="00CB78C0">
        <w:rPr>
          <w:b w:val="0"/>
          <w:bCs w:val="0"/>
          <w:color w:val="auto"/>
          <w:sz w:val="20"/>
        </w:rPr>
        <w:t>bjection (ANO)</w:t>
      </w:r>
      <w:r w:rsidRPr="0037755D">
        <w:rPr>
          <w:b w:val="0"/>
          <w:bCs w:val="0"/>
          <w:color w:val="auto"/>
          <w:sz w:val="20"/>
        </w:rPr>
        <w:t xml:space="preserve"> de l’A</w:t>
      </w:r>
      <w:r w:rsidR="00CB78C0">
        <w:rPr>
          <w:b w:val="0"/>
          <w:bCs w:val="0"/>
          <w:color w:val="auto"/>
          <w:sz w:val="20"/>
        </w:rPr>
        <w:t xml:space="preserve">gence </w:t>
      </w:r>
      <w:r w:rsidR="008C229E" w:rsidRPr="0037755D">
        <w:rPr>
          <w:b w:val="0"/>
          <w:bCs w:val="0"/>
          <w:color w:val="auto"/>
          <w:sz w:val="20"/>
        </w:rPr>
        <w:t>F</w:t>
      </w:r>
      <w:r w:rsidR="008C229E">
        <w:rPr>
          <w:b w:val="0"/>
          <w:bCs w:val="0"/>
          <w:color w:val="auto"/>
          <w:sz w:val="20"/>
        </w:rPr>
        <w:t>rançaise</w:t>
      </w:r>
      <w:r w:rsidR="00CB78C0">
        <w:rPr>
          <w:b w:val="0"/>
          <w:bCs w:val="0"/>
          <w:color w:val="auto"/>
          <w:sz w:val="20"/>
        </w:rPr>
        <w:t xml:space="preserve"> de </w:t>
      </w:r>
      <w:r w:rsidRPr="0037755D">
        <w:rPr>
          <w:b w:val="0"/>
          <w:bCs w:val="0"/>
          <w:color w:val="auto"/>
          <w:sz w:val="20"/>
        </w:rPr>
        <w:t>D</w:t>
      </w:r>
      <w:r w:rsidR="00CB78C0">
        <w:rPr>
          <w:b w:val="0"/>
          <w:bCs w:val="0"/>
          <w:color w:val="auto"/>
          <w:sz w:val="20"/>
        </w:rPr>
        <w:t>éveloppement (AFD)</w:t>
      </w:r>
      <w:r w:rsidR="0037755D">
        <w:rPr>
          <w:b w:val="0"/>
          <w:bCs w:val="0"/>
          <w:color w:val="auto"/>
          <w:sz w:val="20"/>
        </w:rPr>
        <w:t>, comme l</w:t>
      </w:r>
      <w:r w:rsidRPr="0037755D">
        <w:rPr>
          <w:b w:val="0"/>
          <w:bCs w:val="0"/>
          <w:color w:val="auto"/>
          <w:sz w:val="20"/>
        </w:rPr>
        <w:t>e P</w:t>
      </w:r>
      <w:r w:rsidR="00CB78C0">
        <w:rPr>
          <w:b w:val="0"/>
          <w:bCs w:val="0"/>
          <w:color w:val="auto"/>
          <w:sz w:val="20"/>
        </w:rPr>
        <w:t xml:space="preserve">lan de </w:t>
      </w:r>
      <w:r w:rsidRPr="0037755D">
        <w:rPr>
          <w:b w:val="0"/>
          <w:bCs w:val="0"/>
          <w:color w:val="auto"/>
          <w:sz w:val="20"/>
        </w:rPr>
        <w:t>T</w:t>
      </w:r>
      <w:r w:rsidR="00CB78C0">
        <w:rPr>
          <w:b w:val="0"/>
          <w:bCs w:val="0"/>
          <w:color w:val="auto"/>
          <w:sz w:val="20"/>
        </w:rPr>
        <w:t xml:space="preserve">ravail </w:t>
      </w:r>
      <w:r w:rsidRPr="0037755D">
        <w:rPr>
          <w:b w:val="0"/>
          <w:bCs w:val="0"/>
          <w:color w:val="auto"/>
          <w:sz w:val="20"/>
        </w:rPr>
        <w:t>A</w:t>
      </w:r>
      <w:r w:rsidR="00CB78C0">
        <w:rPr>
          <w:b w:val="0"/>
          <w:bCs w:val="0"/>
          <w:color w:val="auto"/>
          <w:sz w:val="20"/>
        </w:rPr>
        <w:t xml:space="preserve">nnuel </w:t>
      </w:r>
      <w:r w:rsidRPr="0037755D">
        <w:rPr>
          <w:b w:val="0"/>
          <w:bCs w:val="0"/>
          <w:color w:val="auto"/>
          <w:sz w:val="20"/>
        </w:rPr>
        <w:t>B</w:t>
      </w:r>
      <w:r w:rsidR="00CB78C0">
        <w:rPr>
          <w:b w:val="0"/>
          <w:bCs w:val="0"/>
          <w:color w:val="auto"/>
          <w:sz w:val="20"/>
        </w:rPr>
        <w:t>udgétisé (PTBA)</w:t>
      </w:r>
      <w:r w:rsidRPr="0037755D">
        <w:rPr>
          <w:b w:val="0"/>
          <w:bCs w:val="0"/>
          <w:color w:val="auto"/>
          <w:sz w:val="20"/>
        </w:rPr>
        <w:t xml:space="preserve"> final</w:t>
      </w:r>
      <w:r w:rsidR="0037755D">
        <w:rPr>
          <w:b w:val="0"/>
          <w:bCs w:val="0"/>
          <w:color w:val="auto"/>
          <w:sz w:val="20"/>
        </w:rPr>
        <w:t>. Ces délais de validation entrainent des retards conséquents sur l’exécution de certaines actions, et compromettent le bon déroulement de la phase finale de ce projet.</w:t>
      </w:r>
    </w:p>
    <w:p w14:paraId="010A0400" w14:textId="2F940595" w:rsidR="00095524" w:rsidRPr="00F40AA8" w:rsidRDefault="00095524" w:rsidP="00F40AA8">
      <w:pPr>
        <w:pStyle w:val="Sous-partie2"/>
        <w:spacing w:after="0"/>
      </w:pPr>
      <w:r w:rsidRPr="00F40AA8">
        <w:t xml:space="preserve"> </w:t>
      </w:r>
      <w:r w:rsidR="00F40AA8" w:rsidRPr="00F40AA8">
        <w:t>Points</w:t>
      </w:r>
      <w:r w:rsidRPr="00F40AA8">
        <w:t xml:space="preserve"> clés sur l’avancement du projet RECOS : </w:t>
      </w:r>
    </w:p>
    <w:p w14:paraId="784824C6" w14:textId="6EDCCB92" w:rsidR="00095524" w:rsidRPr="002A066D" w:rsidRDefault="00095524" w:rsidP="00095524">
      <w:pPr>
        <w:pStyle w:val="NormalWeb"/>
        <w:numPr>
          <w:ilvl w:val="0"/>
          <w:numId w:val="10"/>
        </w:numPr>
        <w:spacing w:line="259" w:lineRule="auto"/>
        <w:jc w:val="both"/>
        <w:rPr>
          <w:rFonts w:ascii="Verdana" w:hAnsi="Verdana"/>
          <w:sz w:val="20"/>
          <w:szCs w:val="20"/>
        </w:rPr>
      </w:pPr>
      <w:r w:rsidRPr="002A066D">
        <w:rPr>
          <w:rFonts w:ascii="Verdana" w:hAnsi="Verdana"/>
          <w:sz w:val="20"/>
          <w:szCs w:val="20"/>
        </w:rPr>
        <w:t>P</w:t>
      </w:r>
      <w:r w:rsidR="00CB78C0">
        <w:rPr>
          <w:rFonts w:ascii="Verdana" w:hAnsi="Verdana"/>
          <w:sz w:val="20"/>
          <w:szCs w:val="20"/>
        </w:rPr>
        <w:t xml:space="preserve">oints </w:t>
      </w:r>
      <w:r w:rsidRPr="002A066D">
        <w:rPr>
          <w:rFonts w:ascii="Verdana" w:hAnsi="Verdana"/>
          <w:sz w:val="20"/>
          <w:szCs w:val="20"/>
        </w:rPr>
        <w:t>F</w:t>
      </w:r>
      <w:r w:rsidR="00CB78C0">
        <w:rPr>
          <w:rFonts w:ascii="Verdana" w:hAnsi="Verdana"/>
          <w:sz w:val="20"/>
          <w:szCs w:val="20"/>
        </w:rPr>
        <w:t xml:space="preserve">ocaux </w:t>
      </w:r>
      <w:r w:rsidRPr="002A066D">
        <w:rPr>
          <w:rFonts w:ascii="Verdana" w:hAnsi="Verdana"/>
          <w:sz w:val="20"/>
          <w:szCs w:val="20"/>
        </w:rPr>
        <w:t>N</w:t>
      </w:r>
      <w:r w:rsidR="00CB78C0">
        <w:rPr>
          <w:rFonts w:ascii="Verdana" w:hAnsi="Verdana"/>
          <w:sz w:val="20"/>
          <w:szCs w:val="20"/>
        </w:rPr>
        <w:t xml:space="preserve">ationaux </w:t>
      </w:r>
      <w:r w:rsidRPr="002A066D">
        <w:rPr>
          <w:rFonts w:ascii="Verdana" w:hAnsi="Verdana"/>
          <w:sz w:val="20"/>
          <w:szCs w:val="20"/>
        </w:rPr>
        <w:t xml:space="preserve">et référents nationaux en place </w:t>
      </w:r>
      <w:r w:rsidR="00CB78C0">
        <w:rPr>
          <w:rFonts w:ascii="Verdana" w:hAnsi="Verdana"/>
          <w:sz w:val="20"/>
          <w:szCs w:val="20"/>
        </w:rPr>
        <w:t>et des acteurs locaux mobilisés et engagés</w:t>
      </w:r>
      <w:r w:rsidRPr="002A066D">
        <w:rPr>
          <w:rFonts w:ascii="Verdana" w:hAnsi="Verdana"/>
          <w:sz w:val="20"/>
          <w:szCs w:val="20"/>
        </w:rPr>
        <w:t>.</w:t>
      </w:r>
    </w:p>
    <w:p w14:paraId="02B7C9A7" w14:textId="0F1D4AA6" w:rsidR="00095524" w:rsidRPr="002A066D" w:rsidRDefault="00095524" w:rsidP="00095524">
      <w:pPr>
        <w:pStyle w:val="NormalWeb"/>
        <w:numPr>
          <w:ilvl w:val="0"/>
          <w:numId w:val="10"/>
        </w:numPr>
        <w:spacing w:line="259" w:lineRule="auto"/>
        <w:jc w:val="both"/>
        <w:rPr>
          <w:rFonts w:ascii="Verdana" w:hAnsi="Verdana"/>
          <w:sz w:val="20"/>
          <w:szCs w:val="20"/>
        </w:rPr>
      </w:pPr>
      <w:r>
        <w:rPr>
          <w:rFonts w:ascii="Verdana" w:hAnsi="Verdana"/>
          <w:sz w:val="20"/>
          <w:szCs w:val="20"/>
        </w:rPr>
        <w:t>8</w:t>
      </w:r>
      <w:r w:rsidR="0037755D">
        <w:rPr>
          <w:rFonts w:ascii="Verdana" w:hAnsi="Verdana"/>
          <w:sz w:val="20"/>
          <w:szCs w:val="20"/>
        </w:rPr>
        <w:t>7</w:t>
      </w:r>
      <w:r>
        <w:rPr>
          <w:rFonts w:ascii="Verdana" w:hAnsi="Verdana"/>
          <w:sz w:val="20"/>
          <w:szCs w:val="20"/>
        </w:rPr>
        <w:t>% d’engagement du budget RECOS, à 80% de la durée du projet.</w:t>
      </w:r>
    </w:p>
    <w:p w14:paraId="5FBFC523" w14:textId="31102582" w:rsidR="00095524" w:rsidRDefault="00095524" w:rsidP="00095524">
      <w:pPr>
        <w:pStyle w:val="NormalWeb"/>
        <w:numPr>
          <w:ilvl w:val="0"/>
          <w:numId w:val="10"/>
        </w:numPr>
        <w:spacing w:line="259" w:lineRule="auto"/>
        <w:jc w:val="both"/>
        <w:rPr>
          <w:rFonts w:ascii="Verdana" w:hAnsi="Verdana"/>
          <w:sz w:val="20"/>
          <w:szCs w:val="20"/>
        </w:rPr>
      </w:pPr>
      <w:r w:rsidRPr="007C4357">
        <w:rPr>
          <w:rFonts w:ascii="Verdana" w:hAnsi="Verdana"/>
          <w:sz w:val="20"/>
          <w:szCs w:val="20"/>
        </w:rPr>
        <w:t xml:space="preserve">Centralité de l’approche </w:t>
      </w:r>
      <w:r>
        <w:rPr>
          <w:rFonts w:ascii="Verdana" w:hAnsi="Verdana"/>
          <w:sz w:val="20"/>
          <w:szCs w:val="20"/>
        </w:rPr>
        <w:t xml:space="preserve">Gestion Intégrée des Zones Côtières (GIZC) </w:t>
      </w:r>
      <w:r w:rsidRPr="007C4357">
        <w:rPr>
          <w:rFonts w:ascii="Verdana" w:hAnsi="Verdana"/>
          <w:sz w:val="20"/>
          <w:szCs w:val="20"/>
        </w:rPr>
        <w:t xml:space="preserve">dans la mise en </w:t>
      </w:r>
      <w:r>
        <w:rPr>
          <w:rFonts w:ascii="Verdana" w:hAnsi="Verdana"/>
          <w:sz w:val="20"/>
          <w:szCs w:val="20"/>
        </w:rPr>
        <w:t>œuvre</w:t>
      </w:r>
      <w:r w:rsidRPr="007C4357">
        <w:rPr>
          <w:rFonts w:ascii="Verdana" w:hAnsi="Verdana"/>
          <w:sz w:val="20"/>
          <w:szCs w:val="20"/>
        </w:rPr>
        <w:t xml:space="preserve"> de toutes</w:t>
      </w:r>
      <w:r>
        <w:rPr>
          <w:rFonts w:ascii="Verdana" w:hAnsi="Verdana"/>
          <w:sz w:val="20"/>
          <w:szCs w:val="20"/>
        </w:rPr>
        <w:t xml:space="preserve"> </w:t>
      </w:r>
      <w:r w:rsidRPr="007C4357">
        <w:rPr>
          <w:rFonts w:ascii="Verdana" w:hAnsi="Verdana"/>
          <w:sz w:val="20"/>
          <w:szCs w:val="20"/>
        </w:rPr>
        <w:t>les activités RECOS autour de 3 principes</w:t>
      </w:r>
      <w:r w:rsidR="0037755D">
        <w:rPr>
          <w:rFonts w:ascii="Verdana" w:hAnsi="Verdana"/>
          <w:sz w:val="20"/>
          <w:szCs w:val="20"/>
        </w:rPr>
        <w:t xml:space="preserve"> : </w:t>
      </w:r>
      <w:r w:rsidRPr="007C4357">
        <w:rPr>
          <w:rFonts w:ascii="Verdana" w:hAnsi="Verdana"/>
          <w:sz w:val="20"/>
          <w:szCs w:val="20"/>
        </w:rPr>
        <w:t>Approche socio-écosystémique ; Approche participative et gouvernance partagée ; Durabilité</w:t>
      </w:r>
      <w:r w:rsidR="0037755D">
        <w:rPr>
          <w:rFonts w:ascii="Verdana" w:hAnsi="Verdana"/>
          <w:sz w:val="20"/>
          <w:szCs w:val="20"/>
        </w:rPr>
        <w:t> ;</w:t>
      </w:r>
    </w:p>
    <w:p w14:paraId="4C36E532" w14:textId="6A118072" w:rsidR="0037755D" w:rsidRDefault="0037755D" w:rsidP="00095524">
      <w:pPr>
        <w:pStyle w:val="NormalWeb"/>
        <w:numPr>
          <w:ilvl w:val="0"/>
          <w:numId w:val="10"/>
        </w:numPr>
        <w:spacing w:line="259" w:lineRule="auto"/>
        <w:jc w:val="both"/>
        <w:rPr>
          <w:rFonts w:ascii="Verdana" w:hAnsi="Verdana"/>
          <w:sz w:val="20"/>
          <w:szCs w:val="20"/>
        </w:rPr>
      </w:pPr>
      <w:r>
        <w:rPr>
          <w:rFonts w:ascii="Verdana" w:hAnsi="Verdana"/>
          <w:sz w:val="20"/>
          <w:szCs w:val="20"/>
        </w:rPr>
        <w:lastRenderedPageBreak/>
        <w:t>Intégration systématique du genre et de l’inclusion sociale ;</w:t>
      </w:r>
    </w:p>
    <w:p w14:paraId="3AAEB4D5" w14:textId="77777777" w:rsidR="005525BF" w:rsidRDefault="005525BF" w:rsidP="005525BF">
      <w:pPr>
        <w:pStyle w:val="NormalWeb"/>
        <w:numPr>
          <w:ilvl w:val="0"/>
          <w:numId w:val="10"/>
        </w:numPr>
        <w:spacing w:line="259" w:lineRule="auto"/>
        <w:jc w:val="both"/>
        <w:rPr>
          <w:rFonts w:ascii="Verdana" w:hAnsi="Verdana"/>
          <w:sz w:val="20"/>
          <w:szCs w:val="20"/>
        </w:rPr>
      </w:pPr>
      <w:r>
        <w:rPr>
          <w:rFonts w:ascii="Verdana" w:hAnsi="Verdana"/>
          <w:sz w:val="20"/>
          <w:szCs w:val="20"/>
        </w:rPr>
        <w:t xml:space="preserve">Approche partenariale forte sur laquelle le Secrétariat de la COI pourrait capitaliser de manière plus institutionnelle (IRD, Conservatoire du Littoral, Université de la Réunion, IHSM…) et dans la durée. </w:t>
      </w:r>
    </w:p>
    <w:p w14:paraId="7997BBA9" w14:textId="4BF05866" w:rsidR="005525BF" w:rsidRDefault="005525BF" w:rsidP="005525BF">
      <w:pPr>
        <w:pStyle w:val="NormalWeb"/>
        <w:numPr>
          <w:ilvl w:val="0"/>
          <w:numId w:val="10"/>
        </w:numPr>
        <w:spacing w:line="259" w:lineRule="auto"/>
        <w:jc w:val="both"/>
        <w:rPr>
          <w:rFonts w:ascii="Verdana" w:hAnsi="Verdana"/>
          <w:sz w:val="20"/>
          <w:szCs w:val="20"/>
        </w:rPr>
      </w:pPr>
      <w:r>
        <w:rPr>
          <w:rFonts w:ascii="Verdana" w:hAnsi="Verdana"/>
          <w:sz w:val="20"/>
          <w:szCs w:val="20"/>
        </w:rPr>
        <w:t xml:space="preserve">Pour la dernière année de mise en œuvre du projet, priorités fortes sur les actions de valorisation, pérennisation et capitalisation des résultats et des leçons apprises de ce projet. </w:t>
      </w:r>
    </w:p>
    <w:p w14:paraId="1CF171D5" w14:textId="18A687AD" w:rsidR="005525BF" w:rsidRDefault="005525BF" w:rsidP="005525BF">
      <w:pPr>
        <w:pStyle w:val="Sous-partie2"/>
        <w:spacing w:after="0"/>
      </w:pPr>
      <w:r>
        <w:t xml:space="preserve">Premiers résultats visibles des </w:t>
      </w:r>
      <w:r w:rsidR="00AC73BD">
        <w:t>actions</w:t>
      </w:r>
      <w:r>
        <w:t xml:space="preserve"> de terrain </w:t>
      </w:r>
    </w:p>
    <w:p w14:paraId="01121EB7" w14:textId="462D4E1E" w:rsidR="005525BF" w:rsidRDefault="005525BF" w:rsidP="005525BF">
      <w:pPr>
        <w:pStyle w:val="NormalWeb"/>
        <w:numPr>
          <w:ilvl w:val="0"/>
          <w:numId w:val="10"/>
        </w:numPr>
        <w:spacing w:line="259" w:lineRule="auto"/>
        <w:jc w:val="both"/>
        <w:rPr>
          <w:rFonts w:ascii="Verdana" w:hAnsi="Verdana"/>
          <w:sz w:val="20"/>
          <w:szCs w:val="20"/>
        </w:rPr>
      </w:pPr>
      <w:r>
        <w:rPr>
          <w:rFonts w:ascii="Verdana" w:hAnsi="Verdana"/>
          <w:sz w:val="20"/>
          <w:szCs w:val="20"/>
        </w:rPr>
        <w:t>Emergence des premiers résultats et succès issus de la m</w:t>
      </w:r>
      <w:r w:rsidRPr="002A066D">
        <w:rPr>
          <w:rFonts w:ascii="Verdana" w:hAnsi="Verdana"/>
          <w:sz w:val="20"/>
          <w:szCs w:val="20"/>
        </w:rPr>
        <w:t>ise en œuvre de</w:t>
      </w:r>
      <w:r>
        <w:rPr>
          <w:rFonts w:ascii="Verdana" w:hAnsi="Verdana"/>
          <w:sz w:val="20"/>
          <w:szCs w:val="20"/>
        </w:rPr>
        <w:t>s</w:t>
      </w:r>
      <w:r w:rsidRPr="002A066D">
        <w:rPr>
          <w:rFonts w:ascii="Verdana" w:hAnsi="Verdana"/>
          <w:sz w:val="20"/>
          <w:szCs w:val="20"/>
        </w:rPr>
        <w:t xml:space="preserve"> 1</w:t>
      </w:r>
      <w:r w:rsidR="00CB1801">
        <w:rPr>
          <w:rFonts w:ascii="Verdana" w:hAnsi="Verdana"/>
          <w:sz w:val="20"/>
          <w:szCs w:val="20"/>
        </w:rPr>
        <w:t>3</w:t>
      </w:r>
      <w:r w:rsidRPr="002A066D">
        <w:rPr>
          <w:rFonts w:ascii="Verdana" w:hAnsi="Verdana"/>
          <w:sz w:val="20"/>
          <w:szCs w:val="20"/>
        </w:rPr>
        <w:t xml:space="preserve"> projets d’envergure aux Comores, Madagascar, Maurice et les Seychelles sur la gestion intégrée du littoral et la restauration d’écosystèmes </w:t>
      </w:r>
      <w:r>
        <w:rPr>
          <w:rFonts w:ascii="Verdana" w:hAnsi="Verdana"/>
          <w:sz w:val="20"/>
          <w:szCs w:val="20"/>
        </w:rPr>
        <w:t xml:space="preserve">marins et côtiers </w:t>
      </w:r>
      <w:r w:rsidRPr="002A066D">
        <w:rPr>
          <w:rFonts w:ascii="Verdana" w:hAnsi="Verdana"/>
          <w:sz w:val="20"/>
          <w:szCs w:val="20"/>
        </w:rPr>
        <w:t>(mangroves, herbiers, dunes</w:t>
      </w:r>
      <w:r>
        <w:rPr>
          <w:rFonts w:ascii="Verdana" w:hAnsi="Verdana"/>
          <w:sz w:val="20"/>
          <w:szCs w:val="20"/>
        </w:rPr>
        <w:t xml:space="preserve"> littorales</w:t>
      </w:r>
      <w:r w:rsidRPr="002A066D">
        <w:rPr>
          <w:rFonts w:ascii="Verdana" w:hAnsi="Verdana"/>
          <w:sz w:val="20"/>
          <w:szCs w:val="20"/>
        </w:rPr>
        <w:t>, etc.)</w:t>
      </w:r>
      <w:r w:rsidR="00CB1801">
        <w:rPr>
          <w:rFonts w:ascii="Verdana" w:hAnsi="Verdana"/>
          <w:sz w:val="20"/>
          <w:szCs w:val="20"/>
        </w:rPr>
        <w:t>, dont, pour exemples</w:t>
      </w:r>
      <w:r>
        <w:rPr>
          <w:rFonts w:ascii="Verdana" w:hAnsi="Verdana"/>
          <w:sz w:val="20"/>
          <w:szCs w:val="20"/>
        </w:rPr>
        <w:t> :</w:t>
      </w:r>
    </w:p>
    <w:p w14:paraId="28A23E1C" w14:textId="54D637C7" w:rsidR="005525BF" w:rsidRDefault="00CB1801" w:rsidP="00CB1801">
      <w:pPr>
        <w:pStyle w:val="NormalWeb"/>
        <w:numPr>
          <w:ilvl w:val="1"/>
          <w:numId w:val="10"/>
        </w:numPr>
        <w:spacing w:line="259" w:lineRule="auto"/>
        <w:jc w:val="both"/>
        <w:rPr>
          <w:rFonts w:ascii="Verdana" w:hAnsi="Verdana"/>
          <w:sz w:val="20"/>
          <w:szCs w:val="20"/>
        </w:rPr>
      </w:pPr>
      <w:r>
        <w:rPr>
          <w:rFonts w:ascii="Verdana" w:hAnsi="Verdana"/>
          <w:sz w:val="20"/>
          <w:szCs w:val="20"/>
        </w:rPr>
        <w:t>13 diagnostics réalisés, considérant à la fois les enjeux environnementaux, sociaux et économiques ;</w:t>
      </w:r>
    </w:p>
    <w:p w14:paraId="1C7902EC" w14:textId="0F4F954D" w:rsidR="00CB1801" w:rsidRDefault="00CB1801" w:rsidP="00CB1801">
      <w:pPr>
        <w:pStyle w:val="NormalWeb"/>
        <w:numPr>
          <w:ilvl w:val="1"/>
          <w:numId w:val="10"/>
        </w:numPr>
        <w:spacing w:line="259" w:lineRule="auto"/>
        <w:jc w:val="both"/>
        <w:rPr>
          <w:rFonts w:ascii="Verdana" w:hAnsi="Verdana"/>
          <w:sz w:val="20"/>
          <w:szCs w:val="20"/>
        </w:rPr>
      </w:pPr>
      <w:r>
        <w:rPr>
          <w:rFonts w:ascii="Verdana" w:hAnsi="Verdana"/>
          <w:sz w:val="20"/>
          <w:szCs w:val="20"/>
        </w:rPr>
        <w:t>Intégration entre science et gestion et entre décloisonnement des disciplines scientifiques : contribution de 8 projets de terrain aux travaux de recherche du volet scientifique ;</w:t>
      </w:r>
    </w:p>
    <w:p w14:paraId="612E6C15" w14:textId="6BC7EA6E" w:rsidR="00CB1801" w:rsidRDefault="00CB1801" w:rsidP="00CB1801">
      <w:pPr>
        <w:pStyle w:val="NormalWeb"/>
        <w:numPr>
          <w:ilvl w:val="1"/>
          <w:numId w:val="10"/>
        </w:numPr>
        <w:spacing w:line="259" w:lineRule="auto"/>
        <w:jc w:val="both"/>
        <w:rPr>
          <w:rFonts w:ascii="Verdana" w:hAnsi="Verdana"/>
          <w:sz w:val="20"/>
          <w:szCs w:val="20"/>
        </w:rPr>
      </w:pPr>
      <w:r>
        <w:rPr>
          <w:rFonts w:ascii="Verdana" w:hAnsi="Verdana"/>
          <w:sz w:val="20"/>
          <w:szCs w:val="20"/>
        </w:rPr>
        <w:t>12 plateformes de concertation GIZC ou équivalent crées ou redynamisées, 12 plans d’actions développés ;</w:t>
      </w:r>
    </w:p>
    <w:p w14:paraId="58ABFB90" w14:textId="3307B948" w:rsidR="007C513C" w:rsidRDefault="007C513C" w:rsidP="00CB1801">
      <w:pPr>
        <w:pStyle w:val="NormalWeb"/>
        <w:numPr>
          <w:ilvl w:val="1"/>
          <w:numId w:val="10"/>
        </w:numPr>
        <w:spacing w:line="259" w:lineRule="auto"/>
        <w:jc w:val="both"/>
        <w:rPr>
          <w:rFonts w:ascii="Verdana" w:hAnsi="Verdana"/>
          <w:sz w:val="20"/>
          <w:szCs w:val="20"/>
        </w:rPr>
      </w:pPr>
      <w:r>
        <w:rPr>
          <w:rFonts w:ascii="Verdana" w:hAnsi="Verdana"/>
          <w:sz w:val="20"/>
          <w:szCs w:val="20"/>
        </w:rPr>
        <w:t>8 124 km² de surfaces classées en aires protégées comprises dans le périmètre d’action RECOS ;</w:t>
      </w:r>
    </w:p>
    <w:p w14:paraId="3BB7A16F" w14:textId="28662DB5" w:rsidR="00CB1801" w:rsidRDefault="00CB1801" w:rsidP="00CB1801">
      <w:pPr>
        <w:pStyle w:val="NormalWeb"/>
        <w:numPr>
          <w:ilvl w:val="1"/>
          <w:numId w:val="10"/>
        </w:numPr>
        <w:spacing w:line="259" w:lineRule="auto"/>
        <w:jc w:val="both"/>
        <w:rPr>
          <w:rFonts w:ascii="Verdana" w:hAnsi="Verdana"/>
          <w:sz w:val="20"/>
          <w:szCs w:val="20"/>
        </w:rPr>
      </w:pPr>
      <w:r>
        <w:rPr>
          <w:rFonts w:ascii="Verdana" w:hAnsi="Verdana"/>
          <w:sz w:val="20"/>
          <w:szCs w:val="20"/>
        </w:rPr>
        <w:t>1</w:t>
      </w:r>
      <w:r w:rsidR="007C513C">
        <w:rPr>
          <w:rFonts w:ascii="Verdana" w:hAnsi="Verdana"/>
          <w:sz w:val="20"/>
          <w:szCs w:val="20"/>
        </w:rPr>
        <w:t>0 647</w:t>
      </w:r>
      <w:r>
        <w:rPr>
          <w:rFonts w:ascii="Verdana" w:hAnsi="Verdana"/>
          <w:sz w:val="20"/>
          <w:szCs w:val="20"/>
        </w:rPr>
        <w:t>km</w:t>
      </w:r>
      <w:r w:rsidR="002F17D7">
        <w:rPr>
          <w:rFonts w:ascii="Verdana" w:hAnsi="Verdana"/>
          <w:sz w:val="20"/>
          <w:szCs w:val="20"/>
        </w:rPr>
        <w:t>²</w:t>
      </w:r>
      <w:r>
        <w:rPr>
          <w:rFonts w:ascii="Verdana" w:hAnsi="Verdana"/>
          <w:sz w:val="20"/>
          <w:szCs w:val="20"/>
        </w:rPr>
        <w:t xml:space="preserve"> d’écosystèmes marins et côtiers bénéficiant d’actions de conservation ou restauration ;</w:t>
      </w:r>
    </w:p>
    <w:p w14:paraId="2A0B9009" w14:textId="3548A523" w:rsidR="000E6DF1" w:rsidRDefault="000E6DF1" w:rsidP="00CB1801">
      <w:pPr>
        <w:pStyle w:val="NormalWeb"/>
        <w:numPr>
          <w:ilvl w:val="1"/>
          <w:numId w:val="10"/>
        </w:numPr>
        <w:spacing w:line="259" w:lineRule="auto"/>
        <w:jc w:val="both"/>
        <w:rPr>
          <w:rFonts w:ascii="Verdana" w:hAnsi="Verdana"/>
          <w:sz w:val="20"/>
          <w:szCs w:val="20"/>
        </w:rPr>
      </w:pPr>
      <w:r>
        <w:rPr>
          <w:rFonts w:ascii="Verdana" w:hAnsi="Verdana"/>
          <w:sz w:val="20"/>
          <w:szCs w:val="20"/>
        </w:rPr>
        <w:t>Plus de 80 000 bénéficiaires directs ;</w:t>
      </w:r>
    </w:p>
    <w:p w14:paraId="4C507820" w14:textId="202C8290" w:rsidR="00CB1801" w:rsidRDefault="00D556D3" w:rsidP="00CB1801">
      <w:pPr>
        <w:pStyle w:val="NormalWeb"/>
        <w:numPr>
          <w:ilvl w:val="1"/>
          <w:numId w:val="10"/>
        </w:numPr>
        <w:spacing w:line="259" w:lineRule="auto"/>
        <w:jc w:val="both"/>
        <w:rPr>
          <w:rFonts w:ascii="Verdana" w:hAnsi="Verdana"/>
          <w:sz w:val="20"/>
          <w:szCs w:val="20"/>
        </w:rPr>
      </w:pPr>
      <w:r>
        <w:rPr>
          <w:rFonts w:ascii="Verdana" w:hAnsi="Verdana"/>
          <w:sz w:val="20"/>
          <w:szCs w:val="20"/>
        </w:rPr>
        <w:t>2156</w:t>
      </w:r>
      <w:r w:rsidR="00CB1801">
        <w:rPr>
          <w:rFonts w:ascii="Verdana" w:hAnsi="Verdana"/>
          <w:sz w:val="20"/>
          <w:szCs w:val="20"/>
        </w:rPr>
        <w:t xml:space="preserve"> bénéficiaires de formations ou renforcement de capacités, dont 1388 femmes ;</w:t>
      </w:r>
    </w:p>
    <w:p w14:paraId="3E87B2B5" w14:textId="66999079" w:rsidR="00AC73BD" w:rsidRPr="002A066D" w:rsidRDefault="017A3B1F" w:rsidP="00AC73BD">
      <w:pPr>
        <w:pStyle w:val="NormalWeb"/>
        <w:numPr>
          <w:ilvl w:val="0"/>
          <w:numId w:val="10"/>
        </w:numPr>
        <w:spacing w:line="259" w:lineRule="auto"/>
        <w:jc w:val="both"/>
        <w:rPr>
          <w:rFonts w:ascii="Verdana" w:hAnsi="Verdana"/>
          <w:sz w:val="20"/>
          <w:szCs w:val="20"/>
        </w:rPr>
      </w:pPr>
      <w:r w:rsidRPr="503606BA">
        <w:rPr>
          <w:rFonts w:ascii="Verdana" w:hAnsi="Verdana"/>
          <w:sz w:val="20"/>
          <w:szCs w:val="20"/>
        </w:rPr>
        <w:t>182</w:t>
      </w:r>
      <w:r w:rsidR="00AC73BD" w:rsidRPr="503606BA">
        <w:rPr>
          <w:rFonts w:ascii="Verdana" w:hAnsi="Verdana"/>
          <w:sz w:val="20"/>
          <w:szCs w:val="20"/>
        </w:rPr>
        <w:t xml:space="preserve"> acteurs des zones côtières ont bénéficié directement du programme d’échanges d’expériences. Ce programme arrive à terme après avoir rencontré un grand succès depuis son lancement en 2023.</w:t>
      </w:r>
    </w:p>
    <w:p w14:paraId="2FC2CB37" w14:textId="4F1E3FD2" w:rsidR="00CB1801" w:rsidRDefault="00CB1801" w:rsidP="00CB1801">
      <w:pPr>
        <w:pStyle w:val="NormalWeb"/>
        <w:spacing w:line="259" w:lineRule="auto"/>
        <w:ind w:left="360"/>
        <w:jc w:val="both"/>
        <w:rPr>
          <w:rFonts w:ascii="Verdana" w:hAnsi="Verdana"/>
          <w:sz w:val="20"/>
          <w:szCs w:val="20"/>
        </w:rPr>
      </w:pPr>
      <w:r>
        <w:rPr>
          <w:rFonts w:ascii="Verdana" w:hAnsi="Verdana"/>
          <w:sz w:val="20"/>
          <w:szCs w:val="20"/>
        </w:rPr>
        <w:t>Des demandes d’extension de 11 projets font actuellement l’objet de préparation d’Avenant aux contrats de subvention. Ceux-ci, comme l’ensemble des marchés en cours, ne pourront être étendus au-delà du 14 novembre 2026 faute de validation du PTAB final et de formalisation d’Avenant à la Convention de financement.</w:t>
      </w:r>
    </w:p>
    <w:p w14:paraId="0FDD4D8C" w14:textId="77777777" w:rsidR="005525BF" w:rsidRPr="00F40AA8" w:rsidRDefault="005525BF" w:rsidP="00F40AA8">
      <w:pPr>
        <w:pStyle w:val="Sous-partie2"/>
        <w:numPr>
          <w:ilvl w:val="0"/>
          <w:numId w:val="0"/>
        </w:numPr>
      </w:pPr>
    </w:p>
    <w:p w14:paraId="1E510CE0" w14:textId="423CE5B5" w:rsidR="0037755D" w:rsidRPr="00F40AA8" w:rsidRDefault="0037755D" w:rsidP="00F40AA8">
      <w:pPr>
        <w:pStyle w:val="Sous-partie2"/>
      </w:pPr>
      <w:r w:rsidRPr="00F40AA8">
        <w:t xml:space="preserve">Succès du volet scientifique axé sur la recherche/action : </w:t>
      </w:r>
    </w:p>
    <w:p w14:paraId="04AA4E04" w14:textId="71C7EA28" w:rsidR="0037755D" w:rsidRPr="00964E7F" w:rsidRDefault="0037755D" w:rsidP="00AC73BD">
      <w:pPr>
        <w:pStyle w:val="NormalWeb"/>
        <w:numPr>
          <w:ilvl w:val="0"/>
          <w:numId w:val="28"/>
        </w:numPr>
        <w:spacing w:line="259" w:lineRule="auto"/>
        <w:jc w:val="both"/>
        <w:rPr>
          <w:rFonts w:ascii="Verdana" w:hAnsi="Verdana"/>
          <w:sz w:val="20"/>
          <w:szCs w:val="20"/>
        </w:rPr>
      </w:pPr>
      <w:r>
        <w:rPr>
          <w:rFonts w:ascii="Verdana" w:hAnsi="Verdana"/>
          <w:sz w:val="20"/>
          <w:szCs w:val="20"/>
        </w:rPr>
        <w:t>R</w:t>
      </w:r>
      <w:r w:rsidRPr="002A066D">
        <w:rPr>
          <w:rFonts w:ascii="Verdana" w:hAnsi="Verdana"/>
          <w:sz w:val="20"/>
          <w:szCs w:val="20"/>
        </w:rPr>
        <w:t>echerche</w:t>
      </w:r>
      <w:r>
        <w:rPr>
          <w:rFonts w:ascii="Verdana" w:hAnsi="Verdana"/>
          <w:sz w:val="20"/>
          <w:szCs w:val="20"/>
        </w:rPr>
        <w:t> : 2 thèses de doctorat, 1 post doctorat en cours de finalisation et déjà valorisés par des publications scientifiques de rang A ;</w:t>
      </w:r>
      <w:r w:rsidR="00964E7F">
        <w:rPr>
          <w:rFonts w:ascii="Verdana" w:hAnsi="Verdana"/>
          <w:sz w:val="20"/>
          <w:szCs w:val="20"/>
        </w:rPr>
        <w:t xml:space="preserve"> </w:t>
      </w:r>
      <w:r w:rsidRPr="00964E7F">
        <w:rPr>
          <w:rFonts w:ascii="Verdana" w:hAnsi="Verdana"/>
          <w:sz w:val="20"/>
          <w:szCs w:val="20"/>
        </w:rPr>
        <w:t xml:space="preserve">6 stages de masters réalisés et en cours de valorisation, diffusion de </w:t>
      </w:r>
      <w:r w:rsidR="00AC73BD" w:rsidRPr="00964E7F">
        <w:rPr>
          <w:rFonts w:ascii="Verdana" w:hAnsi="Verdana"/>
          <w:sz w:val="20"/>
          <w:szCs w:val="20"/>
        </w:rPr>
        <w:t>résultats ;</w:t>
      </w:r>
    </w:p>
    <w:p w14:paraId="147FB1C5" w14:textId="7A64D351" w:rsidR="0037755D" w:rsidRPr="002A066D" w:rsidRDefault="0037755D" w:rsidP="00AC73BD">
      <w:pPr>
        <w:pStyle w:val="NormalWeb"/>
        <w:numPr>
          <w:ilvl w:val="0"/>
          <w:numId w:val="28"/>
        </w:numPr>
        <w:spacing w:line="259" w:lineRule="auto"/>
        <w:jc w:val="both"/>
        <w:rPr>
          <w:rFonts w:ascii="Verdana" w:hAnsi="Verdana"/>
          <w:sz w:val="20"/>
          <w:szCs w:val="20"/>
        </w:rPr>
      </w:pPr>
      <w:r>
        <w:rPr>
          <w:rFonts w:ascii="Verdana" w:hAnsi="Verdana"/>
          <w:sz w:val="20"/>
          <w:szCs w:val="20"/>
        </w:rPr>
        <w:t>Accompagnement scientifique des activités de terrain</w:t>
      </w:r>
      <w:r w:rsidR="005525BF">
        <w:rPr>
          <w:rFonts w:ascii="Verdana" w:hAnsi="Verdana"/>
          <w:sz w:val="20"/>
          <w:szCs w:val="20"/>
        </w:rPr>
        <w:t xml:space="preserve"> et </w:t>
      </w:r>
      <w:r>
        <w:rPr>
          <w:rFonts w:ascii="Verdana" w:hAnsi="Verdana"/>
          <w:sz w:val="20"/>
          <w:szCs w:val="20"/>
        </w:rPr>
        <w:t>intégration des initiatives des pays de la COI aux études et travaux régionaux</w:t>
      </w:r>
      <w:r w:rsidR="00964E7F">
        <w:rPr>
          <w:rFonts w:ascii="Verdana" w:hAnsi="Verdana"/>
          <w:sz w:val="20"/>
          <w:szCs w:val="20"/>
        </w:rPr>
        <w:t> : chapitres nationaux pour les Etats membres de la COI inclus dans l</w:t>
      </w:r>
      <w:r w:rsidR="00AC73BD">
        <w:rPr>
          <w:rFonts w:ascii="Verdana" w:hAnsi="Verdana"/>
          <w:sz w:val="20"/>
          <w:szCs w:val="20"/>
        </w:rPr>
        <w:t>’«</w:t>
      </w:r>
      <w:r w:rsidR="0040221A">
        <w:rPr>
          <w:rFonts w:ascii="Verdana" w:hAnsi="Verdana"/>
          <w:sz w:val="20"/>
          <w:szCs w:val="20"/>
        </w:rPr>
        <w:t> </w:t>
      </w:r>
      <w:r w:rsidR="008B0A27">
        <w:rPr>
          <w:rFonts w:ascii="Verdana" w:hAnsi="Verdana"/>
          <w:sz w:val="20"/>
          <w:szCs w:val="20"/>
        </w:rPr>
        <w:t>é</w:t>
      </w:r>
      <w:r w:rsidR="00964E7F">
        <w:rPr>
          <w:rFonts w:ascii="Verdana" w:hAnsi="Verdana"/>
          <w:sz w:val="20"/>
          <w:szCs w:val="20"/>
        </w:rPr>
        <w:t>tat des lieux</w:t>
      </w:r>
      <w:r w:rsidR="00AC73BD">
        <w:rPr>
          <w:rFonts w:ascii="Verdana" w:hAnsi="Verdana"/>
          <w:sz w:val="20"/>
          <w:szCs w:val="20"/>
        </w:rPr>
        <w:t xml:space="preserve"> </w:t>
      </w:r>
      <w:r w:rsidR="00964E7F">
        <w:rPr>
          <w:rFonts w:ascii="Verdana" w:hAnsi="Verdana"/>
          <w:sz w:val="20"/>
          <w:szCs w:val="20"/>
        </w:rPr>
        <w:t>régional des herbiers marins »</w:t>
      </w:r>
      <w:r w:rsidR="0040221A">
        <w:rPr>
          <w:rFonts w:ascii="Verdana" w:hAnsi="Verdana"/>
          <w:sz w:val="20"/>
          <w:szCs w:val="20"/>
        </w:rPr>
        <w:t xml:space="preserve">, dans la mise à jour de </w:t>
      </w:r>
      <w:r w:rsidR="00AC73BD">
        <w:rPr>
          <w:rFonts w:ascii="Verdana" w:hAnsi="Verdana"/>
          <w:sz w:val="20"/>
          <w:szCs w:val="20"/>
        </w:rPr>
        <w:t>l’«</w:t>
      </w:r>
      <w:r w:rsidR="0040221A">
        <w:rPr>
          <w:rFonts w:ascii="Verdana" w:hAnsi="Verdana"/>
          <w:sz w:val="20"/>
          <w:szCs w:val="20"/>
        </w:rPr>
        <w:t xml:space="preserve"> Outlook des AMP de la région océan Indien occidentale » élaborés par la WIOMSA avec l’appui de RECOS, ainsi que </w:t>
      </w:r>
      <w:r w:rsidR="00964E7F">
        <w:rPr>
          <w:rFonts w:ascii="Verdana" w:hAnsi="Verdana"/>
          <w:sz w:val="20"/>
          <w:szCs w:val="20"/>
        </w:rPr>
        <w:t xml:space="preserve">dans le </w:t>
      </w:r>
      <w:r w:rsidR="0040221A">
        <w:rPr>
          <w:rFonts w:ascii="Verdana" w:hAnsi="Verdana"/>
          <w:sz w:val="20"/>
          <w:szCs w:val="20"/>
        </w:rPr>
        <w:t>« </w:t>
      </w:r>
      <w:r w:rsidR="00964E7F">
        <w:rPr>
          <w:rFonts w:ascii="Verdana" w:hAnsi="Verdana"/>
          <w:sz w:val="20"/>
          <w:szCs w:val="20"/>
        </w:rPr>
        <w:t>guide régional pour le suivi et l’évaluation des mangroves » du WIOMN</w:t>
      </w:r>
      <w:r w:rsidR="005525BF">
        <w:rPr>
          <w:rFonts w:ascii="Verdana" w:hAnsi="Verdana"/>
          <w:sz w:val="20"/>
          <w:szCs w:val="20"/>
        </w:rPr>
        <w:t xml:space="preserve"> soutenu par RECOS</w:t>
      </w:r>
      <w:r w:rsidR="00566779">
        <w:rPr>
          <w:rFonts w:ascii="Verdana" w:hAnsi="Verdana"/>
          <w:sz w:val="20"/>
          <w:szCs w:val="20"/>
        </w:rPr>
        <w:t> ;</w:t>
      </w:r>
    </w:p>
    <w:p w14:paraId="1BEB3E37" w14:textId="0B5CE7DA" w:rsidR="005525BF" w:rsidRDefault="005525BF" w:rsidP="00AC73BD">
      <w:pPr>
        <w:pStyle w:val="NormalWeb"/>
        <w:numPr>
          <w:ilvl w:val="0"/>
          <w:numId w:val="28"/>
        </w:numPr>
        <w:spacing w:line="259" w:lineRule="auto"/>
        <w:jc w:val="both"/>
        <w:rPr>
          <w:rFonts w:ascii="Verdana" w:hAnsi="Verdana"/>
          <w:sz w:val="20"/>
          <w:szCs w:val="20"/>
        </w:rPr>
      </w:pPr>
      <w:r>
        <w:rPr>
          <w:rFonts w:ascii="Verdana" w:hAnsi="Verdana"/>
          <w:sz w:val="20"/>
          <w:szCs w:val="20"/>
        </w:rPr>
        <w:t>Réseaux régionaux renforcés par la contribution des experts/scientifiques des Etats membres de la COI : WIOMSA, WIOMN, WIOMPAN</w:t>
      </w:r>
      <w:r w:rsidR="00566779">
        <w:rPr>
          <w:rFonts w:ascii="Verdana" w:hAnsi="Verdana"/>
          <w:sz w:val="20"/>
          <w:szCs w:val="20"/>
        </w:rPr>
        <w:t> ;</w:t>
      </w:r>
    </w:p>
    <w:p w14:paraId="6150D169" w14:textId="2290A47F" w:rsidR="00566779" w:rsidRDefault="00566779" w:rsidP="00AC73BD">
      <w:pPr>
        <w:pStyle w:val="NormalWeb"/>
        <w:numPr>
          <w:ilvl w:val="0"/>
          <w:numId w:val="28"/>
        </w:numPr>
        <w:spacing w:line="259" w:lineRule="auto"/>
        <w:jc w:val="both"/>
        <w:rPr>
          <w:rFonts w:ascii="Verdana" w:hAnsi="Verdana"/>
          <w:sz w:val="20"/>
          <w:szCs w:val="20"/>
        </w:rPr>
      </w:pPr>
      <w:r>
        <w:rPr>
          <w:rFonts w:ascii="Verdana" w:hAnsi="Verdana"/>
          <w:sz w:val="20"/>
          <w:szCs w:val="20"/>
        </w:rPr>
        <w:t>Structuration d’un nouveau réseau régional en Education à l’Environnement Marin et Côtier avec la collaboration de l’IRD et la WIOMSA</w:t>
      </w:r>
      <w:r w:rsidR="00F73316">
        <w:rPr>
          <w:rFonts w:ascii="Verdana" w:hAnsi="Verdana"/>
          <w:sz w:val="20"/>
          <w:szCs w:val="20"/>
        </w:rPr>
        <w:t> ;</w:t>
      </w:r>
    </w:p>
    <w:p w14:paraId="4F42534D" w14:textId="593FD516" w:rsidR="00095524" w:rsidRPr="0008468B" w:rsidRDefault="005525BF" w:rsidP="001D5428">
      <w:pPr>
        <w:pStyle w:val="NormalWeb"/>
        <w:numPr>
          <w:ilvl w:val="0"/>
          <w:numId w:val="28"/>
        </w:numPr>
        <w:spacing w:line="259" w:lineRule="auto"/>
        <w:jc w:val="both"/>
      </w:pPr>
      <w:r>
        <w:rPr>
          <w:rFonts w:ascii="Verdana" w:hAnsi="Verdana"/>
          <w:sz w:val="20"/>
          <w:szCs w:val="20"/>
        </w:rPr>
        <w:t>R</w:t>
      </w:r>
      <w:r w:rsidR="0037755D" w:rsidRPr="002A066D">
        <w:rPr>
          <w:rFonts w:ascii="Verdana" w:hAnsi="Verdana"/>
          <w:sz w:val="20"/>
          <w:szCs w:val="20"/>
        </w:rPr>
        <w:t xml:space="preserve">éseaux nationaux </w:t>
      </w:r>
      <w:r>
        <w:rPr>
          <w:rFonts w:ascii="Verdana" w:hAnsi="Verdana"/>
          <w:sz w:val="20"/>
          <w:szCs w:val="20"/>
        </w:rPr>
        <w:t>de gestionnaires d’AMP/LMMA/VMCA renforcés à Madagascar, Comores et Maurice</w:t>
      </w:r>
      <w:r w:rsidR="00566779">
        <w:rPr>
          <w:rFonts w:ascii="Verdana" w:hAnsi="Verdana"/>
          <w:sz w:val="20"/>
          <w:szCs w:val="20"/>
        </w:rPr>
        <w:t>.</w:t>
      </w:r>
    </w:p>
    <w:p w14:paraId="54854EB5" w14:textId="678FDB4C" w:rsidR="002C56ED" w:rsidRPr="00A76B07" w:rsidRDefault="0082045D" w:rsidP="009F3B9E">
      <w:pPr>
        <w:pStyle w:val="Sous-partie2"/>
        <w:spacing w:after="0"/>
      </w:pPr>
      <w:r>
        <w:t>Actions menées par le projet RECOS</w:t>
      </w:r>
      <w:r w:rsidR="00110EBD">
        <w:t xml:space="preserve"> en faveur de l’approche GIZC</w:t>
      </w:r>
    </w:p>
    <w:p w14:paraId="6F8D0F9C" w14:textId="5BC17ED0" w:rsidR="00C92EE2" w:rsidRDefault="00D42937" w:rsidP="009F3B9E">
      <w:pPr>
        <w:pStyle w:val="NormalWeb"/>
        <w:numPr>
          <w:ilvl w:val="0"/>
          <w:numId w:val="14"/>
        </w:numPr>
        <w:spacing w:after="0" w:afterAutospacing="0" w:line="259" w:lineRule="auto"/>
        <w:ind w:left="426" w:hanging="357"/>
        <w:jc w:val="both"/>
        <w:rPr>
          <w:rFonts w:ascii="Verdana" w:hAnsi="Verdana"/>
          <w:sz w:val="20"/>
          <w:szCs w:val="20"/>
        </w:rPr>
      </w:pPr>
      <w:r>
        <w:rPr>
          <w:rFonts w:ascii="Verdana" w:hAnsi="Verdana"/>
          <w:sz w:val="20"/>
          <w:szCs w:val="20"/>
        </w:rPr>
        <w:t>Plaidoyer auprès des Etats membres pour la ratification du protocole régional GIZC de la Convention de Nairobi</w:t>
      </w:r>
    </w:p>
    <w:p w14:paraId="36F19071" w14:textId="13635351" w:rsidR="0047373A" w:rsidRDefault="00D42937" w:rsidP="00A1740F">
      <w:pPr>
        <w:pStyle w:val="NormalWeb"/>
        <w:numPr>
          <w:ilvl w:val="1"/>
          <w:numId w:val="14"/>
        </w:numPr>
        <w:spacing w:line="259" w:lineRule="auto"/>
        <w:ind w:left="851" w:hanging="357"/>
        <w:jc w:val="both"/>
        <w:rPr>
          <w:rFonts w:ascii="Verdana" w:hAnsi="Verdana"/>
          <w:sz w:val="20"/>
          <w:szCs w:val="20"/>
        </w:rPr>
      </w:pPr>
      <w:r>
        <w:rPr>
          <w:rFonts w:ascii="Verdana" w:hAnsi="Verdana"/>
          <w:sz w:val="20"/>
          <w:szCs w:val="20"/>
        </w:rPr>
        <w:t>Diffusion d’une note d’orientation (versions anglaise et française) ;</w:t>
      </w:r>
    </w:p>
    <w:p w14:paraId="119CC438" w14:textId="429E1923" w:rsidR="00C92EE2" w:rsidRDefault="00D42937" w:rsidP="00A1740F">
      <w:pPr>
        <w:pStyle w:val="NormalWeb"/>
        <w:numPr>
          <w:ilvl w:val="1"/>
          <w:numId w:val="14"/>
        </w:numPr>
        <w:spacing w:line="259" w:lineRule="auto"/>
        <w:ind w:left="851" w:hanging="357"/>
        <w:jc w:val="both"/>
        <w:rPr>
          <w:rFonts w:ascii="Verdana" w:hAnsi="Verdana"/>
          <w:sz w:val="20"/>
          <w:szCs w:val="20"/>
        </w:rPr>
      </w:pPr>
      <w:r>
        <w:rPr>
          <w:rFonts w:ascii="Verdana" w:hAnsi="Verdana"/>
          <w:sz w:val="20"/>
          <w:szCs w:val="20"/>
        </w:rPr>
        <w:t>Appui à la préparation de la COP12 de la Convention de Nairobi et à la participation des Etats membres ;</w:t>
      </w:r>
    </w:p>
    <w:p w14:paraId="2E3852A1" w14:textId="29E5663E" w:rsidR="00054CE3" w:rsidRPr="005803CA" w:rsidRDefault="00054CE3" w:rsidP="00A1740F">
      <w:pPr>
        <w:pStyle w:val="NormalWeb"/>
        <w:numPr>
          <w:ilvl w:val="0"/>
          <w:numId w:val="14"/>
        </w:numPr>
        <w:spacing w:line="259" w:lineRule="auto"/>
        <w:ind w:left="426" w:hanging="357"/>
        <w:jc w:val="both"/>
        <w:rPr>
          <w:rFonts w:ascii="Verdana" w:hAnsi="Verdana"/>
          <w:sz w:val="20"/>
          <w:szCs w:val="20"/>
        </w:rPr>
      </w:pPr>
      <w:r>
        <w:rPr>
          <w:rFonts w:ascii="Verdana" w:hAnsi="Verdana"/>
          <w:sz w:val="20"/>
          <w:szCs w:val="20"/>
        </w:rPr>
        <w:t xml:space="preserve">Appui à la </w:t>
      </w:r>
      <w:r w:rsidR="008532EA">
        <w:rPr>
          <w:rFonts w:ascii="Verdana" w:hAnsi="Verdana"/>
          <w:sz w:val="20"/>
          <w:szCs w:val="20"/>
        </w:rPr>
        <w:t>R</w:t>
      </w:r>
      <w:r>
        <w:rPr>
          <w:rFonts w:ascii="Verdana" w:hAnsi="Verdana"/>
          <w:sz w:val="20"/>
          <w:szCs w:val="20"/>
        </w:rPr>
        <w:t>épublique de Maurice pour l’élaboration d’une méthodologie nationale standardisée pour le développement de plans d’actions GIZC pour les Districts côtiers.</w:t>
      </w:r>
      <w:r w:rsidR="00D42937">
        <w:rPr>
          <w:rFonts w:ascii="Verdana" w:hAnsi="Verdana"/>
          <w:sz w:val="20"/>
          <w:szCs w:val="20"/>
        </w:rPr>
        <w:t xml:space="preserve"> Une version préliminaire de la méthodologie est développée et actuellement testée sur le District de Black River.</w:t>
      </w:r>
    </w:p>
    <w:p w14:paraId="7EEF16B0" w14:textId="3F94D3A3" w:rsidR="005803CA" w:rsidRDefault="00D42937" w:rsidP="00A1740F">
      <w:pPr>
        <w:pStyle w:val="NormalWeb"/>
        <w:numPr>
          <w:ilvl w:val="0"/>
          <w:numId w:val="14"/>
        </w:numPr>
        <w:spacing w:line="259" w:lineRule="auto"/>
        <w:ind w:left="426" w:hanging="357"/>
        <w:jc w:val="both"/>
        <w:rPr>
          <w:rFonts w:ascii="Verdana" w:hAnsi="Verdana"/>
          <w:sz w:val="20"/>
          <w:szCs w:val="20"/>
        </w:rPr>
      </w:pPr>
      <w:r>
        <w:rPr>
          <w:rFonts w:ascii="Verdana" w:hAnsi="Verdana"/>
          <w:sz w:val="20"/>
          <w:szCs w:val="20"/>
        </w:rPr>
        <w:t>Succès de l’a</w:t>
      </w:r>
      <w:r w:rsidR="00C92EE2">
        <w:rPr>
          <w:rFonts w:ascii="Verdana" w:hAnsi="Verdana"/>
          <w:sz w:val="20"/>
          <w:szCs w:val="20"/>
        </w:rPr>
        <w:t>ppui aux plateformes nationales et sub</w:t>
      </w:r>
      <w:r w:rsidR="00204C61">
        <w:rPr>
          <w:rFonts w:ascii="Verdana" w:hAnsi="Verdana"/>
          <w:sz w:val="20"/>
          <w:szCs w:val="20"/>
        </w:rPr>
        <w:t>-</w:t>
      </w:r>
      <w:r w:rsidR="00C92EE2">
        <w:rPr>
          <w:rFonts w:ascii="Verdana" w:hAnsi="Verdana"/>
          <w:sz w:val="20"/>
          <w:szCs w:val="20"/>
        </w:rPr>
        <w:t>nationales de GIZC à travers les activités de terrain</w:t>
      </w:r>
      <w:r>
        <w:rPr>
          <w:rFonts w:ascii="Verdana" w:hAnsi="Verdana"/>
          <w:sz w:val="20"/>
          <w:szCs w:val="20"/>
        </w:rPr>
        <w:t xml:space="preserve"> : 11 plateformes de concertation GIZC (comités locaux, régionaux ou équivalents) mis en place ou redynamisés, </w:t>
      </w:r>
      <w:r w:rsidR="00F93B48">
        <w:rPr>
          <w:rFonts w:ascii="Verdana" w:hAnsi="Verdana"/>
          <w:sz w:val="20"/>
          <w:szCs w:val="20"/>
        </w:rPr>
        <w:t xml:space="preserve">12 plans d’action GIZC, plans d’aménagement ou équivalents développés ou mis à jour en </w:t>
      </w:r>
      <w:r w:rsidR="000E6DF1">
        <w:rPr>
          <w:rFonts w:ascii="Verdana" w:hAnsi="Verdana"/>
          <w:sz w:val="20"/>
          <w:szCs w:val="20"/>
        </w:rPr>
        <w:t>concertation</w:t>
      </w:r>
      <w:r w:rsidR="00F93B48">
        <w:rPr>
          <w:rFonts w:ascii="Verdana" w:hAnsi="Verdana"/>
          <w:sz w:val="20"/>
          <w:szCs w:val="20"/>
        </w:rPr>
        <w:t xml:space="preserve"> avec les acteurs du territoire.</w:t>
      </w:r>
    </w:p>
    <w:p w14:paraId="12BD9232" w14:textId="3EEF85F5" w:rsidR="0047373A" w:rsidRDefault="0047373A" w:rsidP="00A1740F">
      <w:pPr>
        <w:pStyle w:val="NormalWeb"/>
        <w:numPr>
          <w:ilvl w:val="0"/>
          <w:numId w:val="14"/>
        </w:numPr>
        <w:spacing w:line="259" w:lineRule="auto"/>
        <w:ind w:left="426" w:hanging="357"/>
        <w:jc w:val="both"/>
        <w:rPr>
          <w:rFonts w:ascii="Verdana" w:hAnsi="Verdana"/>
          <w:sz w:val="20"/>
          <w:szCs w:val="20"/>
        </w:rPr>
      </w:pPr>
      <w:r w:rsidRPr="503606BA">
        <w:rPr>
          <w:rFonts w:ascii="Verdana" w:hAnsi="Verdana"/>
          <w:sz w:val="20"/>
          <w:szCs w:val="20"/>
        </w:rPr>
        <w:t xml:space="preserve">Campagne </w:t>
      </w:r>
      <w:r w:rsidR="00F93B48" w:rsidRPr="503606BA">
        <w:rPr>
          <w:rFonts w:ascii="Verdana" w:hAnsi="Verdana"/>
          <w:sz w:val="20"/>
          <w:szCs w:val="20"/>
        </w:rPr>
        <w:t>nationale</w:t>
      </w:r>
      <w:r w:rsidR="00701469">
        <w:rPr>
          <w:rFonts w:ascii="Verdana" w:hAnsi="Verdana"/>
          <w:sz w:val="20"/>
          <w:szCs w:val="20"/>
        </w:rPr>
        <w:t xml:space="preserve"> à </w:t>
      </w:r>
      <w:r w:rsidR="00F93B48" w:rsidRPr="503606BA">
        <w:rPr>
          <w:rFonts w:ascii="Verdana" w:hAnsi="Verdana"/>
          <w:sz w:val="20"/>
          <w:szCs w:val="20"/>
        </w:rPr>
        <w:t xml:space="preserve">Maurice </w:t>
      </w:r>
      <w:r w:rsidRPr="503606BA">
        <w:rPr>
          <w:rFonts w:ascii="Verdana" w:hAnsi="Verdana"/>
          <w:sz w:val="20"/>
          <w:szCs w:val="20"/>
        </w:rPr>
        <w:t>de sensibilisation à l’approche GIZC</w:t>
      </w:r>
      <w:r w:rsidR="00F93B48" w:rsidRPr="503606BA">
        <w:rPr>
          <w:rFonts w:ascii="Verdana" w:hAnsi="Verdana"/>
          <w:sz w:val="20"/>
          <w:szCs w:val="20"/>
        </w:rPr>
        <w:t xml:space="preserve"> en cours :</w:t>
      </w:r>
      <w:r w:rsidR="00B52F65" w:rsidRPr="503606BA">
        <w:rPr>
          <w:rFonts w:ascii="Verdana" w:hAnsi="Verdana"/>
          <w:sz w:val="20"/>
          <w:szCs w:val="20"/>
        </w:rPr>
        <w:t xml:space="preserve"> él</w:t>
      </w:r>
      <w:r w:rsidR="008532EA" w:rsidRPr="503606BA">
        <w:rPr>
          <w:rFonts w:ascii="Verdana" w:hAnsi="Verdana"/>
          <w:sz w:val="20"/>
          <w:szCs w:val="20"/>
        </w:rPr>
        <w:t>ab</w:t>
      </w:r>
      <w:r w:rsidR="00B52F65" w:rsidRPr="503606BA">
        <w:rPr>
          <w:rFonts w:ascii="Verdana" w:hAnsi="Verdana"/>
          <w:sz w:val="20"/>
          <w:szCs w:val="20"/>
        </w:rPr>
        <w:t>oration de matériels et boites à outils à l’intention du grand</w:t>
      </w:r>
      <w:r w:rsidR="008532EA" w:rsidRPr="503606BA">
        <w:rPr>
          <w:rFonts w:ascii="Verdana" w:hAnsi="Verdana"/>
          <w:sz w:val="20"/>
          <w:szCs w:val="20"/>
        </w:rPr>
        <w:t xml:space="preserve"> </w:t>
      </w:r>
      <w:r w:rsidR="00B52F65" w:rsidRPr="503606BA">
        <w:rPr>
          <w:rFonts w:ascii="Verdana" w:hAnsi="Verdana"/>
          <w:sz w:val="20"/>
          <w:szCs w:val="20"/>
        </w:rPr>
        <w:t>public et des décideurs</w:t>
      </w:r>
      <w:r w:rsidR="00F93B48" w:rsidRPr="503606BA">
        <w:rPr>
          <w:rFonts w:ascii="Verdana" w:hAnsi="Verdana"/>
          <w:sz w:val="20"/>
          <w:szCs w:val="20"/>
        </w:rPr>
        <w:t>. Ces outils seront adaptés et diffusés dans les autres Etats membres.</w:t>
      </w:r>
      <w:r w:rsidR="7E65DCA2" w:rsidRPr="503606BA">
        <w:rPr>
          <w:rFonts w:ascii="Verdana" w:hAnsi="Verdana"/>
          <w:sz w:val="20"/>
          <w:szCs w:val="20"/>
        </w:rPr>
        <w:t xml:space="preserve"> </w:t>
      </w:r>
    </w:p>
    <w:p w14:paraId="3FDA9992" w14:textId="05F2E00C" w:rsidR="0047373A" w:rsidRDefault="7E65DCA2" w:rsidP="00A1740F">
      <w:pPr>
        <w:pStyle w:val="NormalWeb"/>
        <w:numPr>
          <w:ilvl w:val="0"/>
          <w:numId w:val="14"/>
        </w:numPr>
        <w:spacing w:line="259" w:lineRule="auto"/>
        <w:ind w:left="426" w:hanging="357"/>
        <w:jc w:val="both"/>
        <w:rPr>
          <w:rFonts w:ascii="Verdana" w:hAnsi="Verdana"/>
          <w:sz w:val="20"/>
          <w:szCs w:val="20"/>
        </w:rPr>
      </w:pPr>
      <w:r w:rsidRPr="503606BA">
        <w:rPr>
          <w:rFonts w:ascii="Verdana" w:hAnsi="Verdana"/>
          <w:sz w:val="20"/>
          <w:szCs w:val="20"/>
        </w:rPr>
        <w:t>Soutien au renforcement des capacités des plateformes GIZC à travers le Programme d’’Echanges d’Expériences.</w:t>
      </w:r>
    </w:p>
    <w:p w14:paraId="2D7AFE09" w14:textId="6EDAC782" w:rsidR="00B52F65" w:rsidRDefault="00D42937" w:rsidP="00A70123">
      <w:pPr>
        <w:pStyle w:val="Titrepartie"/>
      </w:pPr>
      <w:r>
        <w:t>Pistes de capitalisation et pérennisation</w:t>
      </w:r>
    </w:p>
    <w:p w14:paraId="5196F66D" w14:textId="77777777" w:rsidR="00F40AA8" w:rsidRDefault="00F40AA8" w:rsidP="00F40AA8">
      <w:pPr>
        <w:pStyle w:val="Titrepartie"/>
        <w:numPr>
          <w:ilvl w:val="0"/>
          <w:numId w:val="0"/>
        </w:numPr>
      </w:pPr>
    </w:p>
    <w:p w14:paraId="59EA6FEC" w14:textId="3C7D56A1" w:rsidR="00F40AA8" w:rsidRDefault="00F40AA8" w:rsidP="00F40AA8">
      <w:pPr>
        <w:pStyle w:val="Titrepartie"/>
        <w:numPr>
          <w:ilvl w:val="0"/>
          <w:numId w:val="0"/>
        </w:numPr>
        <w:rPr>
          <w:rFonts w:eastAsia="Times New Roman" w:cs="Times New Roman"/>
          <w:b w:val="0"/>
          <w:bCs w:val="0"/>
          <w:color w:val="auto"/>
          <w:sz w:val="20"/>
          <w:lang w:eastAsia="fr-FR"/>
        </w:rPr>
      </w:pPr>
      <w:r w:rsidRPr="00F40AA8">
        <w:rPr>
          <w:rFonts w:eastAsia="Times New Roman" w:cs="Times New Roman"/>
          <w:b w:val="0"/>
          <w:bCs w:val="0"/>
          <w:color w:val="auto"/>
          <w:sz w:val="20"/>
          <w:lang w:eastAsia="fr-FR"/>
        </w:rPr>
        <w:t>Les actions de capitalisation</w:t>
      </w:r>
      <w:r>
        <w:rPr>
          <w:rFonts w:eastAsia="Times New Roman" w:cs="Times New Roman"/>
          <w:b w:val="0"/>
          <w:bCs w:val="0"/>
          <w:color w:val="auto"/>
          <w:sz w:val="20"/>
          <w:lang w:eastAsia="fr-FR"/>
        </w:rPr>
        <w:t xml:space="preserve">, dont certaines </w:t>
      </w:r>
      <w:r w:rsidRPr="00F40AA8">
        <w:rPr>
          <w:rFonts w:eastAsia="Times New Roman" w:cs="Times New Roman"/>
          <w:b w:val="0"/>
          <w:bCs w:val="0"/>
          <w:color w:val="auto"/>
          <w:sz w:val="20"/>
          <w:lang w:eastAsia="fr-FR"/>
        </w:rPr>
        <w:t>enclenchées depuis les précédentes périodes</w:t>
      </w:r>
      <w:r>
        <w:rPr>
          <w:rFonts w:eastAsia="Times New Roman" w:cs="Times New Roman"/>
          <w:b w:val="0"/>
          <w:bCs w:val="0"/>
          <w:color w:val="auto"/>
          <w:sz w:val="20"/>
          <w:lang w:eastAsia="fr-FR"/>
        </w:rPr>
        <w:t>, sont renforcées</w:t>
      </w:r>
      <w:r w:rsidRPr="00F40AA8">
        <w:rPr>
          <w:rFonts w:eastAsia="Times New Roman" w:cs="Times New Roman"/>
          <w:b w:val="0"/>
          <w:bCs w:val="0"/>
          <w:color w:val="auto"/>
          <w:sz w:val="20"/>
          <w:lang w:eastAsia="fr-FR"/>
        </w:rPr>
        <w:t xml:space="preserve"> et se manifestent comme suit :</w:t>
      </w:r>
    </w:p>
    <w:p w14:paraId="58A6FD09" w14:textId="2E4C61E4" w:rsidR="00F40AA8" w:rsidRPr="00072CF9" w:rsidRDefault="00072CF9" w:rsidP="00E856DA">
      <w:pPr>
        <w:pStyle w:val="Titrepartie"/>
        <w:numPr>
          <w:ilvl w:val="0"/>
          <w:numId w:val="25"/>
        </w:numPr>
        <w:rPr>
          <w:rFonts w:eastAsia="Times New Roman" w:cs="Times New Roman"/>
          <w:b w:val="0"/>
          <w:bCs w:val="0"/>
          <w:color w:val="auto"/>
          <w:sz w:val="20"/>
          <w:lang w:eastAsia="fr-FR"/>
        </w:rPr>
      </w:pPr>
      <w:r w:rsidRPr="00072CF9">
        <w:rPr>
          <w:rFonts w:eastAsia="Times New Roman" w:cs="Times New Roman"/>
          <w:b w:val="0"/>
          <w:bCs w:val="0"/>
          <w:color w:val="auto"/>
          <w:sz w:val="20"/>
          <w:lang w:eastAsia="fr-FR"/>
        </w:rPr>
        <w:t xml:space="preserve">Supports de capitalisation réalisés ou en cours : </w:t>
      </w:r>
      <w:r w:rsidR="00F40AA8" w:rsidRPr="00072CF9">
        <w:rPr>
          <w:rFonts w:eastAsia="Times New Roman" w:cs="Times New Roman"/>
          <w:b w:val="0"/>
          <w:bCs w:val="0"/>
          <w:color w:val="auto"/>
          <w:sz w:val="20"/>
          <w:lang w:eastAsia="fr-FR"/>
        </w:rPr>
        <w:t xml:space="preserve">15 fiches </w:t>
      </w:r>
      <w:r w:rsidRPr="00072CF9">
        <w:rPr>
          <w:rFonts w:eastAsia="Times New Roman" w:cs="Times New Roman"/>
          <w:b w:val="0"/>
          <w:bCs w:val="0"/>
          <w:color w:val="auto"/>
          <w:sz w:val="20"/>
          <w:lang w:eastAsia="fr-FR"/>
        </w:rPr>
        <w:t>de bonnes pratiques </w:t>
      </w:r>
      <w:r w:rsidR="00F40AA8" w:rsidRPr="00072CF9">
        <w:rPr>
          <w:rFonts w:eastAsia="Times New Roman" w:cs="Times New Roman"/>
          <w:b w:val="0"/>
          <w:bCs w:val="0"/>
          <w:color w:val="auto"/>
          <w:sz w:val="20"/>
          <w:lang w:eastAsia="fr-FR"/>
        </w:rPr>
        <w:t>déjà accessibles</w:t>
      </w:r>
      <w:r w:rsidRPr="00072CF9">
        <w:rPr>
          <w:rFonts w:eastAsia="Times New Roman" w:cs="Times New Roman"/>
          <w:b w:val="0"/>
          <w:bCs w:val="0"/>
          <w:color w:val="auto"/>
          <w:sz w:val="20"/>
          <w:lang w:eastAsia="fr-FR"/>
        </w:rPr>
        <w:t>, 25 p</w:t>
      </w:r>
      <w:r w:rsidR="00F40AA8" w:rsidRPr="00072CF9">
        <w:rPr>
          <w:rFonts w:eastAsia="Times New Roman" w:cs="Times New Roman"/>
          <w:b w:val="0"/>
          <w:bCs w:val="0"/>
          <w:color w:val="auto"/>
          <w:sz w:val="20"/>
          <w:lang w:eastAsia="fr-FR"/>
        </w:rPr>
        <w:t>ortraits d’acteurs en séries : « Les champions de la résilience »</w:t>
      </w:r>
      <w:r w:rsidRPr="00072CF9">
        <w:rPr>
          <w:rFonts w:eastAsia="Times New Roman" w:cs="Times New Roman"/>
          <w:b w:val="0"/>
          <w:bCs w:val="0"/>
          <w:color w:val="auto"/>
          <w:sz w:val="20"/>
          <w:lang w:eastAsia="fr-FR"/>
        </w:rPr>
        <w:t xml:space="preserve">, </w:t>
      </w:r>
      <w:r w:rsidR="00F40AA8" w:rsidRPr="00072CF9">
        <w:rPr>
          <w:rFonts w:eastAsia="Times New Roman" w:cs="Times New Roman"/>
          <w:b w:val="0"/>
          <w:bCs w:val="0"/>
          <w:color w:val="auto"/>
          <w:sz w:val="20"/>
          <w:lang w:eastAsia="fr-FR"/>
        </w:rPr>
        <w:t xml:space="preserve">4 Vidéos institutionnelles et de sensibilisation réalisées, 12 autres vidéos courtes en cours </w:t>
      </w:r>
      <w:r>
        <w:rPr>
          <w:rFonts w:eastAsia="Times New Roman" w:cs="Times New Roman"/>
          <w:b w:val="0"/>
          <w:bCs w:val="0"/>
          <w:color w:val="auto"/>
          <w:sz w:val="20"/>
          <w:lang w:eastAsia="fr-FR"/>
        </w:rPr>
        <w:t>d</w:t>
      </w:r>
      <w:r w:rsidR="00F40AA8" w:rsidRPr="00072CF9">
        <w:rPr>
          <w:rFonts w:eastAsia="Times New Roman" w:cs="Times New Roman"/>
          <w:b w:val="0"/>
          <w:bCs w:val="0"/>
          <w:color w:val="auto"/>
          <w:sz w:val="20"/>
          <w:lang w:eastAsia="fr-FR"/>
        </w:rPr>
        <w:t>e production ;</w:t>
      </w:r>
    </w:p>
    <w:p w14:paraId="312EBE23" w14:textId="39FE26DF" w:rsidR="00F40AA8" w:rsidRDefault="00F40AA8" w:rsidP="00F40AA8">
      <w:pPr>
        <w:pStyle w:val="Titrepartie"/>
        <w:numPr>
          <w:ilvl w:val="0"/>
          <w:numId w:val="25"/>
        </w:numPr>
        <w:rPr>
          <w:rFonts w:eastAsia="Times New Roman" w:cs="Times New Roman"/>
          <w:b w:val="0"/>
          <w:bCs w:val="0"/>
          <w:color w:val="auto"/>
          <w:sz w:val="20"/>
          <w:lang w:eastAsia="fr-FR"/>
        </w:rPr>
      </w:pPr>
      <w:r w:rsidRPr="00F40AA8">
        <w:rPr>
          <w:rFonts w:eastAsia="Times New Roman" w:cs="Times New Roman"/>
          <w:b w:val="0"/>
          <w:bCs w:val="0"/>
          <w:color w:val="auto"/>
          <w:sz w:val="20"/>
          <w:lang w:eastAsia="fr-FR"/>
        </w:rPr>
        <w:t>Produits, savoirs et leçons apprises centralisés dans un inventaire GIZC, accessibles à tous à travers</w:t>
      </w:r>
      <w:r w:rsidR="00566779">
        <w:rPr>
          <w:rFonts w:eastAsia="Times New Roman" w:cs="Times New Roman"/>
          <w:b w:val="0"/>
          <w:bCs w:val="0"/>
          <w:color w:val="auto"/>
          <w:sz w:val="20"/>
          <w:lang w:eastAsia="fr-FR"/>
        </w:rPr>
        <w:t xml:space="preserve"> un centre de documentation en ligne et</w:t>
      </w:r>
      <w:r w:rsidRPr="00F40AA8">
        <w:rPr>
          <w:rFonts w:eastAsia="Times New Roman" w:cs="Times New Roman"/>
          <w:b w:val="0"/>
          <w:bCs w:val="0"/>
          <w:color w:val="auto"/>
          <w:sz w:val="20"/>
          <w:lang w:eastAsia="fr-FR"/>
        </w:rPr>
        <w:t xml:space="preserve"> une Galerie 360° </w:t>
      </w:r>
      <w:r w:rsidR="00566779">
        <w:rPr>
          <w:rFonts w:eastAsia="Times New Roman" w:cs="Times New Roman"/>
          <w:b w:val="0"/>
          <w:bCs w:val="0"/>
          <w:color w:val="auto"/>
          <w:sz w:val="20"/>
          <w:lang w:eastAsia="fr-FR"/>
        </w:rPr>
        <w:t xml:space="preserve">hébergés sur le site de la COI et </w:t>
      </w:r>
      <w:r w:rsidRPr="00F40AA8">
        <w:rPr>
          <w:rFonts w:eastAsia="Times New Roman" w:cs="Times New Roman"/>
          <w:b w:val="0"/>
          <w:bCs w:val="0"/>
          <w:color w:val="auto"/>
          <w:sz w:val="20"/>
          <w:lang w:eastAsia="fr-FR"/>
        </w:rPr>
        <w:t>en cours de production ;</w:t>
      </w:r>
    </w:p>
    <w:p w14:paraId="45254E2B" w14:textId="77DD8D94" w:rsidR="000E6DF1" w:rsidRPr="00F40AA8" w:rsidRDefault="000E6DF1" w:rsidP="00F40AA8">
      <w:pPr>
        <w:pStyle w:val="Titrepartie"/>
        <w:numPr>
          <w:ilvl w:val="0"/>
          <w:numId w:val="25"/>
        </w:numPr>
        <w:rPr>
          <w:rFonts w:eastAsia="Times New Roman" w:cs="Times New Roman"/>
          <w:b w:val="0"/>
          <w:bCs w:val="0"/>
          <w:color w:val="auto"/>
          <w:sz w:val="20"/>
          <w:lang w:eastAsia="fr-FR"/>
        </w:rPr>
      </w:pPr>
      <w:r>
        <w:rPr>
          <w:rFonts w:eastAsia="Times New Roman" w:cs="Times New Roman"/>
          <w:b w:val="0"/>
          <w:bCs w:val="0"/>
          <w:color w:val="auto"/>
          <w:sz w:val="20"/>
          <w:lang w:eastAsia="fr-FR"/>
        </w:rPr>
        <w:t>Organisation d’une série de webinaires en ligne et de conférences visant au partage et à la dissémination des connaissances produites ;</w:t>
      </w:r>
    </w:p>
    <w:p w14:paraId="6F63720C" w14:textId="34A9DA77" w:rsidR="00F40AA8" w:rsidRDefault="00F40AA8" w:rsidP="00F40AA8">
      <w:pPr>
        <w:pStyle w:val="Titrepartie"/>
        <w:numPr>
          <w:ilvl w:val="0"/>
          <w:numId w:val="25"/>
        </w:numPr>
        <w:rPr>
          <w:rFonts w:eastAsia="Times New Roman" w:cs="Times New Roman"/>
          <w:b w:val="0"/>
          <w:bCs w:val="0"/>
          <w:color w:val="auto"/>
          <w:sz w:val="20"/>
          <w:lang w:eastAsia="fr-FR"/>
        </w:rPr>
      </w:pPr>
      <w:r w:rsidRPr="00F40AA8">
        <w:rPr>
          <w:rFonts w:eastAsia="Times New Roman" w:cs="Times New Roman"/>
          <w:b w:val="0"/>
          <w:bCs w:val="0"/>
          <w:color w:val="auto"/>
          <w:sz w:val="20"/>
          <w:lang w:eastAsia="fr-FR"/>
        </w:rPr>
        <w:t>Préparation des Assi</w:t>
      </w:r>
      <w:r w:rsidR="00566779">
        <w:rPr>
          <w:rFonts w:eastAsia="Times New Roman" w:cs="Times New Roman"/>
          <w:b w:val="0"/>
          <w:bCs w:val="0"/>
          <w:color w:val="auto"/>
          <w:sz w:val="20"/>
          <w:lang w:eastAsia="fr-FR"/>
        </w:rPr>
        <w:t>s</w:t>
      </w:r>
      <w:r w:rsidRPr="00F40AA8">
        <w:rPr>
          <w:rFonts w:eastAsia="Times New Roman" w:cs="Times New Roman"/>
          <w:b w:val="0"/>
          <w:bCs w:val="0"/>
          <w:color w:val="auto"/>
          <w:sz w:val="20"/>
          <w:lang w:eastAsia="fr-FR"/>
        </w:rPr>
        <w:t>es RECOS en avril/mai 2027 : atelier régional de restitution, valorisation des résultats et des acteurs partenaires de RECOS</w:t>
      </w:r>
      <w:r w:rsidR="00072CF9">
        <w:rPr>
          <w:rFonts w:eastAsia="Times New Roman" w:cs="Times New Roman"/>
          <w:b w:val="0"/>
          <w:bCs w:val="0"/>
          <w:color w:val="auto"/>
          <w:sz w:val="20"/>
          <w:lang w:eastAsia="fr-FR"/>
        </w:rPr>
        <w:t>, incluant des ateliers sur des sujets de pérennisation ;</w:t>
      </w:r>
    </w:p>
    <w:p w14:paraId="0DD063B1" w14:textId="41F7C7D9" w:rsidR="00072CF9" w:rsidRDefault="00072CF9" w:rsidP="00F40AA8">
      <w:pPr>
        <w:pStyle w:val="Titrepartie"/>
        <w:numPr>
          <w:ilvl w:val="0"/>
          <w:numId w:val="25"/>
        </w:numPr>
        <w:rPr>
          <w:rFonts w:eastAsia="Times New Roman" w:cs="Times New Roman"/>
          <w:b w:val="0"/>
          <w:bCs w:val="0"/>
          <w:color w:val="auto"/>
          <w:sz w:val="20"/>
          <w:lang w:eastAsia="fr-FR"/>
        </w:rPr>
      </w:pPr>
      <w:r>
        <w:rPr>
          <w:rFonts w:eastAsia="Times New Roman" w:cs="Times New Roman"/>
          <w:b w:val="0"/>
          <w:bCs w:val="0"/>
          <w:color w:val="auto"/>
          <w:sz w:val="20"/>
          <w:lang w:eastAsia="fr-FR"/>
        </w:rPr>
        <w:t xml:space="preserve">Réflexions engagées sur des </w:t>
      </w:r>
      <w:r w:rsidRPr="00072CF9">
        <w:rPr>
          <w:rFonts w:eastAsia="Times New Roman" w:cs="Times New Roman"/>
          <w:b w:val="0"/>
          <w:bCs w:val="0"/>
          <w:color w:val="auto"/>
          <w:sz w:val="20"/>
          <w:lang w:eastAsia="fr-FR"/>
        </w:rPr>
        <w:t>notes conceptuelles permettant de capitaliser sur les acquis et actions du projet RECOS en vue de l’élaboration et de l’instruction de projets s’inscrivant dans sa suite</w:t>
      </w:r>
      <w:r>
        <w:rPr>
          <w:rFonts w:eastAsia="Times New Roman" w:cs="Times New Roman"/>
          <w:b w:val="0"/>
          <w:bCs w:val="0"/>
          <w:color w:val="auto"/>
          <w:sz w:val="20"/>
          <w:lang w:eastAsia="fr-FR"/>
        </w:rPr>
        <w:t xml:space="preserve">. Les </w:t>
      </w:r>
      <w:r w:rsidRPr="009C0E29">
        <w:rPr>
          <w:rFonts w:eastAsia="Times New Roman" w:cs="Times New Roman"/>
          <w:color w:val="auto"/>
          <w:sz w:val="20"/>
          <w:lang w:eastAsia="fr-FR"/>
        </w:rPr>
        <w:t xml:space="preserve">orientations majeures d’actions pouvant potentiellement faire l’objet de projets régionaux </w:t>
      </w:r>
      <w:r>
        <w:rPr>
          <w:rFonts w:eastAsia="Times New Roman" w:cs="Times New Roman"/>
          <w:b w:val="0"/>
          <w:bCs w:val="0"/>
          <w:color w:val="auto"/>
          <w:sz w:val="20"/>
          <w:lang w:eastAsia="fr-FR"/>
        </w:rPr>
        <w:t>dans un objectif général de renforcement de la résilience socio-écologique des zones côtières face aux changements climatiques ont été discuté</w:t>
      </w:r>
      <w:r w:rsidR="00223DDB">
        <w:rPr>
          <w:rFonts w:eastAsia="Times New Roman" w:cs="Times New Roman"/>
          <w:b w:val="0"/>
          <w:bCs w:val="0"/>
          <w:color w:val="auto"/>
          <w:sz w:val="20"/>
          <w:lang w:eastAsia="fr-FR"/>
        </w:rPr>
        <w:t>e</w:t>
      </w:r>
      <w:r>
        <w:rPr>
          <w:rFonts w:eastAsia="Times New Roman" w:cs="Times New Roman"/>
          <w:b w:val="0"/>
          <w:bCs w:val="0"/>
          <w:color w:val="auto"/>
          <w:sz w:val="20"/>
          <w:lang w:eastAsia="fr-FR"/>
        </w:rPr>
        <w:t>s et validé</w:t>
      </w:r>
      <w:r w:rsidR="00223DDB">
        <w:rPr>
          <w:rFonts w:eastAsia="Times New Roman" w:cs="Times New Roman"/>
          <w:b w:val="0"/>
          <w:bCs w:val="0"/>
          <w:color w:val="auto"/>
          <w:sz w:val="20"/>
          <w:lang w:eastAsia="fr-FR"/>
        </w:rPr>
        <w:t>e</w:t>
      </w:r>
      <w:r>
        <w:rPr>
          <w:rFonts w:eastAsia="Times New Roman" w:cs="Times New Roman"/>
          <w:b w:val="0"/>
          <w:bCs w:val="0"/>
          <w:color w:val="auto"/>
          <w:sz w:val="20"/>
          <w:lang w:eastAsia="fr-FR"/>
        </w:rPr>
        <w:t>s lors du 4</w:t>
      </w:r>
      <w:r w:rsidRPr="00072CF9">
        <w:rPr>
          <w:rFonts w:eastAsia="Times New Roman" w:cs="Times New Roman"/>
          <w:b w:val="0"/>
          <w:bCs w:val="0"/>
          <w:color w:val="auto"/>
          <w:sz w:val="20"/>
          <w:vertAlign w:val="superscript"/>
          <w:lang w:eastAsia="fr-FR"/>
        </w:rPr>
        <w:t>ème</w:t>
      </w:r>
      <w:r>
        <w:rPr>
          <w:rFonts w:eastAsia="Times New Roman" w:cs="Times New Roman"/>
          <w:b w:val="0"/>
          <w:bCs w:val="0"/>
          <w:color w:val="auto"/>
          <w:sz w:val="20"/>
          <w:lang w:eastAsia="fr-FR"/>
        </w:rPr>
        <w:t xml:space="preserve"> comité de pilotage :</w:t>
      </w:r>
    </w:p>
    <w:p w14:paraId="790504EC" w14:textId="50F97CA6" w:rsidR="00223DDB" w:rsidRPr="00AC73BD" w:rsidRDefault="00072CF9" w:rsidP="00AC73BD">
      <w:pPr>
        <w:pStyle w:val="Titrepartie"/>
        <w:numPr>
          <w:ilvl w:val="0"/>
          <w:numId w:val="30"/>
        </w:numPr>
        <w:rPr>
          <w:rFonts w:eastAsia="Times New Roman" w:cs="Times New Roman"/>
          <w:b w:val="0"/>
          <w:bCs w:val="0"/>
          <w:color w:val="auto"/>
          <w:sz w:val="20"/>
          <w:lang w:eastAsia="fr-FR"/>
        </w:rPr>
      </w:pPr>
      <w:r w:rsidRPr="00701469">
        <w:rPr>
          <w:rFonts w:eastAsia="Times New Roman" w:cs="Times New Roman"/>
          <w:color w:val="auto"/>
          <w:sz w:val="20"/>
          <w:lang w:eastAsia="fr-FR"/>
        </w:rPr>
        <w:t>Objectif spécifique 1</w:t>
      </w:r>
      <w:r>
        <w:rPr>
          <w:rFonts w:eastAsia="Times New Roman" w:cs="Times New Roman"/>
          <w:b w:val="0"/>
          <w:bCs w:val="0"/>
          <w:color w:val="auto"/>
          <w:sz w:val="20"/>
          <w:lang w:eastAsia="fr-FR"/>
        </w:rPr>
        <w:t> :</w:t>
      </w:r>
      <w:r w:rsidRPr="00072CF9">
        <w:rPr>
          <w:rFonts w:eastAsia="Times New Roman" w:cs="Times New Roman"/>
          <w:b w:val="0"/>
          <w:bCs w:val="0"/>
          <w:color w:val="auto"/>
          <w:sz w:val="20"/>
          <w:lang w:eastAsia="fr-FR"/>
        </w:rPr>
        <w:t xml:space="preserve"> Protection et restauration des zones côtières y inclus les écosystèmes essentiels marins et côtiers </w:t>
      </w:r>
      <w:r w:rsidR="00223DDB">
        <w:rPr>
          <w:rFonts w:eastAsia="Times New Roman" w:cs="Times New Roman"/>
          <w:b w:val="0"/>
          <w:bCs w:val="0"/>
          <w:color w:val="auto"/>
          <w:sz w:val="20"/>
          <w:lang w:eastAsia="fr-FR"/>
        </w:rPr>
        <w:t>(restaurations de mangroves, d’herbiers, de récifs coralliens, de forêts littorales, de cordons dunaires…, établissement de nouvelles aires marines cogérées, mettre en œuvre des solutions fondées sur la natures et hybrides).</w:t>
      </w:r>
    </w:p>
    <w:p w14:paraId="0F187E49" w14:textId="6A911EE3" w:rsidR="00223DDB" w:rsidRPr="00072CF9" w:rsidRDefault="00072CF9" w:rsidP="00AC73BD">
      <w:pPr>
        <w:pStyle w:val="Titrepartie"/>
        <w:numPr>
          <w:ilvl w:val="0"/>
          <w:numId w:val="29"/>
        </w:numPr>
        <w:rPr>
          <w:rFonts w:eastAsia="Times New Roman" w:cs="Times New Roman"/>
          <w:b w:val="0"/>
          <w:bCs w:val="0"/>
          <w:color w:val="auto"/>
          <w:sz w:val="20"/>
          <w:lang w:eastAsia="fr-FR"/>
        </w:rPr>
      </w:pPr>
      <w:r w:rsidRPr="00701469">
        <w:rPr>
          <w:rFonts w:eastAsia="Times New Roman" w:cs="Times New Roman"/>
          <w:color w:val="auto"/>
          <w:sz w:val="20"/>
          <w:lang w:eastAsia="fr-FR"/>
        </w:rPr>
        <w:t>Objectif spécifique 2</w:t>
      </w:r>
      <w:r w:rsidRPr="00072CF9">
        <w:rPr>
          <w:rFonts w:eastAsia="Times New Roman" w:cs="Times New Roman"/>
          <w:b w:val="0"/>
          <w:bCs w:val="0"/>
          <w:color w:val="auto"/>
          <w:sz w:val="20"/>
          <w:lang w:eastAsia="fr-FR"/>
        </w:rPr>
        <w:t xml:space="preserve"> : Économie bleue et moyens de subsistance (</w:t>
      </w:r>
      <w:r w:rsidR="00223DDB" w:rsidRPr="00223DDB">
        <w:rPr>
          <w:rFonts w:eastAsia="Times New Roman" w:cs="Times New Roman"/>
          <w:b w:val="0"/>
          <w:bCs w:val="0"/>
          <w:color w:val="auto"/>
          <w:sz w:val="20"/>
          <w:lang w:eastAsia="fr-FR"/>
        </w:rPr>
        <w:t xml:space="preserve">En lien avec le PAREB : développement de </w:t>
      </w:r>
      <w:r w:rsidRPr="00072CF9">
        <w:rPr>
          <w:rFonts w:eastAsia="Times New Roman" w:cs="Times New Roman"/>
          <w:b w:val="0"/>
          <w:bCs w:val="0"/>
          <w:color w:val="auto"/>
          <w:sz w:val="20"/>
          <w:lang w:eastAsia="fr-FR"/>
        </w:rPr>
        <w:t>micro-entreprises</w:t>
      </w:r>
      <w:r w:rsidR="00223DDB" w:rsidRPr="00223DDB">
        <w:rPr>
          <w:rFonts w:eastAsia="Times New Roman" w:cs="Times New Roman"/>
          <w:b w:val="0"/>
          <w:bCs w:val="0"/>
          <w:color w:val="auto"/>
          <w:sz w:val="20"/>
          <w:lang w:eastAsia="fr-FR"/>
        </w:rPr>
        <w:t xml:space="preserve"> portées par les communautés</w:t>
      </w:r>
      <w:r w:rsidRPr="00072CF9">
        <w:rPr>
          <w:rFonts w:eastAsia="Times New Roman" w:cs="Times New Roman"/>
          <w:b w:val="0"/>
          <w:bCs w:val="0"/>
          <w:color w:val="auto"/>
          <w:sz w:val="20"/>
          <w:lang w:eastAsia="fr-FR"/>
        </w:rPr>
        <w:t>, pôles d’innovation</w:t>
      </w:r>
      <w:r w:rsidR="00223DDB" w:rsidRPr="00223DDB">
        <w:rPr>
          <w:rFonts w:eastAsia="Times New Roman" w:cs="Times New Roman"/>
          <w:b w:val="0"/>
          <w:bCs w:val="0"/>
          <w:color w:val="auto"/>
          <w:sz w:val="20"/>
          <w:lang w:eastAsia="fr-FR"/>
        </w:rPr>
        <w:t xml:space="preserve"> régionaux, Formations des acteurs locaux aux métiers verts et bleus).</w:t>
      </w:r>
    </w:p>
    <w:p w14:paraId="0B7AF957" w14:textId="3E4770D9" w:rsidR="00072CF9" w:rsidRPr="00072CF9" w:rsidRDefault="00072CF9" w:rsidP="00AC73BD">
      <w:pPr>
        <w:pStyle w:val="Titrepartie"/>
        <w:numPr>
          <w:ilvl w:val="0"/>
          <w:numId w:val="29"/>
        </w:numPr>
        <w:rPr>
          <w:rFonts w:eastAsia="Times New Roman" w:cs="Times New Roman"/>
          <w:b w:val="0"/>
          <w:bCs w:val="0"/>
          <w:color w:val="auto"/>
          <w:sz w:val="20"/>
          <w:lang w:eastAsia="fr-FR"/>
        </w:rPr>
      </w:pPr>
      <w:r w:rsidRPr="00701469">
        <w:rPr>
          <w:rFonts w:eastAsia="Times New Roman" w:cs="Times New Roman"/>
          <w:color w:val="auto"/>
          <w:sz w:val="20"/>
          <w:lang w:eastAsia="fr-FR"/>
        </w:rPr>
        <w:t>Objectif spécifique 3</w:t>
      </w:r>
      <w:r w:rsidRPr="00072CF9">
        <w:rPr>
          <w:rFonts w:eastAsia="Times New Roman" w:cs="Times New Roman"/>
          <w:b w:val="0"/>
          <w:bCs w:val="0"/>
          <w:color w:val="auto"/>
          <w:sz w:val="20"/>
          <w:lang w:eastAsia="fr-FR"/>
        </w:rPr>
        <w:t xml:space="preserve"> : Gouvernance et renforcement institutionnel</w:t>
      </w:r>
      <w:r w:rsidR="00701469">
        <w:rPr>
          <w:rFonts w:eastAsia="Times New Roman" w:cs="Times New Roman"/>
          <w:b w:val="0"/>
          <w:bCs w:val="0"/>
          <w:color w:val="auto"/>
          <w:sz w:val="20"/>
          <w:lang w:eastAsia="fr-FR"/>
        </w:rPr>
        <w:t xml:space="preserve"> par l’a</w:t>
      </w:r>
      <w:r w:rsidR="00223DDB" w:rsidRPr="00223DDB">
        <w:rPr>
          <w:rFonts w:eastAsia="Times New Roman" w:cs="Times New Roman"/>
          <w:b w:val="0"/>
          <w:bCs w:val="0"/>
          <w:color w:val="auto"/>
          <w:sz w:val="20"/>
          <w:lang w:eastAsia="fr-FR"/>
        </w:rPr>
        <w:t xml:space="preserve">ppui à la mise en œuvre dans les pays de la COI du protocole régional de Gestion Intégrée des Zones Côtières (GIZC) de la Convention de Nairobi, </w:t>
      </w:r>
      <w:r w:rsidR="00223DDB">
        <w:rPr>
          <w:rFonts w:eastAsia="Times New Roman" w:cs="Times New Roman"/>
          <w:b w:val="0"/>
          <w:bCs w:val="0"/>
          <w:color w:val="auto"/>
          <w:sz w:val="20"/>
          <w:lang w:eastAsia="fr-FR"/>
        </w:rPr>
        <w:t>appui à</w:t>
      </w:r>
      <w:r w:rsidR="00223DDB" w:rsidRPr="00223DDB">
        <w:rPr>
          <w:rFonts w:eastAsia="Times New Roman" w:cs="Times New Roman"/>
          <w:b w:val="0"/>
          <w:bCs w:val="0"/>
          <w:color w:val="auto"/>
          <w:sz w:val="20"/>
          <w:lang w:eastAsia="fr-FR"/>
        </w:rPr>
        <w:t xml:space="preserve"> la mise en place de cadres juridiques harmonisés pour les droits d'usage communautaires</w:t>
      </w:r>
      <w:r w:rsidR="00701469">
        <w:rPr>
          <w:rFonts w:eastAsia="Times New Roman" w:cs="Times New Roman"/>
          <w:b w:val="0"/>
          <w:bCs w:val="0"/>
          <w:color w:val="auto"/>
          <w:sz w:val="20"/>
          <w:lang w:eastAsia="fr-FR"/>
        </w:rPr>
        <w:t>.</w:t>
      </w:r>
    </w:p>
    <w:p w14:paraId="4DCB0C00" w14:textId="10209E44" w:rsidR="00072CF9" w:rsidRDefault="00223DDB" w:rsidP="00AC73BD">
      <w:pPr>
        <w:pStyle w:val="Titrepartie"/>
        <w:numPr>
          <w:ilvl w:val="0"/>
          <w:numId w:val="29"/>
        </w:numPr>
        <w:rPr>
          <w:rFonts w:eastAsia="Times New Roman" w:cs="Times New Roman"/>
          <w:b w:val="0"/>
          <w:bCs w:val="0"/>
          <w:color w:val="auto"/>
          <w:sz w:val="20"/>
          <w:lang w:eastAsia="fr-FR"/>
        </w:rPr>
      </w:pPr>
      <w:r w:rsidRPr="00701469">
        <w:rPr>
          <w:rFonts w:eastAsia="Times New Roman" w:cs="Times New Roman"/>
          <w:color w:val="auto"/>
          <w:sz w:val="20"/>
          <w:lang w:eastAsia="fr-FR"/>
        </w:rPr>
        <w:t>Objectif spécifique 4</w:t>
      </w:r>
      <w:r w:rsidR="00072CF9" w:rsidRPr="00223DDB">
        <w:rPr>
          <w:rFonts w:eastAsia="Times New Roman" w:cs="Times New Roman"/>
          <w:b w:val="0"/>
          <w:bCs w:val="0"/>
          <w:color w:val="auto"/>
          <w:sz w:val="20"/>
          <w:lang w:eastAsia="fr-FR"/>
        </w:rPr>
        <w:t xml:space="preserve">: Capitalisation et changement d’échelle </w:t>
      </w:r>
      <w:r w:rsidR="00701469">
        <w:rPr>
          <w:rFonts w:eastAsia="Times New Roman" w:cs="Times New Roman"/>
          <w:b w:val="0"/>
          <w:bCs w:val="0"/>
          <w:color w:val="auto"/>
          <w:sz w:val="20"/>
          <w:lang w:eastAsia="fr-FR"/>
        </w:rPr>
        <w:t>pour c</w:t>
      </w:r>
      <w:r w:rsidRPr="00223DDB">
        <w:rPr>
          <w:rFonts w:eastAsia="Times New Roman" w:cs="Times New Roman"/>
          <w:b w:val="0"/>
          <w:bCs w:val="0"/>
          <w:color w:val="auto"/>
          <w:sz w:val="20"/>
          <w:lang w:eastAsia="fr-FR"/>
        </w:rPr>
        <w:t>ontinuer l’appui à une plateforme numérique régionale de partage des connaissances pour la GIZC, produire des études scientifiques en phase avec les activités des OS1, OS2, et OS3</w:t>
      </w:r>
      <w:r>
        <w:rPr>
          <w:rFonts w:eastAsia="Times New Roman" w:cs="Times New Roman"/>
          <w:b w:val="0"/>
          <w:bCs w:val="0"/>
          <w:color w:val="auto"/>
          <w:sz w:val="20"/>
          <w:lang w:eastAsia="fr-FR"/>
        </w:rPr>
        <w:t>, a</w:t>
      </w:r>
      <w:r w:rsidRPr="00223DDB">
        <w:rPr>
          <w:rFonts w:eastAsia="Times New Roman" w:cs="Times New Roman"/>
          <w:b w:val="0"/>
          <w:bCs w:val="0"/>
          <w:color w:val="auto"/>
          <w:sz w:val="20"/>
          <w:lang w:eastAsia="fr-FR"/>
        </w:rPr>
        <w:t>ppui aux réseaux régionaux du WIOMSA focalisant sur l’appui aux scientifiques des pays de la COI dans les travaux de recherches régionaux en science marine</w:t>
      </w:r>
      <w:r w:rsidR="007D7988">
        <w:rPr>
          <w:rFonts w:eastAsia="Times New Roman" w:cs="Times New Roman"/>
          <w:b w:val="0"/>
          <w:bCs w:val="0"/>
          <w:color w:val="auto"/>
          <w:sz w:val="20"/>
          <w:lang w:eastAsia="fr-FR"/>
        </w:rPr>
        <w:t>, o</w:t>
      </w:r>
      <w:r w:rsidRPr="00223DDB">
        <w:rPr>
          <w:rFonts w:eastAsia="Times New Roman" w:cs="Times New Roman"/>
          <w:b w:val="0"/>
          <w:bCs w:val="0"/>
          <w:color w:val="auto"/>
          <w:sz w:val="20"/>
          <w:lang w:eastAsia="fr-FR"/>
        </w:rPr>
        <w:t xml:space="preserve">rganiser </w:t>
      </w:r>
      <w:r w:rsidR="007D7988">
        <w:rPr>
          <w:rFonts w:eastAsia="Times New Roman" w:cs="Times New Roman"/>
          <w:b w:val="0"/>
          <w:bCs w:val="0"/>
          <w:color w:val="auto"/>
          <w:sz w:val="20"/>
          <w:lang w:eastAsia="fr-FR"/>
        </w:rPr>
        <w:t>des</w:t>
      </w:r>
      <w:r w:rsidRPr="00223DDB">
        <w:rPr>
          <w:rFonts w:eastAsia="Times New Roman" w:cs="Times New Roman"/>
          <w:b w:val="0"/>
          <w:bCs w:val="0"/>
          <w:color w:val="auto"/>
          <w:sz w:val="20"/>
          <w:lang w:eastAsia="fr-FR"/>
        </w:rPr>
        <w:t xml:space="preserve"> forums régionaux sur la résilience côtière</w:t>
      </w:r>
      <w:r w:rsidR="007D7988">
        <w:rPr>
          <w:rFonts w:eastAsia="Times New Roman" w:cs="Times New Roman"/>
          <w:b w:val="0"/>
          <w:bCs w:val="0"/>
          <w:color w:val="auto"/>
          <w:sz w:val="20"/>
          <w:lang w:eastAsia="fr-FR"/>
        </w:rPr>
        <w:t>, renforcer l’é</w:t>
      </w:r>
      <w:r w:rsidRPr="00223DDB">
        <w:rPr>
          <w:rFonts w:eastAsia="Times New Roman" w:cs="Times New Roman"/>
          <w:b w:val="0"/>
          <w:bCs w:val="0"/>
          <w:color w:val="auto"/>
          <w:sz w:val="20"/>
          <w:lang w:eastAsia="fr-FR"/>
        </w:rPr>
        <w:t>ducation environnementale en zone côtière</w:t>
      </w:r>
      <w:r w:rsidR="00701469">
        <w:rPr>
          <w:rFonts w:eastAsia="Times New Roman" w:cs="Times New Roman"/>
          <w:b w:val="0"/>
          <w:bCs w:val="0"/>
          <w:color w:val="auto"/>
          <w:sz w:val="20"/>
          <w:lang w:eastAsia="fr-FR"/>
        </w:rPr>
        <w:t>.</w:t>
      </w:r>
      <w:r w:rsidR="00072CF9" w:rsidRPr="00072CF9">
        <w:rPr>
          <w:rFonts w:eastAsia="Times New Roman" w:cs="Times New Roman"/>
          <w:b w:val="0"/>
          <w:bCs w:val="0"/>
          <w:color w:val="auto"/>
          <w:sz w:val="20"/>
          <w:lang w:eastAsia="fr-FR"/>
        </w:rPr>
        <w:t xml:space="preserve"> </w:t>
      </w:r>
    </w:p>
    <w:p w14:paraId="16D68B2B" w14:textId="77777777" w:rsidR="00072CF9" w:rsidRPr="00F40AA8" w:rsidRDefault="00072CF9" w:rsidP="007D7988">
      <w:pPr>
        <w:pStyle w:val="Titrepartie"/>
        <w:numPr>
          <w:ilvl w:val="0"/>
          <w:numId w:val="0"/>
        </w:numPr>
        <w:rPr>
          <w:rFonts w:eastAsia="Times New Roman" w:cs="Times New Roman"/>
          <w:b w:val="0"/>
          <w:bCs w:val="0"/>
          <w:color w:val="auto"/>
          <w:sz w:val="20"/>
          <w:lang w:eastAsia="fr-FR"/>
        </w:rPr>
      </w:pPr>
    </w:p>
    <w:p w14:paraId="417DA1DD" w14:textId="77777777" w:rsidR="004F278F" w:rsidRPr="00204C61" w:rsidRDefault="004F278F" w:rsidP="004F278F">
      <w:pPr>
        <w:pStyle w:val="Titrepartie"/>
        <w:numPr>
          <w:ilvl w:val="0"/>
          <w:numId w:val="0"/>
        </w:numPr>
        <w:rPr>
          <w:sz w:val="10"/>
          <w:szCs w:val="8"/>
        </w:rPr>
      </w:pPr>
    </w:p>
    <w:p w14:paraId="2F7F5914" w14:textId="79A0EB97" w:rsidR="00955BB3" w:rsidRPr="0008468B" w:rsidRDefault="00955BB3" w:rsidP="00A70123">
      <w:pPr>
        <w:pStyle w:val="Titrepartie"/>
      </w:pPr>
      <w:r w:rsidRPr="0008468B">
        <w:t>Proposition de décision</w:t>
      </w:r>
    </w:p>
    <w:p w14:paraId="785F840C" w14:textId="77777777" w:rsidR="00A87B76" w:rsidRPr="005B2FC7" w:rsidRDefault="00A87B76" w:rsidP="00A87B76">
      <w:pPr>
        <w:pStyle w:val="Paragraphe"/>
      </w:pPr>
      <w:r w:rsidRPr="005B2FC7">
        <w:t>Le Comité des OPL :</w:t>
      </w:r>
    </w:p>
    <w:p w14:paraId="7DE8256D" w14:textId="6AD46C10" w:rsidR="007C2A0F" w:rsidRDefault="007C2A0F" w:rsidP="007C2A0F">
      <w:pPr>
        <w:pStyle w:val="Paragraphe"/>
        <w:numPr>
          <w:ilvl w:val="0"/>
          <w:numId w:val="17"/>
        </w:numPr>
      </w:pPr>
      <w:r w:rsidRPr="005B2FC7">
        <w:rPr>
          <w:rStyle w:val="lev"/>
          <w:b w:val="0"/>
          <w:bCs w:val="0"/>
        </w:rPr>
        <w:t>Prend acte</w:t>
      </w:r>
      <w:r w:rsidRPr="005B2FC7">
        <w:t xml:space="preserve"> de l’état d’avancement du projet </w:t>
      </w:r>
      <w:r w:rsidR="00701469" w:rsidRPr="005B2FC7">
        <w:t>RECOS</w:t>
      </w:r>
      <w:r w:rsidR="00701469">
        <w:t>,</w:t>
      </w:r>
      <w:r>
        <w:t xml:space="preserve"> </w:t>
      </w:r>
      <w:r w:rsidRPr="005B2FC7">
        <w:t>des progrès réalisés dans les pays bénéficiaires et la région</w:t>
      </w:r>
      <w:r>
        <w:t>, et encourage la diffusion et la capitalisation des résultats du projet RECOS ;</w:t>
      </w:r>
    </w:p>
    <w:p w14:paraId="0359BBD8" w14:textId="23005C11" w:rsidR="00A87B76" w:rsidRPr="005B2FC7" w:rsidRDefault="00C2446A" w:rsidP="00E61430">
      <w:pPr>
        <w:pStyle w:val="Paragraphe"/>
        <w:numPr>
          <w:ilvl w:val="0"/>
          <w:numId w:val="17"/>
        </w:numPr>
      </w:pPr>
      <w:r w:rsidRPr="005B2FC7">
        <w:t>Confirme</w:t>
      </w:r>
      <w:r w:rsidR="00A87B76" w:rsidRPr="005B2FC7">
        <w:t xml:space="preserve"> l’importance stratégique du Protocole régional </w:t>
      </w:r>
      <w:r w:rsidRPr="005B2FC7">
        <w:t>de gestion intégrée des zones côtières (</w:t>
      </w:r>
      <w:r w:rsidR="00A87B76" w:rsidRPr="005B2FC7">
        <w:t>GIZC</w:t>
      </w:r>
      <w:r w:rsidRPr="005B2FC7">
        <w:t>)</w:t>
      </w:r>
      <w:r w:rsidR="00A87B76" w:rsidRPr="005B2FC7">
        <w:t xml:space="preserve"> de la </w:t>
      </w:r>
      <w:r w:rsidRPr="005B2FC7">
        <w:t>C</w:t>
      </w:r>
      <w:r w:rsidR="00A87B76" w:rsidRPr="005B2FC7">
        <w:t>onvention de Nair</w:t>
      </w:r>
      <w:r w:rsidR="004F278F" w:rsidRPr="005B2FC7">
        <w:t>o</w:t>
      </w:r>
      <w:r w:rsidR="00A87B76" w:rsidRPr="005B2FC7">
        <w:t xml:space="preserve">bi </w:t>
      </w:r>
      <w:r w:rsidRPr="005B2FC7">
        <w:t xml:space="preserve">et </w:t>
      </w:r>
      <w:r w:rsidRPr="005B2FC7">
        <w:rPr>
          <w:color w:val="212121"/>
        </w:rPr>
        <w:t xml:space="preserve">remercie le Secrétariat général, à travers son projet RECOS, </w:t>
      </w:r>
      <w:r w:rsidR="00AC73BD">
        <w:rPr>
          <w:color w:val="212121"/>
        </w:rPr>
        <w:t>de plaider pour sa ratification et des appuis déployés pour sa mise en œuvre dans les Etats membres</w:t>
      </w:r>
      <w:r w:rsidR="007C2A0F">
        <w:rPr>
          <w:color w:val="212121"/>
        </w:rPr>
        <w:t> ;</w:t>
      </w:r>
    </w:p>
    <w:p w14:paraId="1292FED4" w14:textId="00AD4C72" w:rsidR="00A87B76" w:rsidRPr="005B2FC7" w:rsidRDefault="00C2446A" w:rsidP="00E61430">
      <w:pPr>
        <w:pStyle w:val="Paragraphe"/>
        <w:numPr>
          <w:ilvl w:val="0"/>
          <w:numId w:val="17"/>
        </w:numPr>
      </w:pPr>
      <w:r w:rsidRPr="005B2FC7">
        <w:rPr>
          <w:color w:val="212121"/>
        </w:rPr>
        <w:t xml:space="preserve">Recommande la diffusion de la note de plaidoyer pour la ratification du </w:t>
      </w:r>
      <w:r w:rsidR="005B2FC7" w:rsidRPr="005B2FC7">
        <w:rPr>
          <w:color w:val="212121"/>
        </w:rPr>
        <w:t>P</w:t>
      </w:r>
      <w:r w:rsidRPr="005B2FC7">
        <w:rPr>
          <w:color w:val="212121"/>
        </w:rPr>
        <w:t>rotocole régional GIZC aux autorités nationales concernées à travers les bureaux des OPL </w:t>
      </w:r>
      <w:r w:rsidRPr="005B2FC7">
        <w:rPr>
          <w:rStyle w:val="apple-converted-space"/>
          <w:color w:val="212121"/>
        </w:rPr>
        <w:t>afin d’encourager</w:t>
      </w:r>
      <w:r w:rsidR="00A87B76" w:rsidRPr="005B2FC7">
        <w:t xml:space="preserve"> les États membres n</w:t>
      </w:r>
      <w:r w:rsidR="007C2A0F">
        <w:t>e l</w:t>
      </w:r>
      <w:r w:rsidR="00A87B76" w:rsidRPr="005B2FC7">
        <w:t xml:space="preserve">’ayant pas encore ratifié à accélérer </w:t>
      </w:r>
      <w:r w:rsidRPr="005B2FC7">
        <w:t xml:space="preserve">le processus de ratification en vue de la COP12 de la Convention de Nairobi </w:t>
      </w:r>
      <w:r w:rsidR="00701469">
        <w:t>prévue</w:t>
      </w:r>
      <w:r w:rsidR="007C2A0F">
        <w:t xml:space="preserve"> </w:t>
      </w:r>
      <w:r w:rsidRPr="005B2FC7">
        <w:t>en 2026 en Tanzanie</w:t>
      </w:r>
      <w:r w:rsidR="005B2FC7" w:rsidRPr="005B2FC7">
        <w:t> ;</w:t>
      </w:r>
    </w:p>
    <w:p w14:paraId="548357D5" w14:textId="2A15BE5A" w:rsidR="003821A0" w:rsidRDefault="00D2276C" w:rsidP="00E61430">
      <w:pPr>
        <w:pStyle w:val="Paragraphe"/>
        <w:numPr>
          <w:ilvl w:val="0"/>
          <w:numId w:val="17"/>
        </w:numPr>
      </w:pPr>
      <w:r>
        <w:t xml:space="preserve">Encourage le Secrétariat </w:t>
      </w:r>
      <w:r w:rsidR="00204C61">
        <w:t>g</w:t>
      </w:r>
      <w:r>
        <w:t xml:space="preserve">énéral à finaliser les négociations </w:t>
      </w:r>
      <w:r w:rsidR="007C2A0F">
        <w:t xml:space="preserve">en cours </w:t>
      </w:r>
      <w:r>
        <w:t>avec l’AFD</w:t>
      </w:r>
      <w:r w:rsidR="007C2A0F">
        <w:t xml:space="preserve"> et le FFEM</w:t>
      </w:r>
      <w:r>
        <w:t xml:space="preserve"> pour une extension du projet RECOS jusqu’</w:t>
      </w:r>
      <w:r w:rsidR="001D4B91">
        <w:t>à fin</w:t>
      </w:r>
      <w:r>
        <w:t xml:space="preserve"> juin 2027</w:t>
      </w:r>
      <w:r w:rsidR="003821A0">
        <w:t xml:space="preserve"> ; </w:t>
      </w:r>
    </w:p>
    <w:p w14:paraId="76B6DF24" w14:textId="77777777" w:rsidR="000E2A7F" w:rsidRDefault="00AC73BD" w:rsidP="00E61430">
      <w:pPr>
        <w:pStyle w:val="Paragraphe"/>
        <w:numPr>
          <w:ilvl w:val="0"/>
          <w:numId w:val="17"/>
        </w:numPr>
      </w:pPr>
      <w:r>
        <w:t xml:space="preserve">Valide les </w:t>
      </w:r>
      <w:r w:rsidRPr="00AC73BD">
        <w:t>orientations majeures d’actions pouvant potentiellement faire l’objet de</w:t>
      </w:r>
      <w:r w:rsidR="00566779">
        <w:t xml:space="preserve"> formulations de</w:t>
      </w:r>
      <w:r w:rsidRPr="00AC73BD">
        <w:t xml:space="preserve"> projets régionaux dans un objectif général de renforcement de la résilience socio-écologique des zones côtières face aux changements climatiques</w:t>
      </w:r>
      <w:r w:rsidR="000E2A7F">
        <w:t>.</w:t>
      </w:r>
    </w:p>
    <w:p w14:paraId="2ADE30E0" w14:textId="50D14437" w:rsidR="00D2276C" w:rsidRDefault="007C2A0F" w:rsidP="007C2A0F">
      <w:pPr>
        <w:pStyle w:val="Paragraphe"/>
        <w:numPr>
          <w:ilvl w:val="0"/>
          <w:numId w:val="17"/>
        </w:numPr>
      </w:pPr>
      <w:r>
        <w:t>Invite</w:t>
      </w:r>
      <w:r w:rsidR="003821A0">
        <w:t xml:space="preserve"> le Secrétariat général à soumettre aux prochaines instances</w:t>
      </w:r>
      <w:r w:rsidR="009F3B9E">
        <w:t xml:space="preserve"> des propositions de notes conceptuelles permettant de capitaliser les acquis et actions du projet RECOS en vue de l’élaboration et de l’instruction de projets s’inscrivant dans sa suite</w:t>
      </w:r>
      <w:r w:rsidR="00D2276C">
        <w:t>.</w:t>
      </w:r>
    </w:p>
    <w:p w14:paraId="4D2AAB58" w14:textId="77777777" w:rsidR="007C4357" w:rsidRPr="00204C61" w:rsidRDefault="007C4357" w:rsidP="007C4357">
      <w:pPr>
        <w:pStyle w:val="Paragraphe"/>
        <w:rPr>
          <w:sz w:val="8"/>
          <w:szCs w:val="8"/>
        </w:rPr>
      </w:pPr>
    </w:p>
    <w:p w14:paraId="7EAEB404" w14:textId="72ACB4A7" w:rsidR="00955BB3" w:rsidRPr="0008468B" w:rsidRDefault="00955BB3" w:rsidP="00FE285D">
      <w:pPr>
        <w:pStyle w:val="Titrepartie"/>
      </w:pPr>
      <w:r w:rsidRPr="0008468B">
        <w:t>Rappel des décisions antérieures</w:t>
      </w:r>
    </w:p>
    <w:bookmarkEnd w:id="0"/>
    <w:p w14:paraId="623000D0" w14:textId="39633FF3" w:rsidR="0008468B" w:rsidRPr="005B2FC7" w:rsidRDefault="00FE285D" w:rsidP="00060CA0">
      <w:pPr>
        <w:pStyle w:val="Exergue"/>
        <w:rPr>
          <w:sz w:val="18"/>
          <w:szCs w:val="18"/>
        </w:rPr>
      </w:pPr>
      <w:r w:rsidRPr="005B2FC7">
        <w:rPr>
          <w:sz w:val="18"/>
          <w:szCs w:val="18"/>
        </w:rPr>
        <w:t>Cf.</w:t>
      </w:r>
      <w:r w:rsidR="0008468B" w:rsidRPr="005B2FC7">
        <w:rPr>
          <w:sz w:val="18"/>
          <w:szCs w:val="18"/>
        </w:rPr>
        <w:t xml:space="preserve"> Décision </w:t>
      </w:r>
      <w:r w:rsidR="00C73DC5" w:rsidRPr="005B2FC7">
        <w:rPr>
          <w:sz w:val="18"/>
          <w:szCs w:val="18"/>
        </w:rPr>
        <w:t>5</w:t>
      </w:r>
      <w:r w:rsidR="0008468B" w:rsidRPr="005B2FC7">
        <w:rPr>
          <w:sz w:val="18"/>
          <w:szCs w:val="18"/>
        </w:rPr>
        <w:t xml:space="preserve">. </w:t>
      </w:r>
      <w:r w:rsidR="00C73DC5" w:rsidRPr="005B2FC7">
        <w:rPr>
          <w:sz w:val="18"/>
          <w:szCs w:val="18"/>
        </w:rPr>
        <w:t>Projet Recos</w:t>
      </w:r>
      <w:r w:rsidR="00A76B07" w:rsidRPr="005B2FC7">
        <w:rPr>
          <w:sz w:val="18"/>
          <w:szCs w:val="18"/>
        </w:rPr>
        <w:t xml:space="preserve">, </w:t>
      </w:r>
      <w:r w:rsidR="00C73DC5" w:rsidRPr="005B2FC7">
        <w:rPr>
          <w:sz w:val="18"/>
          <w:szCs w:val="18"/>
        </w:rPr>
        <w:t xml:space="preserve">Comité des OPL </w:t>
      </w:r>
      <w:r w:rsidR="005B2FC7">
        <w:rPr>
          <w:sz w:val="18"/>
          <w:szCs w:val="18"/>
        </w:rPr>
        <w:t>n</w:t>
      </w:r>
      <w:r w:rsidR="00C73DC5" w:rsidRPr="005B2FC7">
        <w:rPr>
          <w:sz w:val="18"/>
          <w:szCs w:val="18"/>
        </w:rPr>
        <w:t>°01/2025</w:t>
      </w:r>
      <w:r w:rsidR="00A76B07" w:rsidRPr="005B2FC7">
        <w:rPr>
          <w:sz w:val="18"/>
          <w:szCs w:val="18"/>
        </w:rPr>
        <w:t>,</w:t>
      </w:r>
      <w:r w:rsidR="005B2FC7">
        <w:rPr>
          <w:sz w:val="18"/>
          <w:szCs w:val="18"/>
        </w:rPr>
        <w:t xml:space="preserve"> </w:t>
      </w:r>
      <w:r w:rsidR="00C73DC5" w:rsidRPr="005B2FC7">
        <w:rPr>
          <w:sz w:val="18"/>
          <w:szCs w:val="18"/>
        </w:rPr>
        <w:t>du 04-05 avril 2025.</w:t>
      </w:r>
    </w:p>
    <w:p w14:paraId="1137673C" w14:textId="77777777" w:rsidR="00A1740F" w:rsidRPr="00A1740F" w:rsidRDefault="00A1740F" w:rsidP="00A1740F">
      <w:pPr>
        <w:spacing w:after="120" w:line="240" w:lineRule="auto"/>
        <w:contextualSpacing/>
        <w:rPr>
          <w:rFonts w:ascii="Verdana" w:hAnsi="Verdana"/>
          <w:sz w:val="18"/>
          <w:szCs w:val="18"/>
        </w:rPr>
      </w:pPr>
      <w:r w:rsidRPr="00A1740F">
        <w:rPr>
          <w:rFonts w:ascii="Verdana" w:hAnsi="Verdana"/>
          <w:sz w:val="18"/>
          <w:szCs w:val="18"/>
        </w:rPr>
        <w:t xml:space="preserve">Le Comité des OPL : </w:t>
      </w:r>
    </w:p>
    <w:p w14:paraId="158016BB" w14:textId="77777777" w:rsidR="00A1740F" w:rsidRPr="00A1740F" w:rsidRDefault="00A1740F" w:rsidP="00A1740F">
      <w:pPr>
        <w:numPr>
          <w:ilvl w:val="0"/>
          <w:numId w:val="18"/>
        </w:numPr>
        <w:spacing w:after="120" w:line="240" w:lineRule="auto"/>
        <w:ind w:left="851" w:hanging="567"/>
        <w:contextualSpacing/>
        <w:jc w:val="both"/>
        <w:rPr>
          <w:rFonts w:ascii="Verdana" w:hAnsi="Verdana"/>
          <w:sz w:val="18"/>
          <w:szCs w:val="18"/>
        </w:rPr>
      </w:pPr>
      <w:r w:rsidRPr="00A1740F">
        <w:rPr>
          <w:rFonts w:ascii="Verdana" w:hAnsi="Verdana"/>
          <w:sz w:val="18"/>
          <w:szCs w:val="18"/>
        </w:rPr>
        <w:t xml:space="preserve">Invite le Secrétariat général de la COI, en collaboration avec la Convention de Nairobi, à poursuivre et intensifier son plaidoyer en faveur de la Gestion intégrée des zones côtières (GIZC) auprès des États membres pour accélérer la ratification du protocole GIZC approuvé en septembre 2023 à Madagascar par les Parties à la Convention, dont les États membres de la COI ; </w:t>
      </w:r>
    </w:p>
    <w:p w14:paraId="6DF4C4AB" w14:textId="77777777" w:rsidR="00A1740F" w:rsidRPr="00A1740F" w:rsidRDefault="00A1740F" w:rsidP="00A1740F">
      <w:pPr>
        <w:numPr>
          <w:ilvl w:val="0"/>
          <w:numId w:val="18"/>
        </w:numPr>
        <w:tabs>
          <w:tab w:val="left" w:pos="426"/>
        </w:tabs>
        <w:spacing w:after="120" w:line="240" w:lineRule="auto"/>
        <w:ind w:left="851" w:hanging="567"/>
        <w:contextualSpacing/>
        <w:jc w:val="both"/>
        <w:rPr>
          <w:rFonts w:ascii="Verdana" w:hAnsi="Verdana"/>
          <w:sz w:val="18"/>
          <w:szCs w:val="18"/>
        </w:rPr>
      </w:pPr>
      <w:r w:rsidRPr="00A1740F">
        <w:rPr>
          <w:rFonts w:ascii="Verdana" w:hAnsi="Verdana"/>
          <w:sz w:val="18"/>
          <w:szCs w:val="18"/>
        </w:rPr>
        <w:t xml:space="preserve">Prend acte des progrès du projet RECOS à fin 2024 et encourage à mettre en œuvre les solutions arrêtées par le Comité de pilotage du projet qui permettront l’extension des activités en 2027, sous réserve de la finalisation des négociations avec les partenaires techniques et financiers ; </w:t>
      </w:r>
    </w:p>
    <w:p w14:paraId="6229D1ED" w14:textId="77777777" w:rsidR="00A1740F" w:rsidRPr="00A1740F" w:rsidRDefault="00A1740F" w:rsidP="00A1740F">
      <w:pPr>
        <w:numPr>
          <w:ilvl w:val="0"/>
          <w:numId w:val="18"/>
        </w:numPr>
        <w:spacing w:after="120" w:line="240" w:lineRule="auto"/>
        <w:ind w:left="851" w:hanging="567"/>
        <w:contextualSpacing/>
        <w:jc w:val="both"/>
        <w:rPr>
          <w:rFonts w:ascii="Verdana" w:hAnsi="Verdana"/>
          <w:sz w:val="18"/>
          <w:szCs w:val="18"/>
        </w:rPr>
      </w:pPr>
      <w:r w:rsidRPr="00A1740F">
        <w:rPr>
          <w:rFonts w:ascii="Verdana" w:hAnsi="Verdana"/>
          <w:sz w:val="18"/>
          <w:szCs w:val="18"/>
        </w:rPr>
        <w:t xml:space="preserve">Encourage la poursuite des efforts de ce projet : </w:t>
      </w:r>
    </w:p>
    <w:p w14:paraId="79674A09" w14:textId="77777777" w:rsidR="00A1740F" w:rsidRPr="00A1740F" w:rsidRDefault="00A1740F" w:rsidP="00A1740F">
      <w:pPr>
        <w:numPr>
          <w:ilvl w:val="0"/>
          <w:numId w:val="19"/>
        </w:numPr>
        <w:spacing w:after="120" w:line="240" w:lineRule="auto"/>
        <w:ind w:left="1418" w:hanging="425"/>
        <w:contextualSpacing/>
        <w:jc w:val="both"/>
        <w:rPr>
          <w:rFonts w:ascii="Verdana" w:hAnsi="Verdana"/>
          <w:sz w:val="18"/>
          <w:szCs w:val="18"/>
        </w:rPr>
      </w:pPr>
      <w:r w:rsidRPr="00A1740F">
        <w:rPr>
          <w:rFonts w:ascii="Verdana" w:hAnsi="Verdana"/>
          <w:sz w:val="18"/>
          <w:szCs w:val="18"/>
        </w:rPr>
        <w:t xml:space="preserve">de renforcement des capacités locales, </w:t>
      </w:r>
    </w:p>
    <w:p w14:paraId="563F67C6" w14:textId="77777777" w:rsidR="00A1740F" w:rsidRPr="00A1740F" w:rsidRDefault="00A1740F" w:rsidP="00D33465">
      <w:pPr>
        <w:numPr>
          <w:ilvl w:val="0"/>
          <w:numId w:val="19"/>
        </w:numPr>
        <w:spacing w:after="120" w:line="240" w:lineRule="auto"/>
        <w:ind w:left="1418" w:hanging="425"/>
        <w:contextualSpacing/>
        <w:rPr>
          <w:rFonts w:ascii="Verdana" w:hAnsi="Verdana"/>
          <w:b/>
          <w:bCs/>
          <w:i/>
          <w:iCs/>
          <w:sz w:val="20"/>
          <w:szCs w:val="20"/>
        </w:rPr>
      </w:pPr>
      <w:r w:rsidRPr="00A1740F">
        <w:rPr>
          <w:rFonts w:ascii="Verdana" w:hAnsi="Verdana"/>
          <w:sz w:val="18"/>
          <w:szCs w:val="18"/>
        </w:rPr>
        <w:t xml:space="preserve">d’intégration systématique des dimensions genre et inclusion, </w:t>
      </w:r>
    </w:p>
    <w:p w14:paraId="1A08E46E" w14:textId="00EB198A" w:rsidR="0008468B" w:rsidRPr="00A1740F" w:rsidRDefault="00A1740F" w:rsidP="00D33465">
      <w:pPr>
        <w:numPr>
          <w:ilvl w:val="0"/>
          <w:numId w:val="19"/>
        </w:numPr>
        <w:spacing w:after="120" w:line="240" w:lineRule="auto"/>
        <w:ind w:left="1418" w:hanging="425"/>
        <w:contextualSpacing/>
        <w:rPr>
          <w:rFonts w:ascii="Verdana" w:hAnsi="Verdana"/>
          <w:b/>
          <w:bCs/>
          <w:i/>
          <w:iCs/>
          <w:sz w:val="20"/>
          <w:szCs w:val="20"/>
        </w:rPr>
      </w:pPr>
      <w:r w:rsidRPr="00A1740F">
        <w:rPr>
          <w:rFonts w:ascii="Verdana" w:hAnsi="Verdana"/>
          <w:sz w:val="18"/>
          <w:szCs w:val="18"/>
        </w:rPr>
        <w:t>de développement de la recherche appliquée et de l'innovation</w:t>
      </w:r>
    </w:p>
    <w:p w14:paraId="2827FE79" w14:textId="77777777" w:rsidR="00A1740F" w:rsidRPr="00204C61" w:rsidRDefault="00A1740F" w:rsidP="00A1740F">
      <w:pPr>
        <w:spacing w:after="120" w:line="240" w:lineRule="auto"/>
        <w:ind w:left="1418"/>
        <w:rPr>
          <w:rFonts w:ascii="Verdana" w:hAnsi="Verdana"/>
          <w:b/>
          <w:bCs/>
          <w:i/>
          <w:iCs/>
          <w:sz w:val="10"/>
          <w:szCs w:val="10"/>
        </w:rPr>
      </w:pPr>
    </w:p>
    <w:p w14:paraId="5A27112E" w14:textId="0E2FC985" w:rsidR="004F278F" w:rsidRPr="009A72E7" w:rsidRDefault="004F278F" w:rsidP="00AC73BD">
      <w:pPr>
        <w:pStyle w:val="Paragraphe"/>
        <w:ind w:left="720"/>
      </w:pPr>
    </w:p>
    <w:sectPr w:rsidR="004F278F" w:rsidRPr="009A72E7" w:rsidSect="009F3B9E">
      <w:headerReference w:type="default" r:id="rId7"/>
      <w:footerReference w:type="default" r:id="rId8"/>
      <w:pgSz w:w="11906" w:h="16838"/>
      <w:pgMar w:top="1276" w:right="1417" w:bottom="1135" w:left="1417" w:header="426"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B54D5" w14:textId="77777777" w:rsidR="00546628" w:rsidRDefault="00546628">
      <w:pPr>
        <w:spacing w:after="0" w:line="240" w:lineRule="auto"/>
      </w:pPr>
      <w:r>
        <w:separator/>
      </w:r>
    </w:p>
  </w:endnote>
  <w:endnote w:type="continuationSeparator" w:id="0">
    <w:p w14:paraId="69817077" w14:textId="77777777" w:rsidR="00546628" w:rsidRDefault="00546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34303" w14:textId="77777777" w:rsidR="00546628" w:rsidRDefault="00546628">
      <w:pPr>
        <w:spacing w:after="0" w:line="240" w:lineRule="auto"/>
      </w:pPr>
      <w:r>
        <w:separator/>
      </w:r>
    </w:p>
  </w:footnote>
  <w:footnote w:type="continuationSeparator" w:id="0">
    <w:p w14:paraId="25A3D258" w14:textId="77777777" w:rsidR="00546628" w:rsidRDefault="00546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0E4A1FB7"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926022181" name="Image 192602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707E6F">
      <w:rPr>
        <w:rFonts w:ascii="Verdana" w:hAnsi="Verdana"/>
        <w:b/>
        <w:bCs/>
        <w:sz w:val="20"/>
        <w:szCs w:val="20"/>
      </w:rPr>
      <w:t>2.2.</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FF1906"/>
    <w:multiLevelType w:val="hybridMultilevel"/>
    <w:tmpl w:val="601ED9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DE0498"/>
    <w:multiLevelType w:val="hybridMultilevel"/>
    <w:tmpl w:val="16E25F6E"/>
    <w:lvl w:ilvl="0" w:tplc="040C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0B0FB4"/>
    <w:multiLevelType w:val="hybridMultilevel"/>
    <w:tmpl w:val="55760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8812E4"/>
    <w:multiLevelType w:val="hybridMultilevel"/>
    <w:tmpl w:val="E64EC68A"/>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15:restartNumberingAfterBreak="0">
    <w:nsid w:val="224017C5"/>
    <w:multiLevelType w:val="hybridMultilevel"/>
    <w:tmpl w:val="E7C89AFE"/>
    <w:lvl w:ilvl="0" w:tplc="577A436C">
      <w:start w:val="11"/>
      <w:numFmt w:val="bullet"/>
      <w:lvlText w:val="-"/>
      <w:lvlJc w:val="left"/>
      <w:pPr>
        <w:ind w:left="720" w:hanging="360"/>
      </w:pPr>
      <w:rPr>
        <w:rFonts w:ascii="Verdana" w:eastAsiaTheme="minorHAnsi" w:hAnsi="Verdana"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2BC4F83"/>
    <w:multiLevelType w:val="multilevel"/>
    <w:tmpl w:val="F42836D6"/>
    <w:name w:val="RECOS4"/>
    <w:styleLink w:val="RECOS3"/>
    <w:lvl w:ilvl="0">
      <w:start w:val="1"/>
      <w:numFmt w:val="decimal"/>
      <w:suff w:val="space"/>
      <w:lvlText w:val="%1"/>
      <w:lvlJc w:val="left"/>
      <w:pPr>
        <w:ind w:left="360" w:hanging="360"/>
      </w:pPr>
      <w:rPr>
        <w:rFonts w:hint="default"/>
      </w:rPr>
    </w:lvl>
    <w:lvl w:ilvl="1">
      <w:start w:val="1"/>
      <w:numFmt w:val="decimal"/>
      <w:suff w:val="space"/>
      <w:lvlText w:val="%2.%1"/>
      <w:lvlJc w:val="left"/>
      <w:pPr>
        <w:ind w:left="720" w:hanging="360"/>
      </w:pPr>
      <w:rPr>
        <w:rFonts w:hint="default"/>
      </w:rPr>
    </w:lvl>
    <w:lvl w:ilvl="2">
      <w:start w:val="1"/>
      <w:numFmt w:val="decimal"/>
      <w:suff w:val="space"/>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D80D15"/>
    <w:multiLevelType w:val="multilevel"/>
    <w:tmpl w:val="16D2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165A5"/>
    <w:multiLevelType w:val="hybridMultilevel"/>
    <w:tmpl w:val="65A25C5C"/>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15:restartNumberingAfterBreak="0">
    <w:nsid w:val="38611343"/>
    <w:multiLevelType w:val="hybridMultilevel"/>
    <w:tmpl w:val="51603A58"/>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6825CE"/>
    <w:multiLevelType w:val="hybridMultilevel"/>
    <w:tmpl w:val="022811F2"/>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08F3570"/>
    <w:multiLevelType w:val="hybridMultilevel"/>
    <w:tmpl w:val="6E58B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1741BD"/>
    <w:multiLevelType w:val="multilevel"/>
    <w:tmpl w:val="443E7C9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CF3A19"/>
    <w:multiLevelType w:val="multilevel"/>
    <w:tmpl w:val="BE322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9A17E3"/>
    <w:multiLevelType w:val="hybridMultilevel"/>
    <w:tmpl w:val="15DAD472"/>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F40A12"/>
    <w:multiLevelType w:val="hybridMultilevel"/>
    <w:tmpl w:val="96968C94"/>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15:restartNumberingAfterBreak="0">
    <w:nsid w:val="77596508"/>
    <w:multiLevelType w:val="multilevel"/>
    <w:tmpl w:val="7F1C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820324"/>
    <w:multiLevelType w:val="multilevel"/>
    <w:tmpl w:val="650E2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780138">
    <w:abstractNumId w:val="6"/>
  </w:num>
  <w:num w:numId="2" w16cid:durableId="1961062570">
    <w:abstractNumId w:val="21"/>
  </w:num>
  <w:num w:numId="3" w16cid:durableId="1313875916">
    <w:abstractNumId w:val="3"/>
  </w:num>
  <w:num w:numId="4" w16cid:durableId="277025580">
    <w:abstractNumId w:val="0"/>
  </w:num>
  <w:num w:numId="5" w16cid:durableId="1002126528">
    <w:abstractNumId w:val="20"/>
  </w:num>
  <w:num w:numId="6" w16cid:durableId="716205332">
    <w:abstractNumId w:val="5"/>
  </w:num>
  <w:num w:numId="7" w16cid:durableId="1887251871">
    <w:abstractNumId w:val="11"/>
  </w:num>
  <w:num w:numId="8" w16cid:durableId="1577282365">
    <w:abstractNumId w:val="3"/>
    <w:lvlOverride w:ilvl="0">
      <w:startOverride w:val="1"/>
    </w:lvlOverride>
  </w:num>
  <w:num w:numId="9" w16cid:durableId="232198724">
    <w:abstractNumId w:val="2"/>
  </w:num>
  <w:num w:numId="10" w16cid:durableId="390350396">
    <w:abstractNumId w:val="24"/>
  </w:num>
  <w:num w:numId="11" w16cid:durableId="523322998">
    <w:abstractNumId w:val="12"/>
  </w:num>
  <w:num w:numId="12" w16cid:durableId="1732268902">
    <w:abstractNumId w:val="10"/>
  </w:num>
  <w:num w:numId="13" w16cid:durableId="353457339">
    <w:abstractNumId w:val="16"/>
  </w:num>
  <w:num w:numId="14" w16cid:durableId="839349118">
    <w:abstractNumId w:val="1"/>
  </w:num>
  <w:num w:numId="15" w16cid:durableId="1948001225">
    <w:abstractNumId w:val="7"/>
  </w:num>
  <w:num w:numId="16" w16cid:durableId="972248072">
    <w:abstractNumId w:val="23"/>
  </w:num>
  <w:num w:numId="17" w16cid:durableId="954755323">
    <w:abstractNumId w:val="17"/>
  </w:num>
  <w:num w:numId="18" w16cid:durableId="1892879814">
    <w:abstractNumId w:val="4"/>
  </w:num>
  <w:num w:numId="19" w16cid:durableId="508523438">
    <w:abstractNumId w:val="14"/>
  </w:num>
  <w:num w:numId="20" w16cid:durableId="724910769">
    <w:abstractNumId w:val="3"/>
  </w:num>
  <w:num w:numId="21" w16cid:durableId="358622630">
    <w:abstractNumId w:val="3"/>
  </w:num>
  <w:num w:numId="22" w16cid:durableId="1689599918">
    <w:abstractNumId w:val="3"/>
  </w:num>
  <w:num w:numId="23" w16cid:durableId="1543010173">
    <w:abstractNumId w:val="3"/>
  </w:num>
  <w:num w:numId="24" w16cid:durableId="411050690">
    <w:abstractNumId w:val="9"/>
  </w:num>
  <w:num w:numId="25" w16cid:durableId="2117869239">
    <w:abstractNumId w:val="15"/>
  </w:num>
  <w:num w:numId="26" w16cid:durableId="480388893">
    <w:abstractNumId w:val="13"/>
  </w:num>
  <w:num w:numId="27" w16cid:durableId="589049746">
    <w:abstractNumId w:val="8"/>
  </w:num>
  <w:num w:numId="28" w16cid:durableId="285501432">
    <w:abstractNumId w:val="18"/>
  </w:num>
  <w:num w:numId="29" w16cid:durableId="1609774389">
    <w:abstractNumId w:val="22"/>
  </w:num>
  <w:num w:numId="30" w16cid:durableId="5329588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54CE3"/>
    <w:rsid w:val="00060CA0"/>
    <w:rsid w:val="00063A26"/>
    <w:rsid w:val="00072CF9"/>
    <w:rsid w:val="00082633"/>
    <w:rsid w:val="0008468B"/>
    <w:rsid w:val="00086796"/>
    <w:rsid w:val="00095524"/>
    <w:rsid w:val="000A468A"/>
    <w:rsid w:val="000B0FBD"/>
    <w:rsid w:val="000C4C7D"/>
    <w:rsid w:val="000D4B23"/>
    <w:rsid w:val="000E2A7F"/>
    <w:rsid w:val="000E6DF1"/>
    <w:rsid w:val="000F4728"/>
    <w:rsid w:val="00107D9D"/>
    <w:rsid w:val="00110EBD"/>
    <w:rsid w:val="00136B82"/>
    <w:rsid w:val="0018252D"/>
    <w:rsid w:val="001A05DE"/>
    <w:rsid w:val="001A56F1"/>
    <w:rsid w:val="001B4738"/>
    <w:rsid w:val="001B7B5F"/>
    <w:rsid w:val="001C2E0D"/>
    <w:rsid w:val="001D3475"/>
    <w:rsid w:val="001D4B91"/>
    <w:rsid w:val="001D5428"/>
    <w:rsid w:val="00204C61"/>
    <w:rsid w:val="00223DDB"/>
    <w:rsid w:val="00225B77"/>
    <w:rsid w:val="00254430"/>
    <w:rsid w:val="002817DF"/>
    <w:rsid w:val="00297D69"/>
    <w:rsid w:val="002A066D"/>
    <w:rsid w:val="002A0933"/>
    <w:rsid w:val="002A096E"/>
    <w:rsid w:val="002A76F6"/>
    <w:rsid w:val="002C56ED"/>
    <w:rsid w:val="002F17D7"/>
    <w:rsid w:val="002F3A03"/>
    <w:rsid w:val="003305D0"/>
    <w:rsid w:val="003342F6"/>
    <w:rsid w:val="003604B9"/>
    <w:rsid w:val="00370FA3"/>
    <w:rsid w:val="003772FB"/>
    <w:rsid w:val="0037755D"/>
    <w:rsid w:val="00380B91"/>
    <w:rsid w:val="003821A0"/>
    <w:rsid w:val="00391152"/>
    <w:rsid w:val="00391E13"/>
    <w:rsid w:val="003B1A0A"/>
    <w:rsid w:val="003C2538"/>
    <w:rsid w:val="003D00E0"/>
    <w:rsid w:val="003D485F"/>
    <w:rsid w:val="003D4B1D"/>
    <w:rsid w:val="003D5328"/>
    <w:rsid w:val="003D6F46"/>
    <w:rsid w:val="0040221A"/>
    <w:rsid w:val="0041278C"/>
    <w:rsid w:val="004138E2"/>
    <w:rsid w:val="00417683"/>
    <w:rsid w:val="00426673"/>
    <w:rsid w:val="004607F7"/>
    <w:rsid w:val="0046284E"/>
    <w:rsid w:val="0047373A"/>
    <w:rsid w:val="00474799"/>
    <w:rsid w:val="004C2379"/>
    <w:rsid w:val="004F278F"/>
    <w:rsid w:val="004F5C4B"/>
    <w:rsid w:val="005205F3"/>
    <w:rsid w:val="005339F4"/>
    <w:rsid w:val="0053773D"/>
    <w:rsid w:val="00546628"/>
    <w:rsid w:val="005525BF"/>
    <w:rsid w:val="0056527D"/>
    <w:rsid w:val="00566779"/>
    <w:rsid w:val="00575383"/>
    <w:rsid w:val="005803CA"/>
    <w:rsid w:val="0058459C"/>
    <w:rsid w:val="00593E0B"/>
    <w:rsid w:val="005B2FC7"/>
    <w:rsid w:val="00620B90"/>
    <w:rsid w:val="006356AF"/>
    <w:rsid w:val="006548BF"/>
    <w:rsid w:val="00660504"/>
    <w:rsid w:val="00665FFB"/>
    <w:rsid w:val="00695169"/>
    <w:rsid w:val="006A5D1D"/>
    <w:rsid w:val="006A693B"/>
    <w:rsid w:val="006C2947"/>
    <w:rsid w:val="006D1E97"/>
    <w:rsid w:val="006E2D9E"/>
    <w:rsid w:val="00701469"/>
    <w:rsid w:val="00707E6F"/>
    <w:rsid w:val="00744BA2"/>
    <w:rsid w:val="0077738C"/>
    <w:rsid w:val="007B245C"/>
    <w:rsid w:val="007B2F28"/>
    <w:rsid w:val="007B4FB2"/>
    <w:rsid w:val="007B5A8A"/>
    <w:rsid w:val="007C2A0F"/>
    <w:rsid w:val="007C4357"/>
    <w:rsid w:val="007C513C"/>
    <w:rsid w:val="007C78FC"/>
    <w:rsid w:val="007D52FF"/>
    <w:rsid w:val="007D7988"/>
    <w:rsid w:val="007F2D95"/>
    <w:rsid w:val="00816DAC"/>
    <w:rsid w:val="0082045D"/>
    <w:rsid w:val="00822A41"/>
    <w:rsid w:val="0083290E"/>
    <w:rsid w:val="008363EF"/>
    <w:rsid w:val="00843FF2"/>
    <w:rsid w:val="008453AB"/>
    <w:rsid w:val="008532EA"/>
    <w:rsid w:val="00854EEA"/>
    <w:rsid w:val="008551DA"/>
    <w:rsid w:val="00876B17"/>
    <w:rsid w:val="008A397E"/>
    <w:rsid w:val="008B0A27"/>
    <w:rsid w:val="008C229E"/>
    <w:rsid w:val="008D193F"/>
    <w:rsid w:val="008D4263"/>
    <w:rsid w:val="008F173C"/>
    <w:rsid w:val="00955BB3"/>
    <w:rsid w:val="00964E7F"/>
    <w:rsid w:val="00974CBE"/>
    <w:rsid w:val="009909AD"/>
    <w:rsid w:val="009A1EBC"/>
    <w:rsid w:val="009A38AD"/>
    <w:rsid w:val="009A72E7"/>
    <w:rsid w:val="009C0E29"/>
    <w:rsid w:val="009F3B9E"/>
    <w:rsid w:val="00A06810"/>
    <w:rsid w:val="00A148A1"/>
    <w:rsid w:val="00A1740F"/>
    <w:rsid w:val="00A24E06"/>
    <w:rsid w:val="00A34256"/>
    <w:rsid w:val="00A36C09"/>
    <w:rsid w:val="00A36C18"/>
    <w:rsid w:val="00A37C9F"/>
    <w:rsid w:val="00A404F2"/>
    <w:rsid w:val="00A44D3E"/>
    <w:rsid w:val="00A51D2A"/>
    <w:rsid w:val="00A70123"/>
    <w:rsid w:val="00A76B07"/>
    <w:rsid w:val="00A81B98"/>
    <w:rsid w:val="00A87B76"/>
    <w:rsid w:val="00A90305"/>
    <w:rsid w:val="00A90764"/>
    <w:rsid w:val="00A932CF"/>
    <w:rsid w:val="00AA63A3"/>
    <w:rsid w:val="00AB5EB7"/>
    <w:rsid w:val="00AC5A40"/>
    <w:rsid w:val="00AC73BD"/>
    <w:rsid w:val="00AD4D97"/>
    <w:rsid w:val="00AE2453"/>
    <w:rsid w:val="00AE366E"/>
    <w:rsid w:val="00AE3EF4"/>
    <w:rsid w:val="00B0406E"/>
    <w:rsid w:val="00B05DFC"/>
    <w:rsid w:val="00B11F6C"/>
    <w:rsid w:val="00B35905"/>
    <w:rsid w:val="00B36EEA"/>
    <w:rsid w:val="00B4222A"/>
    <w:rsid w:val="00B52F65"/>
    <w:rsid w:val="00B66778"/>
    <w:rsid w:val="00B7039A"/>
    <w:rsid w:val="00B72BD1"/>
    <w:rsid w:val="00BA4B55"/>
    <w:rsid w:val="00BE381C"/>
    <w:rsid w:val="00BE5223"/>
    <w:rsid w:val="00BF5A19"/>
    <w:rsid w:val="00C12C93"/>
    <w:rsid w:val="00C23B32"/>
    <w:rsid w:val="00C2446A"/>
    <w:rsid w:val="00C279DA"/>
    <w:rsid w:val="00C30C55"/>
    <w:rsid w:val="00C325F5"/>
    <w:rsid w:val="00C457E8"/>
    <w:rsid w:val="00C609B9"/>
    <w:rsid w:val="00C73DC5"/>
    <w:rsid w:val="00C92EE2"/>
    <w:rsid w:val="00CB1801"/>
    <w:rsid w:val="00CB78C0"/>
    <w:rsid w:val="00CE2386"/>
    <w:rsid w:val="00D05D77"/>
    <w:rsid w:val="00D12D27"/>
    <w:rsid w:val="00D2276C"/>
    <w:rsid w:val="00D42937"/>
    <w:rsid w:val="00D556D3"/>
    <w:rsid w:val="00D61AD2"/>
    <w:rsid w:val="00D64749"/>
    <w:rsid w:val="00D92655"/>
    <w:rsid w:val="00DB22EE"/>
    <w:rsid w:val="00DE412F"/>
    <w:rsid w:val="00DE63F8"/>
    <w:rsid w:val="00DE795F"/>
    <w:rsid w:val="00DF3129"/>
    <w:rsid w:val="00DF31A2"/>
    <w:rsid w:val="00E12AA3"/>
    <w:rsid w:val="00E2397A"/>
    <w:rsid w:val="00E32408"/>
    <w:rsid w:val="00E61430"/>
    <w:rsid w:val="00E766BB"/>
    <w:rsid w:val="00E8105D"/>
    <w:rsid w:val="00E845D4"/>
    <w:rsid w:val="00EB731B"/>
    <w:rsid w:val="00EC22CC"/>
    <w:rsid w:val="00EC2430"/>
    <w:rsid w:val="00ED6B69"/>
    <w:rsid w:val="00EE34F4"/>
    <w:rsid w:val="00EE717C"/>
    <w:rsid w:val="00EF22A4"/>
    <w:rsid w:val="00F00D57"/>
    <w:rsid w:val="00F02934"/>
    <w:rsid w:val="00F30490"/>
    <w:rsid w:val="00F40AA8"/>
    <w:rsid w:val="00F54EA0"/>
    <w:rsid w:val="00F72923"/>
    <w:rsid w:val="00F73316"/>
    <w:rsid w:val="00F93B48"/>
    <w:rsid w:val="00F96EE9"/>
    <w:rsid w:val="00FE285D"/>
    <w:rsid w:val="00FF554E"/>
    <w:rsid w:val="017A3B1F"/>
    <w:rsid w:val="1DC38256"/>
    <w:rsid w:val="4CC084D7"/>
    <w:rsid w:val="4ED0BB8A"/>
    <w:rsid w:val="503606BA"/>
    <w:rsid w:val="7E65DCA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rmalWeb">
    <w:name w:val="Normal (Web)"/>
    <w:basedOn w:val="Normal"/>
    <w:uiPriority w:val="99"/>
    <w:unhideWhenUsed/>
    <w:rsid w:val="007D52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D52FF"/>
    <w:rPr>
      <w:b/>
      <w:bCs/>
    </w:rPr>
  </w:style>
  <w:style w:type="numbering" w:customStyle="1" w:styleId="RECOS3">
    <w:name w:val="RECOS3"/>
    <w:uiPriority w:val="99"/>
    <w:rsid w:val="009A72E7"/>
    <w:pPr>
      <w:numPr>
        <w:numId w:val="12"/>
      </w:numPr>
    </w:pPr>
  </w:style>
  <w:style w:type="paragraph" w:styleId="Titre">
    <w:name w:val="Title"/>
    <w:basedOn w:val="Normal"/>
    <w:next w:val="Normal"/>
    <w:link w:val="TitreCar"/>
    <w:uiPriority w:val="10"/>
    <w:qFormat/>
    <w:rsid w:val="009A7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A72E7"/>
    <w:rPr>
      <w:rFonts w:asciiTheme="majorHAnsi" w:eastAsiaTheme="majorEastAsia" w:hAnsiTheme="majorHAnsi" w:cstheme="majorBidi"/>
      <w:spacing w:val="-10"/>
      <w:kern w:val="28"/>
      <w:sz w:val="56"/>
      <w:szCs w:val="56"/>
    </w:rPr>
  </w:style>
  <w:style w:type="paragraph" w:styleId="Rvision">
    <w:name w:val="Revision"/>
    <w:hidden/>
    <w:uiPriority w:val="99"/>
    <w:semiHidden/>
    <w:rsid w:val="00C23B32"/>
    <w:pPr>
      <w:spacing w:after="0" w:line="240" w:lineRule="auto"/>
    </w:pPr>
  </w:style>
  <w:style w:type="character" w:customStyle="1" w:styleId="apple-converted-space">
    <w:name w:val="apple-converted-space"/>
    <w:basedOn w:val="Policepardfaut"/>
    <w:rsid w:val="0047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2109</Words>
  <Characters>11431</Characters>
  <Application>Microsoft Office Word</Application>
  <DocSecurity>0</DocSecurity>
  <Lines>211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10</cp:revision>
  <cp:lastPrinted>2026-04-17T04:38:00Z</cp:lastPrinted>
  <dcterms:created xsi:type="dcterms:W3CDTF">2026-04-21T07:45:00Z</dcterms:created>
  <dcterms:modified xsi:type="dcterms:W3CDTF">2026-04-22T05:21:00Z</dcterms:modified>
</cp:coreProperties>
</file>