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tc>
          <w:tcPr>
            <w:tcW w:w="9062" w:type="dxa"/>
            <w:gridSpan w:val="2"/>
          </w:tcPr>
          <w:p w14:paraId="6FC76F95" w14:textId="61D3FB07" w:rsidR="00EC22CC" w:rsidRDefault="00212CDB" w:rsidP="00854EEA">
            <w:pPr>
              <w:jc w:val="center"/>
              <w:rPr>
                <w:rFonts w:ascii="Verdana" w:hAnsi="Verdana"/>
                <w:b/>
                <w:bCs/>
                <w:sz w:val="20"/>
                <w:szCs w:val="20"/>
              </w:rPr>
            </w:pPr>
            <w:r>
              <w:rPr>
                <w:rFonts w:ascii="Verdana" w:hAnsi="Verdana"/>
                <w:b/>
                <w:bCs/>
              </w:rPr>
              <w:t>Culture</w:t>
            </w:r>
          </w:p>
        </w:tc>
      </w:tr>
      <w:tr w:rsidR="00EC22CC" w14:paraId="7F1B63D2" w14:textId="77777777" w:rsidTr="002A0933">
        <w:tc>
          <w:tcPr>
            <w:tcW w:w="7225" w:type="dxa"/>
          </w:tcPr>
          <w:p w14:paraId="056D9B10" w14:textId="052CFEAD" w:rsidR="00EC22CC" w:rsidRPr="002A096E" w:rsidRDefault="00F3706C" w:rsidP="002A096E">
            <w:pPr>
              <w:rPr>
                <w:rFonts w:ascii="Verdana" w:hAnsi="Verdana"/>
                <w:sz w:val="20"/>
                <w:szCs w:val="20"/>
              </w:rPr>
            </w:pPr>
            <w:r>
              <w:rPr>
                <w:rFonts w:ascii="Verdana" w:hAnsi="Verdana"/>
                <w:sz w:val="20"/>
                <w:szCs w:val="20"/>
              </w:rPr>
              <w:t>C</w:t>
            </w:r>
            <w:r w:rsidR="008F525A">
              <w:rPr>
                <w:rFonts w:ascii="Verdana" w:hAnsi="Verdana"/>
                <w:sz w:val="20"/>
                <w:szCs w:val="20"/>
              </w:rPr>
              <w:t>omité des OPL n°</w:t>
            </w:r>
            <w:r w:rsidR="00212CDB">
              <w:rPr>
                <w:rFonts w:ascii="Verdana" w:hAnsi="Verdana"/>
                <w:sz w:val="20"/>
                <w:szCs w:val="20"/>
              </w:rPr>
              <w:t>0</w:t>
            </w:r>
            <w:r w:rsidR="003F2E00">
              <w:rPr>
                <w:rFonts w:ascii="Verdana" w:hAnsi="Verdana"/>
                <w:sz w:val="20"/>
                <w:szCs w:val="20"/>
              </w:rPr>
              <w:t>2</w:t>
            </w:r>
            <w:r w:rsidR="00212CDB">
              <w:rPr>
                <w:rFonts w:ascii="Verdana" w:hAnsi="Verdana"/>
                <w:sz w:val="20"/>
                <w:szCs w:val="20"/>
              </w:rPr>
              <w:t>/2026</w:t>
            </w:r>
            <w:r w:rsidR="008F525A">
              <w:rPr>
                <w:rFonts w:ascii="Verdana" w:hAnsi="Verdana"/>
                <w:sz w:val="20"/>
                <w:szCs w:val="20"/>
              </w:rPr>
              <w:t xml:space="preserve">| </w:t>
            </w:r>
            <w:r w:rsidR="003F2E00">
              <w:rPr>
                <w:rFonts w:ascii="Verdana" w:hAnsi="Verdana"/>
                <w:sz w:val="20"/>
                <w:szCs w:val="20"/>
              </w:rPr>
              <w:t xml:space="preserve">05-07 </w:t>
            </w:r>
            <w:r w:rsidR="00212CDB">
              <w:rPr>
                <w:rFonts w:ascii="Verdana" w:hAnsi="Verdana"/>
                <w:sz w:val="20"/>
                <w:szCs w:val="20"/>
              </w:rPr>
              <w:t>mai 2026</w:t>
            </w:r>
          </w:p>
        </w:tc>
        <w:tc>
          <w:tcPr>
            <w:tcW w:w="1837" w:type="dxa"/>
          </w:tcPr>
          <w:p w14:paraId="58E25D1F" w14:textId="5BB81AE4"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8F525A">
              <w:rPr>
                <w:rFonts w:ascii="Verdana" w:hAnsi="Verdana"/>
                <w:sz w:val="20"/>
                <w:szCs w:val="20"/>
              </w:rPr>
              <w:t>2.1</w:t>
            </w:r>
            <w:r w:rsidR="00356E5D">
              <w:rPr>
                <w:rFonts w:ascii="Verdana" w:hAnsi="Verdana"/>
                <w:sz w:val="20"/>
                <w:szCs w:val="20"/>
              </w:rPr>
              <w:t>5</w:t>
            </w:r>
          </w:p>
        </w:tc>
      </w:tr>
      <w:tr w:rsidR="00EC22CC" w14:paraId="537D1DE5" w14:textId="77777777" w:rsidTr="002A0933">
        <w:tc>
          <w:tcPr>
            <w:tcW w:w="7225" w:type="dxa"/>
          </w:tcPr>
          <w:p w14:paraId="43DEF09E" w14:textId="0E0BB332" w:rsidR="00EC22CC" w:rsidRPr="008F525A" w:rsidRDefault="00A148A1" w:rsidP="002A096E">
            <w:pPr>
              <w:rPr>
                <w:rFonts w:ascii="Verdana" w:hAnsi="Verdana"/>
                <w:sz w:val="20"/>
                <w:szCs w:val="20"/>
              </w:rPr>
            </w:pPr>
            <w:r w:rsidRPr="008F525A">
              <w:rPr>
                <w:rFonts w:ascii="Verdana" w:hAnsi="Verdana"/>
                <w:i/>
                <w:iCs/>
                <w:sz w:val="20"/>
                <w:szCs w:val="20"/>
              </w:rPr>
              <w:t>Dossier suivi par :</w:t>
            </w:r>
            <w:r w:rsidR="00EC22CC" w:rsidRPr="008F525A">
              <w:rPr>
                <w:rFonts w:ascii="Verdana" w:hAnsi="Verdana"/>
                <w:sz w:val="20"/>
                <w:szCs w:val="20"/>
              </w:rPr>
              <w:t xml:space="preserve"> </w:t>
            </w:r>
            <w:r w:rsidR="00C737A0" w:rsidRPr="008F525A">
              <w:rPr>
                <w:rFonts w:ascii="Verdana" w:hAnsi="Verdana"/>
                <w:sz w:val="20"/>
                <w:szCs w:val="20"/>
              </w:rPr>
              <w:t>Juliette Janin, Chargée de mission</w:t>
            </w:r>
          </w:p>
        </w:tc>
        <w:tc>
          <w:tcPr>
            <w:tcW w:w="1837" w:type="dxa"/>
          </w:tcPr>
          <w:p w14:paraId="5AC1AFAB" w14:textId="04084D54" w:rsidR="00EC22CC" w:rsidRPr="008F525A" w:rsidRDefault="008F525A" w:rsidP="008F525A">
            <w:pPr>
              <w:rPr>
                <w:rFonts w:ascii="Verdana" w:hAnsi="Verdana"/>
                <w:sz w:val="20"/>
                <w:szCs w:val="20"/>
              </w:rPr>
            </w:pPr>
            <w:r w:rsidRPr="008F525A">
              <w:rPr>
                <w:rFonts w:ascii="Verdana" w:hAnsi="Verdana"/>
                <w:sz w:val="20"/>
                <w:szCs w:val="20"/>
              </w:rPr>
              <w:t xml:space="preserve">   </w:t>
            </w:r>
            <w:r w:rsidR="004607F7" w:rsidRPr="008F525A">
              <w:rPr>
                <w:rFonts w:ascii="Verdana" w:hAnsi="Verdana"/>
                <w:sz w:val="20"/>
                <w:szCs w:val="20"/>
              </w:rPr>
              <w:t xml:space="preserve">Décision </w:t>
            </w:r>
          </w:p>
        </w:tc>
      </w:tr>
      <w:tr w:rsidR="00A90305" w14:paraId="6896DB30" w14:textId="77777777">
        <w:tc>
          <w:tcPr>
            <w:tcW w:w="9062" w:type="dxa"/>
            <w:gridSpan w:val="2"/>
          </w:tcPr>
          <w:p w14:paraId="0495241B" w14:textId="0BEBEBEE" w:rsidR="00A90305" w:rsidRPr="008F525A" w:rsidRDefault="00A90305" w:rsidP="00A90305">
            <w:pPr>
              <w:rPr>
                <w:rFonts w:ascii="Verdana" w:hAnsi="Verdana"/>
                <w:sz w:val="20"/>
                <w:szCs w:val="20"/>
              </w:rPr>
            </w:pPr>
            <w:r w:rsidRPr="008F525A">
              <w:rPr>
                <w:rFonts w:ascii="Verdana" w:hAnsi="Verdana"/>
                <w:i/>
                <w:iCs/>
                <w:sz w:val="20"/>
                <w:szCs w:val="20"/>
              </w:rPr>
              <w:t xml:space="preserve">Version du </w:t>
            </w:r>
            <w:r w:rsidR="00212CDB">
              <w:rPr>
                <w:rFonts w:ascii="Verdana" w:hAnsi="Verdana"/>
                <w:i/>
                <w:iCs/>
                <w:sz w:val="20"/>
                <w:szCs w:val="20"/>
              </w:rPr>
              <w:t>20</w:t>
            </w:r>
            <w:r w:rsidR="007509B5">
              <w:rPr>
                <w:rFonts w:ascii="Verdana" w:hAnsi="Verdana"/>
                <w:i/>
                <w:iCs/>
                <w:sz w:val="20"/>
                <w:szCs w:val="20"/>
              </w:rPr>
              <w:t xml:space="preserve"> avril 2026</w:t>
            </w:r>
            <w:r w:rsidRPr="008F525A">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E91529" w:rsidRDefault="00955BB3" w:rsidP="00A70123">
      <w:pPr>
        <w:pStyle w:val="Titrepartie"/>
        <w:rPr>
          <w:sz w:val="20"/>
        </w:rPr>
      </w:pPr>
      <w:r w:rsidRPr="00E91529">
        <w:rPr>
          <w:sz w:val="20"/>
        </w:rPr>
        <w:t>Résumé</w:t>
      </w:r>
    </w:p>
    <w:p w14:paraId="46288B47" w14:textId="4D75528C" w:rsidR="00AB4BA8" w:rsidRDefault="00AB4BA8" w:rsidP="00AB4BA8">
      <w:pPr>
        <w:pStyle w:val="Paragraphe"/>
      </w:pPr>
      <w:r>
        <w:t>Lancé en 2022 et financé par l’AFD pour une durée de cinq ans, le projet régional Industries Culturelles et Créatives (ICC) de la COI est un programme structurant, centré sur l’égalité femmes-hommes comme objectif principal. Entré dans sa 4</w:t>
      </w:r>
      <w:r>
        <w:rPr>
          <w:rFonts w:ascii="Arial" w:hAnsi="Arial" w:cs="Arial"/>
        </w:rPr>
        <w:t>ᵉ</w:t>
      </w:r>
      <w:r>
        <w:t xml:space="preserve"> année, il a connu une forte accélération depuis 2025 avec le déploiement d’outils régionaux (inventaire du patrimoine, MOOC genre, études sectorielles, appui aux femmes entrepreneures).</w:t>
      </w:r>
    </w:p>
    <w:p w14:paraId="29CF1798" w14:textId="74D4D262" w:rsidR="00AB4BA8" w:rsidRDefault="00AB4BA8" w:rsidP="00AB4BA8">
      <w:pPr>
        <w:pStyle w:val="Paragraphe"/>
      </w:pPr>
      <w:r>
        <w:t>Une prolongation de 11 mois sans coût additionnel, validée</w:t>
      </w:r>
      <w:r w:rsidRPr="00AB4BA8">
        <w:t xml:space="preserve"> en décembre 2025 par le comité de pilotage et en cours d’analyse par l’AFD,</w:t>
      </w:r>
      <w:r>
        <w:t xml:space="preserve"> est déterminante pour consolider les acquis, favoriser leur appropriation et renforcer le plaidoyer auprès des États. L’enjeu est désormais de positionner les ICC comme levier stratégique de diversification économique, d’emploi et de cohésion sociale, en lien avec le tourisme et la valorisation durable des Etats insulaires face aux défis climatiques.</w:t>
      </w:r>
    </w:p>
    <w:p w14:paraId="1985034A" w14:textId="08C8DF24" w:rsidR="00AB4BA8" w:rsidRDefault="00AB4BA8" w:rsidP="00AB4BA8">
      <w:pPr>
        <w:pStyle w:val="Paragraphe"/>
      </w:pPr>
      <w:r>
        <w:t>Parallèlement, le Prix Indianocéanie Jeunesse est en préparation, avec une note conceptuelle en finalisation et une recherche active de partenariats.</w:t>
      </w:r>
    </w:p>
    <w:p w14:paraId="68009DDB" w14:textId="06AAE9C2" w:rsidR="0008468B" w:rsidRPr="00E91529" w:rsidRDefault="00955BB3" w:rsidP="00A70123">
      <w:pPr>
        <w:pStyle w:val="Titrepartie"/>
        <w:rPr>
          <w:sz w:val="20"/>
        </w:rPr>
      </w:pPr>
      <w:r w:rsidRPr="00E91529">
        <w:rPr>
          <w:sz w:val="20"/>
        </w:rPr>
        <w:t>Etat d’avancement</w:t>
      </w:r>
    </w:p>
    <w:p w14:paraId="2F09DDD6" w14:textId="6C10BD76" w:rsidR="00AB4BA8" w:rsidRDefault="00AB4BA8" w:rsidP="00B079E8">
      <w:pPr>
        <w:pStyle w:val="Sous-partie2"/>
      </w:pPr>
      <w:r>
        <w:t>Projet ICC</w:t>
      </w:r>
    </w:p>
    <w:p w14:paraId="4B53DA8B" w14:textId="77777777" w:rsidR="00AB4BA8" w:rsidRPr="00E91529" w:rsidRDefault="00AB4BA8" w:rsidP="00AB4BA8">
      <w:pPr>
        <w:jc w:val="both"/>
        <w:rPr>
          <w:rFonts w:ascii="Verdana" w:hAnsi="Verdana"/>
          <w:sz w:val="20"/>
          <w:szCs w:val="20"/>
        </w:rPr>
      </w:pPr>
      <w:r w:rsidRPr="00E91529">
        <w:rPr>
          <w:rFonts w:ascii="Verdana" w:hAnsi="Verdana"/>
          <w:sz w:val="20"/>
          <w:szCs w:val="20"/>
        </w:rPr>
        <w:t>Le projet</w:t>
      </w:r>
      <w:r>
        <w:rPr>
          <w:rFonts w:ascii="Verdana" w:hAnsi="Verdana"/>
          <w:sz w:val="20"/>
          <w:szCs w:val="20"/>
        </w:rPr>
        <w:t xml:space="preserve"> ICC</w:t>
      </w:r>
      <w:r w:rsidRPr="00E91529">
        <w:rPr>
          <w:rFonts w:ascii="Verdana" w:hAnsi="Verdana"/>
          <w:sz w:val="20"/>
          <w:szCs w:val="20"/>
        </w:rPr>
        <w:t xml:space="preserve"> atteint aujourd’hui un </w:t>
      </w:r>
      <w:r w:rsidRPr="00E91529">
        <w:rPr>
          <w:rStyle w:val="lev"/>
          <w:rFonts w:ascii="Verdana" w:hAnsi="Verdana"/>
          <w:b w:val="0"/>
          <w:bCs w:val="0"/>
          <w:sz w:val="20"/>
          <w:szCs w:val="20"/>
        </w:rPr>
        <w:t>niveau de déploiement significatif</w:t>
      </w:r>
      <w:r w:rsidRPr="00E91529">
        <w:rPr>
          <w:rFonts w:ascii="Verdana" w:hAnsi="Verdana"/>
          <w:b/>
          <w:bCs/>
          <w:sz w:val="20"/>
          <w:szCs w:val="20"/>
        </w:rPr>
        <w:t>,</w:t>
      </w:r>
      <w:r w:rsidRPr="00E91529">
        <w:rPr>
          <w:rFonts w:ascii="Verdana" w:hAnsi="Verdana"/>
          <w:sz w:val="20"/>
          <w:szCs w:val="20"/>
        </w:rPr>
        <w:t xml:space="preserve"> avec des résultats tangibles au bénéfice des acteurs culturels de la région.</w:t>
      </w:r>
    </w:p>
    <w:p w14:paraId="6AF3DC23" w14:textId="77777777" w:rsidR="00AB4BA8" w:rsidRPr="00E91529" w:rsidRDefault="00AB4BA8" w:rsidP="00AB4BA8">
      <w:pPr>
        <w:jc w:val="both"/>
        <w:rPr>
          <w:rFonts w:ascii="Verdana" w:hAnsi="Verdana"/>
          <w:sz w:val="20"/>
          <w:szCs w:val="20"/>
        </w:rPr>
      </w:pPr>
      <w:r w:rsidRPr="00E91529">
        <w:rPr>
          <w:rFonts w:ascii="Verdana" w:hAnsi="Verdana"/>
          <w:sz w:val="20"/>
          <w:szCs w:val="20"/>
        </w:rPr>
        <w:t xml:space="preserve">À ce jour, </w:t>
      </w:r>
      <w:r w:rsidRPr="00E91529">
        <w:rPr>
          <w:rStyle w:val="lev"/>
          <w:rFonts w:ascii="Verdana" w:hAnsi="Verdana"/>
          <w:b w:val="0"/>
          <w:bCs w:val="0"/>
          <w:sz w:val="20"/>
          <w:szCs w:val="20"/>
        </w:rPr>
        <w:t>358 appuis ont été apportés</w:t>
      </w:r>
      <w:r w:rsidRPr="00E91529">
        <w:rPr>
          <w:rFonts w:ascii="Verdana" w:hAnsi="Verdana"/>
          <w:sz w:val="20"/>
          <w:szCs w:val="20"/>
        </w:rPr>
        <w:t xml:space="preserve"> aux opérateurs culturels, illustrant la mise en œuvre effective du programme et l’appropriation progressive de ses dispositifs.</w:t>
      </w:r>
    </w:p>
    <w:p w14:paraId="28511C28" w14:textId="77777777" w:rsidR="00AB4BA8" w:rsidRPr="00E91529" w:rsidRDefault="00AB4BA8" w:rsidP="00AB4BA8">
      <w:pPr>
        <w:jc w:val="both"/>
        <w:rPr>
          <w:rFonts w:ascii="Verdana" w:hAnsi="Verdana"/>
          <w:sz w:val="20"/>
          <w:szCs w:val="20"/>
        </w:rPr>
      </w:pPr>
      <w:r w:rsidRPr="00E91529">
        <w:rPr>
          <w:rFonts w:ascii="Verdana" w:hAnsi="Verdana"/>
          <w:sz w:val="20"/>
          <w:szCs w:val="20"/>
        </w:rPr>
        <w:t xml:space="preserve">Ces résultats s’inscrivent dans une </w:t>
      </w:r>
      <w:r w:rsidRPr="00E91529">
        <w:rPr>
          <w:rStyle w:val="lev"/>
          <w:rFonts w:ascii="Verdana" w:hAnsi="Verdana"/>
          <w:b w:val="0"/>
          <w:bCs w:val="0"/>
          <w:sz w:val="20"/>
          <w:szCs w:val="20"/>
        </w:rPr>
        <w:t>structuration en quatre composantes complémentaires</w:t>
      </w:r>
      <w:r w:rsidRPr="00E91529">
        <w:rPr>
          <w:rFonts w:ascii="Verdana" w:hAnsi="Verdana"/>
          <w:b/>
          <w:bCs/>
          <w:sz w:val="20"/>
          <w:szCs w:val="20"/>
        </w:rPr>
        <w:t> :</w:t>
      </w:r>
    </w:p>
    <w:p w14:paraId="0A265C64" w14:textId="77777777" w:rsidR="00AB4BA8" w:rsidRDefault="00AB4BA8" w:rsidP="00AB4BA8">
      <w:pPr>
        <w:pStyle w:val="Sous-partie2"/>
        <w:numPr>
          <w:ilvl w:val="0"/>
          <w:numId w:val="0"/>
        </w:numPr>
      </w:pPr>
    </w:p>
    <w:p w14:paraId="6E05622D" w14:textId="59798868" w:rsidR="00285732" w:rsidRPr="00E91529" w:rsidRDefault="00285732" w:rsidP="00AB4BA8">
      <w:pPr>
        <w:pStyle w:val="Sous-partie2"/>
        <w:numPr>
          <w:ilvl w:val="2"/>
          <w:numId w:val="3"/>
        </w:numPr>
        <w:ind w:left="1400"/>
      </w:pPr>
      <w:r w:rsidRPr="00E91529">
        <w:t>Préservation et valorisation du patrimoine culturel</w:t>
      </w:r>
    </w:p>
    <w:p w14:paraId="705BB644" w14:textId="77777777" w:rsidR="00BD5C0C" w:rsidRPr="00BD5C0C" w:rsidRDefault="00BD5C0C" w:rsidP="00BD5C0C">
      <w:pPr>
        <w:pStyle w:val="Paragraphe"/>
        <w:rPr>
          <w:shd w:val="clear" w:color="auto" w:fill="FFFFFF"/>
        </w:rPr>
      </w:pPr>
      <w:r w:rsidRPr="00BD5C0C">
        <w:rPr>
          <w:shd w:val="clear" w:color="auto" w:fill="FFFFFF"/>
        </w:rPr>
        <w:t>Le projet ICC accorde une attention prioritaire à la sauvegarde, la transmission et la valorisation du patrimoine culturel matériel et immatériel de l’Indianocéanie.</w:t>
      </w:r>
    </w:p>
    <w:p w14:paraId="096C3F19" w14:textId="77777777" w:rsidR="00BD5C0C" w:rsidRPr="00BD5C0C" w:rsidRDefault="00BD5C0C" w:rsidP="00BD5C0C">
      <w:pPr>
        <w:pStyle w:val="Paragraphe"/>
        <w:rPr>
          <w:shd w:val="clear" w:color="auto" w:fill="FFFFFF"/>
        </w:rPr>
      </w:pPr>
      <w:r w:rsidRPr="00BD5C0C">
        <w:rPr>
          <w:shd w:val="clear" w:color="auto" w:fill="FFFFFF"/>
        </w:rPr>
        <w:t>À ce jour, plusieurs résultats structurants ont été obtenus :</w:t>
      </w:r>
    </w:p>
    <w:p w14:paraId="18BD673E" w14:textId="77777777" w:rsidR="00BD5C0C" w:rsidRPr="00BD5C0C" w:rsidRDefault="00BD5C0C" w:rsidP="00BD5C0C">
      <w:pPr>
        <w:pStyle w:val="Paragraphe"/>
        <w:numPr>
          <w:ilvl w:val="0"/>
          <w:numId w:val="27"/>
        </w:numPr>
        <w:rPr>
          <w:shd w:val="clear" w:color="auto" w:fill="FFFFFF"/>
        </w:rPr>
      </w:pPr>
      <w:r w:rsidRPr="00BD5C0C">
        <w:rPr>
          <w:shd w:val="clear" w:color="auto" w:fill="FFFFFF"/>
        </w:rPr>
        <w:t xml:space="preserve">366 architectures traditionnelles et savoir-faire associés ont été inventoriés et documentés au sein d’un inventaire régional en ligne accessible via la plateforme Kiltir.org, contribuant à la capitalisation et à la préservation des connaissances patrimoniales ; </w:t>
      </w:r>
    </w:p>
    <w:p w14:paraId="352E821A" w14:textId="77777777" w:rsidR="00BD5C0C" w:rsidRPr="00BD5C0C" w:rsidRDefault="00BD5C0C" w:rsidP="00BD5C0C">
      <w:pPr>
        <w:pStyle w:val="Paragraphe"/>
        <w:numPr>
          <w:ilvl w:val="0"/>
          <w:numId w:val="27"/>
        </w:numPr>
        <w:rPr>
          <w:shd w:val="clear" w:color="auto" w:fill="FFFFFF"/>
        </w:rPr>
      </w:pPr>
      <w:r w:rsidRPr="00BD5C0C">
        <w:rPr>
          <w:shd w:val="clear" w:color="auto" w:fill="FFFFFF"/>
        </w:rPr>
        <w:t xml:space="preserve">45 podcasts ont été produits afin de valoriser la diversité culturelle de la région et d’en faciliter l’accès auprès d’un public élargi ; </w:t>
      </w:r>
    </w:p>
    <w:p w14:paraId="5441EB59" w14:textId="1713D476" w:rsidR="00BD5C0C" w:rsidRPr="00BD5C0C" w:rsidRDefault="00BD5C0C" w:rsidP="00BD5C0C">
      <w:pPr>
        <w:pStyle w:val="Paragraphe"/>
        <w:numPr>
          <w:ilvl w:val="0"/>
          <w:numId w:val="27"/>
        </w:numPr>
        <w:rPr>
          <w:shd w:val="clear" w:color="auto" w:fill="FFFFFF"/>
        </w:rPr>
      </w:pPr>
      <w:r w:rsidRPr="00BD5C0C">
        <w:rPr>
          <w:shd w:val="clear" w:color="auto" w:fill="FFFFFF"/>
        </w:rPr>
        <w:t>Des programmes d’accompagnement de femmes entrepreneures dans le tourisme culturel (artisanat, mode, gastronomie, expériences culturelles</w:t>
      </w:r>
      <w:r w:rsidRPr="00E91529">
        <w:rPr>
          <w:shd w:val="clear" w:color="auto" w:fill="FFFFFF"/>
        </w:rPr>
        <w:t>, etc.</w:t>
      </w:r>
      <w:r w:rsidRPr="00BD5C0C">
        <w:rPr>
          <w:shd w:val="clear" w:color="auto" w:fill="FFFFFF"/>
        </w:rPr>
        <w:t xml:space="preserve">) ont été déployés dans les </w:t>
      </w:r>
      <w:r w:rsidR="00AB4BA8">
        <w:rPr>
          <w:shd w:val="clear" w:color="auto" w:fill="FFFFFF"/>
        </w:rPr>
        <w:t>Etats</w:t>
      </w:r>
      <w:r w:rsidRPr="00BD5C0C">
        <w:rPr>
          <w:shd w:val="clear" w:color="auto" w:fill="FFFFFF"/>
        </w:rPr>
        <w:t xml:space="preserve"> membres, avec une phase d’extension régionale en cours. </w:t>
      </w:r>
    </w:p>
    <w:p w14:paraId="7FEE8F3E" w14:textId="77777777" w:rsidR="00BD5C0C" w:rsidRPr="00BD5C0C" w:rsidRDefault="00BD5C0C" w:rsidP="00BD5C0C">
      <w:pPr>
        <w:pStyle w:val="Paragraphe"/>
        <w:rPr>
          <w:shd w:val="clear" w:color="auto" w:fill="FFFFFF"/>
        </w:rPr>
      </w:pPr>
      <w:r w:rsidRPr="00BD5C0C">
        <w:rPr>
          <w:shd w:val="clear" w:color="auto" w:fill="FFFFFF"/>
        </w:rPr>
        <w:t>Ces outils, désormais opérationnels, constituent des bases solides de connaissance et de valorisation. L’enjeu porte désormais sur leur appropriation, leur diffusion et leur mise en réseau à l’échelle régionale.</w:t>
      </w:r>
    </w:p>
    <w:p w14:paraId="26BC8499" w14:textId="1404B5D4" w:rsidR="00BD5C0C" w:rsidRPr="00E91529" w:rsidRDefault="00BD5C0C" w:rsidP="00BD5C0C">
      <w:pPr>
        <w:pStyle w:val="Paragraphe"/>
        <w:rPr>
          <w:shd w:val="clear" w:color="auto" w:fill="FFFFFF"/>
        </w:rPr>
      </w:pPr>
      <w:r w:rsidRPr="00BD5C0C">
        <w:rPr>
          <w:shd w:val="clear" w:color="auto" w:fill="FFFFFF"/>
        </w:rPr>
        <w:lastRenderedPageBreak/>
        <w:t xml:space="preserve">Dans cette perspective, un axe prioritaire consiste à renforcer l’articulation entre patrimoine et tourisme culturel, afin de soutenir la valorisation durable des </w:t>
      </w:r>
      <w:r w:rsidR="00792184">
        <w:rPr>
          <w:shd w:val="clear" w:color="auto" w:fill="FFFFFF"/>
        </w:rPr>
        <w:t>Etats membres</w:t>
      </w:r>
      <w:r w:rsidRPr="00BD5C0C">
        <w:rPr>
          <w:shd w:val="clear" w:color="auto" w:fill="FFFFFF"/>
        </w:rPr>
        <w:t>. À ce titre, un atelier régional aux Seychelles est prévu en octobre 2026, ainsi que le développement d’une exposition itinérante régionale.</w:t>
      </w:r>
    </w:p>
    <w:p w14:paraId="251AC658" w14:textId="3AC43B61" w:rsidR="00285732" w:rsidRPr="00E91529" w:rsidRDefault="00285732" w:rsidP="00B079E8">
      <w:pPr>
        <w:pStyle w:val="Sous-partie2"/>
        <w:numPr>
          <w:ilvl w:val="2"/>
          <w:numId w:val="3"/>
        </w:numPr>
      </w:pPr>
      <w:r w:rsidRPr="00E91529">
        <w:t>Soutien direct aux opérateurs culturels</w:t>
      </w:r>
    </w:p>
    <w:p w14:paraId="704D6AEF" w14:textId="77777777" w:rsidR="001C76E9" w:rsidRPr="001C76E9" w:rsidRDefault="001C76E9" w:rsidP="001C76E9">
      <w:pPr>
        <w:pStyle w:val="Paragraphe"/>
        <w:rPr>
          <w:shd w:val="clear" w:color="auto" w:fill="FFFFFF"/>
        </w:rPr>
      </w:pPr>
      <w:r w:rsidRPr="001C76E9">
        <w:rPr>
          <w:shd w:val="clear" w:color="auto" w:fill="FFFFFF"/>
        </w:rPr>
        <w:t>À ce jour, 164 opérateurs culturels ont bénéficié de subventions dans le cadre des dispositifs compétitifs déployés à l’échelle régionale. Le projet a permis d’installer un mécanisme régulier d’appels à projets, désormais bien identifié par les acteurs, qui contribue à dynamiser les initiatives et à professionnaliser le secteur.</w:t>
      </w:r>
    </w:p>
    <w:p w14:paraId="3C43D7F1" w14:textId="4EC9EDFC" w:rsidR="002E69EF" w:rsidRDefault="002E69EF" w:rsidP="002E69EF">
      <w:pPr>
        <w:pStyle w:val="Sous-partie2"/>
        <w:numPr>
          <w:ilvl w:val="0"/>
          <w:numId w:val="0"/>
        </w:numPr>
        <w:jc w:val="left"/>
        <w:rPr>
          <w:b/>
          <w:bCs/>
          <w:color w:val="auto"/>
          <w:shd w:val="clear" w:color="auto" w:fill="FFFFFF"/>
        </w:rPr>
      </w:pPr>
      <w:r w:rsidRPr="002E69EF">
        <w:rPr>
          <w:color w:val="auto"/>
          <w:shd w:val="clear" w:color="auto" w:fill="FFFFFF"/>
        </w:rPr>
        <w:t>Depuis 2023,</w:t>
      </w:r>
      <w:r w:rsidRPr="002E69EF">
        <w:rPr>
          <w:b/>
          <w:bCs/>
          <w:color w:val="auto"/>
          <w:shd w:val="clear" w:color="auto" w:fill="FFFFFF"/>
        </w:rPr>
        <w:t xml:space="preserve"> </w:t>
      </w:r>
      <w:r w:rsidRPr="00D5627F">
        <w:rPr>
          <w:color w:val="auto"/>
          <w:shd w:val="clear" w:color="auto" w:fill="FFFFFF"/>
        </w:rPr>
        <w:t>15 appels à projets ont été lancés,</w:t>
      </w:r>
      <w:r w:rsidRPr="002E69EF">
        <w:rPr>
          <w:color w:val="auto"/>
          <w:shd w:val="clear" w:color="auto" w:fill="FFFFFF"/>
        </w:rPr>
        <w:t xml:space="preserve"> permettant </w:t>
      </w:r>
      <w:r>
        <w:rPr>
          <w:color w:val="auto"/>
          <w:shd w:val="clear" w:color="auto" w:fill="FFFFFF"/>
        </w:rPr>
        <w:t>à ce jour</w:t>
      </w:r>
      <w:r w:rsidRPr="002E69EF">
        <w:rPr>
          <w:color w:val="auto"/>
          <w:shd w:val="clear" w:color="auto" w:fill="FFFFFF"/>
        </w:rPr>
        <w:t xml:space="preserve"> :</w:t>
      </w:r>
    </w:p>
    <w:p w14:paraId="713F6078" w14:textId="77777777" w:rsidR="002E69EF" w:rsidRPr="002E69EF" w:rsidRDefault="002E69EF" w:rsidP="002E69EF">
      <w:pPr>
        <w:pStyle w:val="Sous-partie2"/>
        <w:numPr>
          <w:ilvl w:val="0"/>
          <w:numId w:val="39"/>
        </w:numPr>
        <w:jc w:val="left"/>
        <w:rPr>
          <w:color w:val="auto"/>
          <w:shd w:val="clear" w:color="auto" w:fill="FFFFFF"/>
        </w:rPr>
      </w:pPr>
      <w:proofErr w:type="gramStart"/>
      <w:r w:rsidRPr="002E69EF">
        <w:rPr>
          <w:color w:val="auto"/>
          <w:shd w:val="clear" w:color="auto" w:fill="FFFFFF"/>
        </w:rPr>
        <w:t>l’octroi</w:t>
      </w:r>
      <w:proofErr w:type="gramEnd"/>
      <w:r w:rsidRPr="002E69EF">
        <w:rPr>
          <w:color w:val="auto"/>
          <w:shd w:val="clear" w:color="auto" w:fill="FFFFFF"/>
        </w:rPr>
        <w:t xml:space="preserve"> de 96 bourses de mobilité dans le cadre du programme </w:t>
      </w:r>
      <w:proofErr w:type="spellStart"/>
      <w:r w:rsidRPr="002E69EF">
        <w:rPr>
          <w:i/>
          <w:iCs/>
          <w:color w:val="auto"/>
          <w:shd w:val="clear" w:color="auto" w:fill="FFFFFF"/>
        </w:rPr>
        <w:t>AléVini</w:t>
      </w:r>
      <w:proofErr w:type="spellEnd"/>
      <w:r w:rsidRPr="002E69EF">
        <w:rPr>
          <w:color w:val="auto"/>
          <w:shd w:val="clear" w:color="auto" w:fill="FFFFFF"/>
        </w:rPr>
        <w:t>, afin de répondre aux contraintes de circulation des artistes et des œuvres ;</w:t>
      </w:r>
    </w:p>
    <w:p w14:paraId="0C5B6D51" w14:textId="77777777" w:rsidR="002E69EF" w:rsidRPr="002E69EF" w:rsidRDefault="002E69EF" w:rsidP="002E69EF">
      <w:pPr>
        <w:pStyle w:val="Sous-partie2"/>
        <w:numPr>
          <w:ilvl w:val="0"/>
          <w:numId w:val="39"/>
        </w:numPr>
        <w:jc w:val="left"/>
        <w:rPr>
          <w:color w:val="auto"/>
          <w:shd w:val="clear" w:color="auto" w:fill="FFFFFF"/>
        </w:rPr>
      </w:pPr>
      <w:proofErr w:type="gramStart"/>
      <w:r w:rsidRPr="002E69EF">
        <w:rPr>
          <w:color w:val="auto"/>
          <w:shd w:val="clear" w:color="auto" w:fill="FFFFFF"/>
        </w:rPr>
        <w:t>l’attribution</w:t>
      </w:r>
      <w:proofErr w:type="gramEnd"/>
      <w:r w:rsidRPr="002E69EF">
        <w:rPr>
          <w:color w:val="auto"/>
          <w:shd w:val="clear" w:color="auto" w:fill="FFFFFF"/>
        </w:rPr>
        <w:t xml:space="preserve"> de 25 bourses d’études </w:t>
      </w:r>
      <w:proofErr w:type="spellStart"/>
      <w:r w:rsidRPr="002E69EF">
        <w:rPr>
          <w:color w:val="auto"/>
          <w:shd w:val="clear" w:color="auto" w:fill="FFFFFF"/>
        </w:rPr>
        <w:t>Tafà</w:t>
      </w:r>
      <w:proofErr w:type="spellEnd"/>
      <w:r w:rsidRPr="002E69EF">
        <w:rPr>
          <w:color w:val="auto"/>
          <w:shd w:val="clear" w:color="auto" w:fill="FFFFFF"/>
        </w:rPr>
        <w:t>, contribuant au renforcement des compétences des professionnels ;</w:t>
      </w:r>
    </w:p>
    <w:p w14:paraId="49200D34" w14:textId="77777777" w:rsidR="002E69EF" w:rsidRPr="002E69EF" w:rsidRDefault="002E69EF" w:rsidP="002E69EF">
      <w:pPr>
        <w:pStyle w:val="Sous-partie2"/>
        <w:numPr>
          <w:ilvl w:val="0"/>
          <w:numId w:val="39"/>
        </w:numPr>
        <w:jc w:val="left"/>
        <w:rPr>
          <w:color w:val="auto"/>
          <w:shd w:val="clear" w:color="auto" w:fill="FFFFFF"/>
        </w:rPr>
      </w:pPr>
      <w:proofErr w:type="gramStart"/>
      <w:r w:rsidRPr="002E69EF">
        <w:rPr>
          <w:color w:val="auto"/>
          <w:shd w:val="clear" w:color="auto" w:fill="FFFFFF"/>
        </w:rPr>
        <w:t>le</w:t>
      </w:r>
      <w:proofErr w:type="gramEnd"/>
      <w:r w:rsidRPr="002E69EF">
        <w:rPr>
          <w:color w:val="auto"/>
          <w:shd w:val="clear" w:color="auto" w:fill="FFFFFF"/>
        </w:rPr>
        <w:t xml:space="preserve"> soutien à 12 projets de </w:t>
      </w:r>
      <w:proofErr w:type="spellStart"/>
      <w:r w:rsidRPr="002E69EF">
        <w:rPr>
          <w:color w:val="auto"/>
          <w:shd w:val="clear" w:color="auto" w:fill="FFFFFF"/>
        </w:rPr>
        <w:t>co-création</w:t>
      </w:r>
      <w:proofErr w:type="spellEnd"/>
      <w:r w:rsidRPr="002E69EF">
        <w:rPr>
          <w:color w:val="auto"/>
          <w:shd w:val="clear" w:color="auto" w:fill="FFFFFF"/>
        </w:rPr>
        <w:t>, favorisant les collaborations régionales ;</w:t>
      </w:r>
    </w:p>
    <w:p w14:paraId="7A09151B" w14:textId="77777777" w:rsidR="002E69EF" w:rsidRPr="002E69EF" w:rsidRDefault="002E69EF" w:rsidP="002E69EF">
      <w:pPr>
        <w:pStyle w:val="Sous-partie2"/>
        <w:numPr>
          <w:ilvl w:val="0"/>
          <w:numId w:val="39"/>
        </w:numPr>
        <w:jc w:val="left"/>
        <w:rPr>
          <w:color w:val="auto"/>
          <w:shd w:val="clear" w:color="auto" w:fill="FFFFFF"/>
        </w:rPr>
      </w:pPr>
      <w:proofErr w:type="gramStart"/>
      <w:r w:rsidRPr="002E69EF">
        <w:rPr>
          <w:color w:val="auto"/>
          <w:shd w:val="clear" w:color="auto" w:fill="FFFFFF"/>
        </w:rPr>
        <w:t>la</w:t>
      </w:r>
      <w:proofErr w:type="gramEnd"/>
      <w:r w:rsidRPr="002E69EF">
        <w:rPr>
          <w:color w:val="auto"/>
          <w:shd w:val="clear" w:color="auto" w:fill="FFFFFF"/>
        </w:rPr>
        <w:t xml:space="preserve"> production de 15 œuvres numériques, participant à la valorisation des contenus culturels ;</w:t>
      </w:r>
    </w:p>
    <w:p w14:paraId="39D16DE6" w14:textId="325B77A0" w:rsidR="002E69EF" w:rsidRDefault="002E69EF" w:rsidP="002E69EF">
      <w:pPr>
        <w:pStyle w:val="Sous-partie2"/>
        <w:numPr>
          <w:ilvl w:val="0"/>
          <w:numId w:val="39"/>
        </w:numPr>
        <w:jc w:val="left"/>
        <w:rPr>
          <w:color w:val="auto"/>
          <w:shd w:val="clear" w:color="auto" w:fill="FFFFFF"/>
        </w:rPr>
      </w:pPr>
      <w:proofErr w:type="gramStart"/>
      <w:r w:rsidRPr="002E69EF">
        <w:rPr>
          <w:color w:val="auto"/>
          <w:shd w:val="clear" w:color="auto" w:fill="FFFFFF"/>
        </w:rPr>
        <w:t>l’appui</w:t>
      </w:r>
      <w:proofErr w:type="gramEnd"/>
      <w:r w:rsidRPr="002E69EF">
        <w:rPr>
          <w:color w:val="auto"/>
          <w:shd w:val="clear" w:color="auto" w:fill="FFFFFF"/>
        </w:rPr>
        <w:t xml:space="preserve"> à 17 événements culturels, renforçant la diffusion des œuvres et la structuration des circuits de programmation à l’échelle régionale.</w:t>
      </w:r>
    </w:p>
    <w:p w14:paraId="55798A89" w14:textId="77777777" w:rsidR="002E69EF" w:rsidRDefault="002E69EF" w:rsidP="002E69EF">
      <w:pPr>
        <w:pStyle w:val="Sous-partie2"/>
        <w:numPr>
          <w:ilvl w:val="0"/>
          <w:numId w:val="0"/>
        </w:numPr>
        <w:rPr>
          <w:color w:val="auto"/>
          <w:shd w:val="clear" w:color="auto" w:fill="FFFFFF"/>
        </w:rPr>
      </w:pPr>
    </w:p>
    <w:p w14:paraId="00285283" w14:textId="3271DEB5" w:rsidR="00285732" w:rsidRPr="00E91529" w:rsidRDefault="00311C03" w:rsidP="002E69EF">
      <w:pPr>
        <w:pStyle w:val="Sous-partie2"/>
        <w:numPr>
          <w:ilvl w:val="0"/>
          <w:numId w:val="0"/>
        </w:numPr>
        <w:rPr>
          <w:color w:val="auto"/>
          <w:shd w:val="clear" w:color="auto" w:fill="FFFFFF"/>
        </w:rPr>
      </w:pPr>
      <w:r w:rsidRPr="00E91529">
        <w:rPr>
          <w:color w:val="auto"/>
          <w:shd w:val="clear" w:color="auto" w:fill="FFFFFF"/>
        </w:rPr>
        <w:t>Les priorités portent désormais sur le renforcement du suivi et de l’évaluation des impacts, notamment en matière d’emplois, de structuration des filières et de coopérations régionales, ainsi que sur une meilleure capitalisation et valorisation des résultats, afin d’en renforcer la visibilité et l’appropriation. Dans cette perspective, la mise en place d’un réseau Alumni viendra consolider les dynamiques créées et structurer une communauté d’acteurs à l’échelle régionale.</w:t>
      </w:r>
    </w:p>
    <w:p w14:paraId="35E99690" w14:textId="77777777" w:rsidR="00311C03" w:rsidRPr="00E91529" w:rsidRDefault="00311C03" w:rsidP="00311C03">
      <w:pPr>
        <w:pStyle w:val="Sous-partie2"/>
        <w:numPr>
          <w:ilvl w:val="0"/>
          <w:numId w:val="0"/>
        </w:numPr>
      </w:pPr>
    </w:p>
    <w:p w14:paraId="352FE4AF" w14:textId="099231F8" w:rsidR="00285732" w:rsidRPr="00E91529" w:rsidRDefault="00285732" w:rsidP="00B079E8">
      <w:pPr>
        <w:pStyle w:val="Sous-partie2"/>
        <w:numPr>
          <w:ilvl w:val="2"/>
          <w:numId w:val="3"/>
        </w:numPr>
      </w:pPr>
      <w:r w:rsidRPr="00E91529">
        <w:t>Professionnalisation des acteurs culturels</w:t>
      </w:r>
    </w:p>
    <w:p w14:paraId="402CB158" w14:textId="77777777" w:rsidR="001C76E9" w:rsidRPr="00E91529" w:rsidRDefault="001C76E9" w:rsidP="001C76E9">
      <w:pPr>
        <w:pStyle w:val="Paragraphe"/>
        <w:rPr>
          <w:shd w:val="clear" w:color="auto" w:fill="FFFFFF"/>
        </w:rPr>
      </w:pPr>
      <w:r w:rsidRPr="00E91529">
        <w:rPr>
          <w:shd w:val="clear" w:color="auto" w:fill="FFFFFF"/>
        </w:rPr>
        <w:t>Le renforcement des capacités constitue un axe central du projet, avec le déploiement de formations à l’échelle régionale, générant une valeur ajoutée significative. Au-delà du développement de compétences techniques, ces dispositifs contribuent à la structuration des réseaux professionnels, tout en favorisant l’émergence de référentiels communs, d’identités partagées et de récits collectifs à l’échelle de l’Indianocéanie.</w:t>
      </w:r>
    </w:p>
    <w:p w14:paraId="4576A2DF" w14:textId="77777777" w:rsidR="001C76E9" w:rsidRPr="001C76E9" w:rsidRDefault="001C76E9" w:rsidP="001C76E9">
      <w:pPr>
        <w:pStyle w:val="Paragraphe"/>
        <w:rPr>
          <w:shd w:val="clear" w:color="auto" w:fill="FFFFFF"/>
        </w:rPr>
      </w:pPr>
      <w:r w:rsidRPr="001C76E9">
        <w:rPr>
          <w:shd w:val="clear" w:color="auto" w:fill="FFFFFF"/>
        </w:rPr>
        <w:t>Les actions de formation ont notamment porté sur :</w:t>
      </w:r>
    </w:p>
    <w:p w14:paraId="73532747" w14:textId="77777777" w:rsidR="001C76E9" w:rsidRPr="001C76E9" w:rsidRDefault="001C76E9" w:rsidP="001C76E9">
      <w:pPr>
        <w:pStyle w:val="Paragraphe"/>
        <w:numPr>
          <w:ilvl w:val="0"/>
          <w:numId w:val="30"/>
        </w:numPr>
        <w:rPr>
          <w:shd w:val="clear" w:color="auto" w:fill="FFFFFF"/>
        </w:rPr>
      </w:pPr>
      <w:r w:rsidRPr="001C76E9">
        <w:rPr>
          <w:shd w:val="clear" w:color="auto" w:fill="FFFFFF"/>
        </w:rPr>
        <w:t xml:space="preserve">Le management culturel, identifié comme un maillon clé encore insuffisamment développé dans la chaîne de valeur, conditionnant la capacité des acteurs à structurer et à faire évoluer leurs projets à une échelle supérieure ; </w:t>
      </w:r>
    </w:p>
    <w:p w14:paraId="5816C448" w14:textId="32F2BF60" w:rsidR="001C76E9" w:rsidRPr="001C76E9" w:rsidRDefault="001C76E9" w:rsidP="001C76E9">
      <w:pPr>
        <w:pStyle w:val="Paragraphe"/>
        <w:numPr>
          <w:ilvl w:val="0"/>
          <w:numId w:val="30"/>
        </w:numPr>
        <w:rPr>
          <w:shd w:val="clear" w:color="auto" w:fill="FFFFFF"/>
        </w:rPr>
      </w:pPr>
      <w:r w:rsidRPr="001C76E9">
        <w:rPr>
          <w:shd w:val="clear" w:color="auto" w:fill="FFFFFF"/>
        </w:rPr>
        <w:t xml:space="preserve">La danse contemporaine, avec la mise en place d’un cursus </w:t>
      </w:r>
      <w:proofErr w:type="spellStart"/>
      <w:r w:rsidRPr="001C76E9">
        <w:rPr>
          <w:shd w:val="clear" w:color="auto" w:fill="FFFFFF"/>
        </w:rPr>
        <w:t>co-construit</w:t>
      </w:r>
      <w:proofErr w:type="spellEnd"/>
      <w:r w:rsidRPr="00E91529">
        <w:rPr>
          <w:shd w:val="clear" w:color="auto" w:fill="FFFFFF"/>
        </w:rPr>
        <w:t xml:space="preserve"> au niveau régional</w:t>
      </w:r>
      <w:r w:rsidRPr="001C76E9">
        <w:rPr>
          <w:shd w:val="clear" w:color="auto" w:fill="FFFFFF"/>
        </w:rPr>
        <w:t xml:space="preserve">, visant à terme une reconnaissance académique partagée entre les pays de la région ; </w:t>
      </w:r>
    </w:p>
    <w:p w14:paraId="7C74D0CC" w14:textId="77777777" w:rsidR="001C76E9" w:rsidRPr="001C76E9" w:rsidRDefault="001C76E9" w:rsidP="001C76E9">
      <w:pPr>
        <w:pStyle w:val="Paragraphe"/>
        <w:numPr>
          <w:ilvl w:val="0"/>
          <w:numId w:val="30"/>
        </w:numPr>
        <w:rPr>
          <w:shd w:val="clear" w:color="auto" w:fill="FFFFFF"/>
        </w:rPr>
      </w:pPr>
      <w:r w:rsidRPr="001C76E9">
        <w:rPr>
          <w:shd w:val="clear" w:color="auto" w:fill="FFFFFF"/>
        </w:rPr>
        <w:t>Les métiers du patrimoine et la muséographie, avec la formation de professionnels intégrant des approches renouvelées, centrées sur l’expérience du public et adaptées aux enjeux contemporains de valorisation du patrimoine.</w:t>
      </w:r>
    </w:p>
    <w:p w14:paraId="78DC75CE" w14:textId="51A98972" w:rsidR="001C76E9" w:rsidRPr="00E91529" w:rsidRDefault="00D5628A" w:rsidP="00D5628A">
      <w:pPr>
        <w:pStyle w:val="Paragraphe"/>
        <w:rPr>
          <w:shd w:val="clear" w:color="auto" w:fill="FFFFFF"/>
        </w:rPr>
      </w:pPr>
      <w:r w:rsidRPr="00E91529">
        <w:rPr>
          <w:shd w:val="clear" w:color="auto" w:fill="FFFFFF"/>
        </w:rPr>
        <w:t xml:space="preserve">Par ailleurs, les formations « Entreprendre dans la culture », lancées en 2026, sont en cours de déploiement dans les </w:t>
      </w:r>
      <w:r w:rsidR="00F368BA">
        <w:rPr>
          <w:shd w:val="clear" w:color="auto" w:fill="FFFFFF"/>
        </w:rPr>
        <w:t xml:space="preserve">Etats </w:t>
      </w:r>
      <w:r w:rsidRPr="00E91529">
        <w:rPr>
          <w:shd w:val="clear" w:color="auto" w:fill="FFFFFF"/>
        </w:rPr>
        <w:t>membres. Elles visent à renforcer les entreprises créatives innovantes, à améliorer leur accès aux marchés et à soutenir le développement de projets à fort potentiel.</w:t>
      </w:r>
    </w:p>
    <w:p w14:paraId="3BCA0515" w14:textId="26A664E3" w:rsidR="00D5627F" w:rsidRPr="00E91529" w:rsidRDefault="00D5627F" w:rsidP="00D5627F">
      <w:pPr>
        <w:pStyle w:val="Paragraphe"/>
        <w:rPr>
          <w:shd w:val="clear" w:color="auto" w:fill="FFFFFF"/>
        </w:rPr>
      </w:pPr>
      <w:r w:rsidRPr="00D5627F">
        <w:rPr>
          <w:shd w:val="clear" w:color="auto" w:fill="FFFFFF"/>
        </w:rPr>
        <w:t>Enfin, dans le domaine du tourisme culturel, un programme régional d’envergure, spécifiquement dédié au soutien des femmes entrepreneures, est en cours de lancement. Il vise à consolider les dynamiques déjà engagées à travers les initiatives appuyées dans chaque État membre, à renforcer les impacts et à structurer des dynamiques régionales durables, notamment en favorisant les synergies entre les acteurs des secteurs de la culture, de l’entrepreneuriat et du tourisme.</w:t>
      </w:r>
    </w:p>
    <w:p w14:paraId="021BF619" w14:textId="01302D7B" w:rsidR="00285732" w:rsidRPr="00E91529" w:rsidRDefault="00285732" w:rsidP="00B079E8">
      <w:pPr>
        <w:pStyle w:val="Sous-partie2"/>
        <w:numPr>
          <w:ilvl w:val="2"/>
          <w:numId w:val="3"/>
        </w:numPr>
      </w:pPr>
      <w:r w:rsidRPr="00E91529">
        <w:t>Plaidoyer et communication</w:t>
      </w:r>
    </w:p>
    <w:p w14:paraId="051D19BB" w14:textId="4C642FCB" w:rsidR="00283F72" w:rsidRPr="00283F72" w:rsidRDefault="00311C03" w:rsidP="00283F72">
      <w:pPr>
        <w:spacing w:line="276" w:lineRule="auto"/>
        <w:jc w:val="both"/>
        <w:rPr>
          <w:rFonts w:ascii="Verdana" w:eastAsia="Calibri" w:hAnsi="Verdana" w:cs="Arial"/>
          <w:kern w:val="2"/>
          <w:sz w:val="20"/>
          <w:szCs w:val="20"/>
          <w14:ligatures w14:val="standardContextual"/>
        </w:rPr>
      </w:pPr>
      <w:r w:rsidRPr="00E91529">
        <w:rPr>
          <w:rFonts w:ascii="Verdana" w:eastAsia="Calibri" w:hAnsi="Verdana" w:cs="Arial"/>
          <w:kern w:val="2"/>
          <w:sz w:val="20"/>
          <w:szCs w:val="20"/>
          <w14:ligatures w14:val="standardContextual"/>
        </w:rPr>
        <w:t>En matière de plaidoyer, u</w:t>
      </w:r>
      <w:r w:rsidR="00283F72" w:rsidRPr="00283F72">
        <w:rPr>
          <w:rFonts w:ascii="Verdana" w:eastAsia="Calibri" w:hAnsi="Verdana" w:cs="Arial"/>
          <w:kern w:val="2"/>
          <w:sz w:val="20"/>
          <w:szCs w:val="20"/>
          <w14:ligatures w14:val="standardContextual"/>
        </w:rPr>
        <w:t xml:space="preserve">n état des lieux du cadre législatif des ICC dans les pays du COMESA a été réalisé </w:t>
      </w:r>
      <w:r w:rsidR="00F368BA">
        <w:rPr>
          <w:rFonts w:ascii="Verdana" w:eastAsia="Calibri" w:hAnsi="Verdana" w:cs="Arial"/>
          <w:kern w:val="2"/>
          <w:sz w:val="20"/>
          <w:szCs w:val="20"/>
          <w14:ligatures w14:val="standardContextual"/>
        </w:rPr>
        <w:t>en 2023</w:t>
      </w:r>
      <w:r w:rsidR="00283F72" w:rsidRPr="00283F72">
        <w:rPr>
          <w:rFonts w:ascii="Verdana" w:eastAsia="Calibri" w:hAnsi="Verdana" w:cs="Arial"/>
          <w:kern w:val="2"/>
          <w:sz w:val="20"/>
          <w:szCs w:val="20"/>
          <w14:ligatures w14:val="standardContextual"/>
        </w:rPr>
        <w:t xml:space="preserve"> (financement ACP-UE), permettant d’identifier les principaux enjeux en matière d</w:t>
      </w:r>
      <w:r w:rsidR="00283F72" w:rsidRPr="00E91529">
        <w:rPr>
          <w:rFonts w:ascii="Verdana" w:eastAsia="Calibri" w:hAnsi="Verdana" w:cs="Arial"/>
          <w:kern w:val="2"/>
          <w:sz w:val="20"/>
          <w:szCs w:val="20"/>
          <w14:ligatures w14:val="standardContextual"/>
        </w:rPr>
        <w:t xml:space="preserve">’environnement réglementaire. </w:t>
      </w:r>
      <w:r w:rsidR="00283F72" w:rsidRPr="00283F72">
        <w:rPr>
          <w:rFonts w:ascii="Verdana" w:eastAsia="Calibri" w:hAnsi="Verdana" w:cs="Arial"/>
          <w:kern w:val="2"/>
          <w:sz w:val="20"/>
          <w:szCs w:val="20"/>
          <w14:ligatures w14:val="standardContextual"/>
        </w:rPr>
        <w:t xml:space="preserve">En 2025, une expertise a été mobilisée afin d’accompagner l’élaboration d’une stratégie régionale </w:t>
      </w:r>
      <w:r w:rsidR="00283F72" w:rsidRPr="00E91529">
        <w:rPr>
          <w:rFonts w:ascii="Verdana" w:eastAsia="Calibri" w:hAnsi="Verdana" w:cs="Arial"/>
          <w:kern w:val="2"/>
          <w:sz w:val="20"/>
          <w:szCs w:val="20"/>
          <w14:ligatures w14:val="standardContextual"/>
        </w:rPr>
        <w:t>pour un plaidoyer ciblé</w:t>
      </w:r>
      <w:r w:rsidR="00283F72" w:rsidRPr="00283F72">
        <w:rPr>
          <w:rFonts w:ascii="Verdana" w:eastAsia="Calibri" w:hAnsi="Verdana" w:cs="Arial"/>
          <w:kern w:val="2"/>
          <w:sz w:val="20"/>
          <w:szCs w:val="20"/>
          <w14:ligatures w14:val="standardContextual"/>
        </w:rPr>
        <w:t>. Sa mise en œuvre est engagée à travers un ensemble d’actions prioritaires, validées en Comité de pilotage, articulées autour de quatre axes :</w:t>
      </w:r>
    </w:p>
    <w:p w14:paraId="4870CDA9" w14:textId="4AC7C0A3" w:rsidR="00283F72" w:rsidRPr="00283F72" w:rsidRDefault="00283F72" w:rsidP="00283F72">
      <w:pPr>
        <w:numPr>
          <w:ilvl w:val="0"/>
          <w:numId w:val="32"/>
        </w:numPr>
        <w:spacing w:line="276" w:lineRule="auto"/>
        <w:jc w:val="both"/>
        <w:rPr>
          <w:rFonts w:ascii="Verdana" w:eastAsia="Calibri" w:hAnsi="Verdana" w:cs="Arial"/>
          <w:kern w:val="2"/>
          <w:sz w:val="20"/>
          <w:szCs w:val="20"/>
          <w14:ligatures w14:val="standardContextual"/>
        </w:rPr>
      </w:pPr>
      <w:r w:rsidRPr="00283F72">
        <w:rPr>
          <w:rFonts w:ascii="Verdana" w:eastAsia="Calibri" w:hAnsi="Verdana" w:cs="Arial"/>
          <w:i/>
          <w:iCs/>
          <w:kern w:val="2"/>
          <w:sz w:val="20"/>
          <w:szCs w:val="20"/>
          <w14:ligatures w14:val="standardContextual"/>
        </w:rPr>
        <w:t xml:space="preserve">Démontrer la contribution des ICC au développement économique et durable </w:t>
      </w:r>
      <w:r w:rsidRPr="00283F72">
        <w:rPr>
          <w:rFonts w:ascii="Verdana" w:eastAsia="Calibri" w:hAnsi="Verdana" w:cs="Arial"/>
          <w:kern w:val="2"/>
          <w:sz w:val="20"/>
          <w:szCs w:val="20"/>
          <w14:ligatures w14:val="standardContextual"/>
        </w:rPr>
        <w:t xml:space="preserve">: production d’analyses sectorielles structurantes, notamment un Livre blanc sur le cinéma en Indianocéanie et un état des lieux régional de </w:t>
      </w:r>
      <w:proofErr w:type="spellStart"/>
      <w:r w:rsidRPr="00283F72">
        <w:rPr>
          <w:rFonts w:ascii="Verdana" w:eastAsia="Calibri" w:hAnsi="Verdana" w:cs="Arial"/>
          <w:kern w:val="2"/>
          <w:sz w:val="20"/>
          <w:szCs w:val="20"/>
          <w14:ligatures w14:val="standardContextual"/>
        </w:rPr>
        <w:t>l’esport</w:t>
      </w:r>
      <w:proofErr w:type="spellEnd"/>
      <w:r w:rsidRPr="00283F72">
        <w:rPr>
          <w:rFonts w:ascii="Verdana" w:eastAsia="Calibri" w:hAnsi="Verdana" w:cs="Arial"/>
          <w:kern w:val="2"/>
          <w:sz w:val="20"/>
          <w:szCs w:val="20"/>
          <w14:ligatures w14:val="standardContextual"/>
        </w:rPr>
        <w:t xml:space="preserve"> ; </w:t>
      </w:r>
    </w:p>
    <w:p w14:paraId="2A8EA51C" w14:textId="25710F77" w:rsidR="00283F72" w:rsidRPr="00283F72" w:rsidRDefault="00283F72" w:rsidP="00283F72">
      <w:pPr>
        <w:numPr>
          <w:ilvl w:val="0"/>
          <w:numId w:val="32"/>
        </w:numPr>
        <w:spacing w:line="276" w:lineRule="auto"/>
        <w:jc w:val="both"/>
        <w:rPr>
          <w:rFonts w:ascii="Verdana" w:eastAsia="Calibri" w:hAnsi="Verdana" w:cs="Arial"/>
          <w:kern w:val="2"/>
          <w:sz w:val="20"/>
          <w:szCs w:val="20"/>
          <w14:ligatures w14:val="standardContextual"/>
        </w:rPr>
      </w:pPr>
      <w:r w:rsidRPr="00283F72">
        <w:rPr>
          <w:rFonts w:ascii="Verdana" w:eastAsia="Calibri" w:hAnsi="Verdana" w:cs="Arial"/>
          <w:i/>
          <w:iCs/>
          <w:kern w:val="2"/>
          <w:sz w:val="20"/>
          <w:szCs w:val="20"/>
          <w14:ligatures w14:val="standardContextual"/>
        </w:rPr>
        <w:t>Renforcer le cadre du droit d’auteur et de la propriété intellectuelle</w:t>
      </w:r>
      <w:r w:rsidRPr="00283F72">
        <w:rPr>
          <w:rFonts w:ascii="Verdana" w:eastAsia="Calibri" w:hAnsi="Verdana" w:cs="Arial"/>
          <w:kern w:val="2"/>
          <w:sz w:val="20"/>
          <w:szCs w:val="20"/>
          <w14:ligatures w14:val="standardContextual"/>
        </w:rPr>
        <w:t>, pilier essentiel des ICC : appui aux États à travers des actions ciblées</w:t>
      </w:r>
      <w:r w:rsidR="00F368BA">
        <w:rPr>
          <w:rFonts w:ascii="Verdana" w:eastAsia="Calibri" w:hAnsi="Verdana" w:cs="Arial"/>
          <w:kern w:val="2"/>
          <w:sz w:val="20"/>
          <w:szCs w:val="20"/>
          <w14:ligatures w14:val="standardContextual"/>
        </w:rPr>
        <w:t xml:space="preserve"> finançables</w:t>
      </w:r>
      <w:r w:rsidRPr="00283F72">
        <w:rPr>
          <w:rFonts w:ascii="Verdana" w:eastAsia="Calibri" w:hAnsi="Verdana" w:cs="Arial"/>
          <w:kern w:val="2"/>
          <w:sz w:val="20"/>
          <w:szCs w:val="20"/>
          <w14:ligatures w14:val="standardContextual"/>
        </w:rPr>
        <w:t>, sur la base de propositions formulées</w:t>
      </w:r>
      <w:r w:rsidRPr="00E91529">
        <w:rPr>
          <w:rFonts w:ascii="Verdana" w:eastAsia="Calibri" w:hAnsi="Verdana" w:cs="Arial"/>
          <w:kern w:val="2"/>
          <w:sz w:val="20"/>
          <w:szCs w:val="20"/>
          <w14:ligatures w14:val="standardContextual"/>
        </w:rPr>
        <w:t xml:space="preserve"> </w:t>
      </w:r>
      <w:r w:rsidRPr="00283F72">
        <w:rPr>
          <w:rFonts w:ascii="Verdana" w:eastAsia="Calibri" w:hAnsi="Verdana" w:cs="Arial"/>
          <w:kern w:val="2"/>
          <w:sz w:val="20"/>
          <w:szCs w:val="20"/>
          <w14:ligatures w14:val="standardContextual"/>
        </w:rPr>
        <w:t xml:space="preserve">par les ministères de la Culture (un projet </w:t>
      </w:r>
      <w:r w:rsidR="00311C03" w:rsidRPr="00E91529">
        <w:rPr>
          <w:rFonts w:ascii="Verdana" w:eastAsia="Calibri" w:hAnsi="Verdana" w:cs="Arial"/>
          <w:kern w:val="2"/>
          <w:sz w:val="20"/>
          <w:szCs w:val="20"/>
          <w14:ligatures w14:val="standardContextual"/>
        </w:rPr>
        <w:t>en cours</w:t>
      </w:r>
      <w:r w:rsidRPr="00283F72">
        <w:rPr>
          <w:rFonts w:ascii="Verdana" w:eastAsia="Calibri" w:hAnsi="Verdana" w:cs="Arial"/>
          <w:kern w:val="2"/>
          <w:sz w:val="20"/>
          <w:szCs w:val="20"/>
          <w14:ligatures w14:val="standardContextual"/>
        </w:rPr>
        <w:t xml:space="preserve"> à Madagascar) ; </w:t>
      </w:r>
    </w:p>
    <w:p w14:paraId="3D60FF69" w14:textId="20E7F56F" w:rsidR="00283F72" w:rsidRPr="00283F72" w:rsidRDefault="00283F72" w:rsidP="00283F72">
      <w:pPr>
        <w:numPr>
          <w:ilvl w:val="0"/>
          <w:numId w:val="32"/>
        </w:numPr>
        <w:spacing w:line="276" w:lineRule="auto"/>
        <w:jc w:val="both"/>
        <w:rPr>
          <w:rFonts w:ascii="Verdana" w:eastAsia="Calibri" w:hAnsi="Verdana" w:cs="Arial"/>
          <w:kern w:val="2"/>
          <w:sz w:val="20"/>
          <w:szCs w:val="20"/>
          <w14:ligatures w14:val="standardContextual"/>
        </w:rPr>
      </w:pPr>
      <w:r w:rsidRPr="00283F72">
        <w:rPr>
          <w:rFonts w:ascii="Verdana" w:eastAsia="Calibri" w:hAnsi="Verdana" w:cs="Arial"/>
          <w:i/>
          <w:iCs/>
          <w:kern w:val="2"/>
          <w:sz w:val="20"/>
          <w:szCs w:val="20"/>
          <w14:ligatures w14:val="standardContextual"/>
        </w:rPr>
        <w:t>Articuler ICC et enjeux climatiques</w:t>
      </w:r>
      <w:r w:rsidRPr="00283F72">
        <w:rPr>
          <w:rFonts w:ascii="Verdana" w:eastAsia="Calibri" w:hAnsi="Verdana" w:cs="Arial"/>
          <w:kern w:val="2"/>
          <w:sz w:val="20"/>
          <w:szCs w:val="20"/>
          <w14:ligatures w14:val="standardContextual"/>
        </w:rPr>
        <w:t>, avec un plaidoyer spécifique en faveur des Petits États insulaires en développement</w:t>
      </w:r>
      <w:r w:rsidRPr="00E91529">
        <w:rPr>
          <w:rFonts w:ascii="Verdana" w:eastAsia="Calibri" w:hAnsi="Verdana" w:cs="Arial"/>
          <w:kern w:val="2"/>
          <w:sz w:val="20"/>
          <w:szCs w:val="20"/>
          <w14:ligatures w14:val="standardContextual"/>
        </w:rPr>
        <w:t xml:space="preserve"> (PEID)</w:t>
      </w:r>
      <w:r w:rsidRPr="00283F72">
        <w:rPr>
          <w:rFonts w:ascii="Verdana" w:eastAsia="Calibri" w:hAnsi="Verdana" w:cs="Arial"/>
          <w:kern w:val="2"/>
          <w:sz w:val="20"/>
          <w:szCs w:val="20"/>
          <w14:ligatures w14:val="standardContextual"/>
        </w:rPr>
        <w:t xml:space="preserve"> : </w:t>
      </w:r>
      <w:r w:rsidRPr="00E91529">
        <w:rPr>
          <w:rFonts w:ascii="Verdana" w:eastAsia="Calibri" w:hAnsi="Verdana" w:cs="Arial"/>
          <w:kern w:val="2"/>
          <w:sz w:val="20"/>
          <w:szCs w:val="20"/>
          <w14:ligatures w14:val="standardContextual"/>
        </w:rPr>
        <w:t>organisation d’un panel à</w:t>
      </w:r>
      <w:r w:rsidR="00F368BA">
        <w:rPr>
          <w:rFonts w:ascii="Verdana" w:eastAsia="Calibri" w:hAnsi="Verdana" w:cs="Arial"/>
          <w:kern w:val="2"/>
          <w:sz w:val="20"/>
          <w:szCs w:val="20"/>
          <w14:ligatures w14:val="standardContextual"/>
        </w:rPr>
        <w:t xml:space="preserve"> la conférence mondiale sur la culture,</w:t>
      </w:r>
      <w:r w:rsidRPr="00283F72">
        <w:rPr>
          <w:rFonts w:ascii="Verdana" w:eastAsia="Calibri" w:hAnsi="Verdana" w:cs="Arial"/>
          <w:kern w:val="2"/>
          <w:sz w:val="20"/>
          <w:szCs w:val="20"/>
          <w14:ligatures w14:val="standardContextual"/>
        </w:rPr>
        <w:t xml:space="preserve"> MONDIACULT 2025,</w:t>
      </w:r>
      <w:r w:rsidR="00F368BA">
        <w:rPr>
          <w:rFonts w:ascii="Verdana" w:eastAsia="Calibri" w:hAnsi="Verdana" w:cs="Arial"/>
          <w:kern w:val="2"/>
          <w:sz w:val="20"/>
          <w:szCs w:val="20"/>
          <w14:ligatures w14:val="standardContextual"/>
        </w:rPr>
        <w:t xml:space="preserve"> en octobre dernier</w:t>
      </w:r>
      <w:r w:rsidRPr="00283F72">
        <w:rPr>
          <w:rFonts w:ascii="Verdana" w:eastAsia="Calibri" w:hAnsi="Verdana" w:cs="Arial"/>
          <w:kern w:val="2"/>
          <w:sz w:val="20"/>
          <w:szCs w:val="20"/>
          <w14:ligatures w14:val="standardContextual"/>
        </w:rPr>
        <w:t xml:space="preserve"> où les échanges ont permis de positionner la culture comme levier d’adaptation et de résilience des </w:t>
      </w:r>
      <w:r w:rsidR="00792184">
        <w:rPr>
          <w:rFonts w:ascii="Verdana" w:eastAsia="Calibri" w:hAnsi="Verdana" w:cs="Arial"/>
          <w:kern w:val="2"/>
          <w:sz w:val="20"/>
          <w:szCs w:val="20"/>
          <w14:ligatures w14:val="standardContextual"/>
        </w:rPr>
        <w:t>îles</w:t>
      </w:r>
      <w:r w:rsidR="004A6245">
        <w:rPr>
          <w:rFonts w:ascii="Verdana" w:eastAsia="Calibri" w:hAnsi="Verdana" w:cs="Arial"/>
          <w:kern w:val="2"/>
          <w:sz w:val="20"/>
          <w:szCs w:val="20"/>
          <w14:ligatures w14:val="standardContextual"/>
        </w:rPr>
        <w:t> ;</w:t>
      </w:r>
      <w:r w:rsidRPr="00283F72">
        <w:rPr>
          <w:rFonts w:ascii="Verdana" w:eastAsia="Calibri" w:hAnsi="Verdana" w:cs="Arial"/>
          <w:kern w:val="2"/>
          <w:sz w:val="20"/>
          <w:szCs w:val="20"/>
          <w14:ligatures w14:val="standardContextual"/>
        </w:rPr>
        <w:t xml:space="preserve"> </w:t>
      </w:r>
    </w:p>
    <w:p w14:paraId="7F333252" w14:textId="3704575A" w:rsidR="00263B60" w:rsidRPr="00E91529" w:rsidRDefault="00283F72" w:rsidP="008C117C">
      <w:pPr>
        <w:numPr>
          <w:ilvl w:val="0"/>
          <w:numId w:val="32"/>
        </w:numPr>
        <w:spacing w:line="276" w:lineRule="auto"/>
        <w:jc w:val="both"/>
        <w:rPr>
          <w:rFonts w:ascii="Verdana" w:eastAsia="Calibri" w:hAnsi="Verdana" w:cs="Arial"/>
          <w:kern w:val="2"/>
          <w:sz w:val="20"/>
          <w:szCs w:val="20"/>
          <w14:ligatures w14:val="standardContextual"/>
        </w:rPr>
      </w:pPr>
      <w:r w:rsidRPr="00283F72">
        <w:rPr>
          <w:rFonts w:ascii="Verdana" w:eastAsia="Calibri" w:hAnsi="Verdana" w:cs="Arial"/>
          <w:i/>
          <w:iCs/>
          <w:kern w:val="2"/>
          <w:sz w:val="20"/>
          <w:szCs w:val="20"/>
          <w14:ligatures w14:val="standardContextual"/>
        </w:rPr>
        <w:t>Promouvoir l’égalité de genre et le leadership des femmes dans les ICC</w:t>
      </w:r>
      <w:r w:rsidRPr="00283F72">
        <w:rPr>
          <w:rFonts w:ascii="Verdana" w:eastAsia="Calibri" w:hAnsi="Verdana" w:cs="Arial"/>
          <w:kern w:val="2"/>
          <w:sz w:val="20"/>
          <w:szCs w:val="20"/>
          <w14:ligatures w14:val="standardContextual"/>
        </w:rPr>
        <w:t xml:space="preserve"> : organisation d’une Rencontre-Action à Maurice </w:t>
      </w:r>
      <w:r w:rsidRPr="00E91529">
        <w:rPr>
          <w:rFonts w:ascii="Verdana" w:eastAsia="Calibri" w:hAnsi="Verdana" w:cs="Arial"/>
          <w:kern w:val="2"/>
          <w:sz w:val="20"/>
          <w:szCs w:val="20"/>
          <w14:ligatures w14:val="standardContextual"/>
        </w:rPr>
        <w:t xml:space="preserve">en </w:t>
      </w:r>
      <w:r w:rsidRPr="00283F72">
        <w:rPr>
          <w:rFonts w:ascii="Verdana" w:eastAsia="Calibri" w:hAnsi="Verdana" w:cs="Arial"/>
          <w:kern w:val="2"/>
          <w:sz w:val="20"/>
          <w:szCs w:val="20"/>
          <w14:ligatures w14:val="standardContextual"/>
        </w:rPr>
        <w:t xml:space="preserve">2025 et lancement d’un MOOC régional, qui connaît </w:t>
      </w:r>
      <w:r w:rsidRPr="00E91529">
        <w:rPr>
          <w:rFonts w:ascii="Verdana" w:eastAsia="Calibri" w:hAnsi="Verdana" w:cs="Arial"/>
          <w:kern w:val="2"/>
          <w:sz w:val="20"/>
          <w:szCs w:val="20"/>
          <w14:ligatures w14:val="standardContextual"/>
        </w:rPr>
        <w:t>un fort engouement</w:t>
      </w:r>
      <w:r w:rsidRPr="00283F72">
        <w:rPr>
          <w:rFonts w:ascii="Verdana" w:eastAsia="Calibri" w:hAnsi="Verdana" w:cs="Arial"/>
          <w:kern w:val="2"/>
          <w:sz w:val="20"/>
          <w:szCs w:val="20"/>
          <w14:ligatures w14:val="standardContextual"/>
        </w:rPr>
        <w:t>, notamment auprès des étudiants et jeunes professionnels.</w:t>
      </w:r>
    </w:p>
    <w:p w14:paraId="3858834C" w14:textId="221B2FD1" w:rsidR="00C77081" w:rsidRPr="00E91529" w:rsidRDefault="00C77081" w:rsidP="00311C03">
      <w:pPr>
        <w:pStyle w:val="NormalWeb"/>
        <w:jc w:val="both"/>
        <w:rPr>
          <w:rFonts w:ascii="Verdana" w:hAnsi="Verdana" w:cstheme="minorBidi"/>
          <w:b/>
          <w:bCs/>
          <w:sz w:val="20"/>
          <w:szCs w:val="20"/>
        </w:rPr>
      </w:pPr>
      <w:r w:rsidRPr="00E91529">
        <w:rPr>
          <w:rFonts w:ascii="Verdana" w:hAnsi="Verdana" w:cstheme="minorBidi"/>
          <w:sz w:val="20"/>
          <w:szCs w:val="20"/>
        </w:rPr>
        <w:t>L’année 2026 est marquée par la</w:t>
      </w:r>
      <w:r w:rsidRPr="00E91529">
        <w:rPr>
          <w:rFonts w:ascii="Verdana" w:hAnsi="Verdana" w:cstheme="minorBidi"/>
          <w:b/>
          <w:bCs/>
          <w:sz w:val="20"/>
          <w:szCs w:val="20"/>
        </w:rPr>
        <w:t xml:space="preserve"> </w:t>
      </w:r>
      <w:r w:rsidRPr="00E91529">
        <w:rPr>
          <w:rStyle w:val="lev"/>
          <w:rFonts w:ascii="Verdana" w:hAnsi="Verdana" w:cstheme="minorBidi"/>
          <w:b w:val="0"/>
          <w:bCs w:val="0"/>
          <w:sz w:val="20"/>
          <w:szCs w:val="20"/>
        </w:rPr>
        <w:t>priorisation de deux événements régionaux structurants</w:t>
      </w:r>
      <w:r w:rsidRPr="00E91529">
        <w:rPr>
          <w:rFonts w:ascii="Verdana" w:hAnsi="Verdana" w:cstheme="minorBidi"/>
          <w:b/>
          <w:bCs/>
          <w:sz w:val="20"/>
          <w:szCs w:val="20"/>
        </w:rPr>
        <w:t xml:space="preserve"> </w:t>
      </w:r>
      <w:r w:rsidRPr="00E91529">
        <w:rPr>
          <w:rFonts w:ascii="Verdana" w:hAnsi="Verdana" w:cstheme="minorBidi"/>
          <w:sz w:val="20"/>
          <w:szCs w:val="20"/>
        </w:rPr>
        <w:t>pour l’écosystème des ICC :</w:t>
      </w:r>
      <w:r w:rsidR="00311C03" w:rsidRPr="00E91529">
        <w:rPr>
          <w:rFonts w:ascii="Verdana" w:hAnsi="Verdana" w:cstheme="minorBidi"/>
          <w:sz w:val="20"/>
          <w:szCs w:val="20"/>
        </w:rPr>
        <w:t xml:space="preserve"> </w:t>
      </w:r>
      <w:r w:rsidRPr="00E91529">
        <w:rPr>
          <w:rFonts w:ascii="Verdana" w:hAnsi="Verdana" w:cstheme="minorBidi"/>
          <w:sz w:val="20"/>
          <w:szCs w:val="20"/>
        </w:rPr>
        <w:t>un</w:t>
      </w:r>
      <w:r w:rsidRPr="00E91529">
        <w:rPr>
          <w:rFonts w:ascii="Verdana" w:hAnsi="Verdana" w:cstheme="minorBidi"/>
          <w:b/>
          <w:bCs/>
          <w:sz w:val="20"/>
          <w:szCs w:val="20"/>
        </w:rPr>
        <w:t xml:space="preserve"> </w:t>
      </w:r>
      <w:r w:rsidRPr="00E91529">
        <w:rPr>
          <w:rStyle w:val="lev"/>
          <w:rFonts w:ascii="Verdana" w:hAnsi="Verdana" w:cstheme="minorBidi"/>
          <w:b w:val="0"/>
          <w:bCs w:val="0"/>
          <w:sz w:val="20"/>
          <w:szCs w:val="20"/>
        </w:rPr>
        <w:t>atelier régional sur le droit d’auteur à Madagascar</w:t>
      </w:r>
      <w:r w:rsidRPr="00E91529">
        <w:rPr>
          <w:rFonts w:ascii="Verdana" w:hAnsi="Verdana" w:cstheme="minorBidi"/>
          <w:b/>
          <w:bCs/>
          <w:sz w:val="20"/>
          <w:szCs w:val="20"/>
        </w:rPr>
        <w:t xml:space="preserve"> </w:t>
      </w:r>
      <w:r w:rsidRPr="00E91529">
        <w:rPr>
          <w:rFonts w:ascii="Verdana" w:hAnsi="Verdana" w:cstheme="minorBidi"/>
          <w:sz w:val="20"/>
          <w:szCs w:val="20"/>
        </w:rPr>
        <w:t>et un</w:t>
      </w:r>
      <w:r w:rsidRPr="00E91529">
        <w:rPr>
          <w:rFonts w:ascii="Verdana" w:hAnsi="Verdana" w:cstheme="minorBidi"/>
          <w:b/>
          <w:bCs/>
          <w:sz w:val="20"/>
          <w:szCs w:val="20"/>
        </w:rPr>
        <w:t xml:space="preserve"> </w:t>
      </w:r>
      <w:r w:rsidRPr="00E91529">
        <w:rPr>
          <w:rStyle w:val="lev"/>
          <w:rFonts w:ascii="Verdana" w:hAnsi="Verdana" w:cstheme="minorBidi"/>
          <w:b w:val="0"/>
          <w:bCs w:val="0"/>
          <w:sz w:val="20"/>
          <w:szCs w:val="20"/>
        </w:rPr>
        <w:t>atelier sur le tourisme culturel et durable aux Seychelles</w:t>
      </w:r>
      <w:r w:rsidRPr="00E91529">
        <w:rPr>
          <w:rFonts w:ascii="Verdana" w:hAnsi="Verdana" w:cstheme="minorBidi"/>
          <w:sz w:val="20"/>
          <w:szCs w:val="20"/>
        </w:rPr>
        <w:t xml:space="preserve">, visant à impulser des dynamiques régionales et à renforcer le dialogue entre acteurs publics et privés. Ces initiatives seront accompagnées par la production de </w:t>
      </w:r>
      <w:proofErr w:type="spellStart"/>
      <w:r w:rsidRPr="00E91529">
        <w:rPr>
          <w:rStyle w:val="lev"/>
          <w:rFonts w:ascii="Verdana" w:hAnsi="Verdana" w:cstheme="minorBidi"/>
          <w:b w:val="0"/>
          <w:bCs w:val="0"/>
          <w:i/>
          <w:iCs/>
          <w:sz w:val="20"/>
          <w:szCs w:val="20"/>
        </w:rPr>
        <w:t>policy</w:t>
      </w:r>
      <w:proofErr w:type="spellEnd"/>
      <w:r w:rsidRPr="00E91529">
        <w:rPr>
          <w:rStyle w:val="lev"/>
          <w:rFonts w:ascii="Verdana" w:hAnsi="Verdana" w:cstheme="minorBidi"/>
          <w:b w:val="0"/>
          <w:bCs w:val="0"/>
          <w:i/>
          <w:iCs/>
          <w:sz w:val="20"/>
          <w:szCs w:val="20"/>
        </w:rPr>
        <w:t xml:space="preserve"> briefs</w:t>
      </w:r>
      <w:r w:rsidRPr="00E91529">
        <w:rPr>
          <w:rFonts w:ascii="Verdana" w:hAnsi="Verdana" w:cstheme="minorBidi"/>
          <w:sz w:val="20"/>
          <w:szCs w:val="20"/>
        </w:rPr>
        <w:t xml:space="preserve"> afin de nourrir les processus décisionnels.</w:t>
      </w:r>
    </w:p>
    <w:p w14:paraId="36B1B9ED" w14:textId="11096E7B" w:rsidR="00C77081" w:rsidRPr="00E91529" w:rsidRDefault="00C77081" w:rsidP="00C77081">
      <w:pPr>
        <w:pStyle w:val="NormalWeb"/>
        <w:jc w:val="both"/>
        <w:rPr>
          <w:rFonts w:ascii="Verdana" w:hAnsi="Verdana" w:cstheme="minorBidi"/>
          <w:b/>
          <w:bCs/>
          <w:sz w:val="20"/>
          <w:szCs w:val="20"/>
        </w:rPr>
      </w:pPr>
      <w:r w:rsidRPr="00E91529">
        <w:rPr>
          <w:rFonts w:ascii="Verdana" w:hAnsi="Verdana" w:cstheme="minorBidi"/>
          <w:sz w:val="20"/>
          <w:szCs w:val="20"/>
        </w:rPr>
        <w:t>Le projet contribuera également à la</w:t>
      </w:r>
      <w:r w:rsidRPr="00E91529">
        <w:rPr>
          <w:rFonts w:ascii="Verdana" w:hAnsi="Verdana" w:cstheme="minorBidi"/>
          <w:b/>
          <w:bCs/>
          <w:sz w:val="20"/>
          <w:szCs w:val="20"/>
        </w:rPr>
        <w:t xml:space="preserve"> </w:t>
      </w:r>
      <w:r w:rsidRPr="00E91529">
        <w:rPr>
          <w:rStyle w:val="lev"/>
          <w:rFonts w:ascii="Verdana" w:hAnsi="Verdana" w:cstheme="minorBidi"/>
          <w:b w:val="0"/>
          <w:bCs w:val="0"/>
          <w:sz w:val="20"/>
          <w:szCs w:val="20"/>
        </w:rPr>
        <w:t>Conférence des femmes de l’océan Indien, d’Afrique australe et orientale</w:t>
      </w:r>
      <w:r w:rsidRPr="00E91529">
        <w:rPr>
          <w:rFonts w:ascii="Verdana" w:hAnsi="Verdana" w:cstheme="minorBidi"/>
          <w:b/>
          <w:bCs/>
          <w:sz w:val="20"/>
          <w:szCs w:val="20"/>
        </w:rPr>
        <w:t xml:space="preserve">, </w:t>
      </w:r>
      <w:r w:rsidRPr="00E91529">
        <w:rPr>
          <w:rFonts w:ascii="Verdana" w:hAnsi="Verdana" w:cstheme="minorBidi"/>
          <w:sz w:val="20"/>
          <w:szCs w:val="20"/>
        </w:rPr>
        <w:t>organisée par la Région Réunion en</w:t>
      </w:r>
      <w:r w:rsidR="00F368BA">
        <w:rPr>
          <w:rFonts w:ascii="Verdana" w:hAnsi="Verdana" w:cstheme="minorBidi"/>
          <w:sz w:val="20"/>
          <w:szCs w:val="20"/>
        </w:rPr>
        <w:t xml:space="preserve"> novembre</w:t>
      </w:r>
      <w:r w:rsidRPr="00E91529">
        <w:rPr>
          <w:rFonts w:ascii="Verdana" w:hAnsi="Verdana" w:cstheme="minorBidi"/>
          <w:sz w:val="20"/>
          <w:szCs w:val="20"/>
        </w:rPr>
        <w:t xml:space="preserve"> 2026.</w:t>
      </w:r>
    </w:p>
    <w:p w14:paraId="302268F6" w14:textId="7DBF7165" w:rsidR="00447BA4" w:rsidRPr="00E91529" w:rsidRDefault="00C77081" w:rsidP="00E91529">
      <w:pPr>
        <w:pStyle w:val="NormalWeb"/>
        <w:jc w:val="both"/>
        <w:rPr>
          <w:rFonts w:ascii="Verdana" w:hAnsi="Verdana" w:cstheme="minorBidi"/>
          <w:sz w:val="20"/>
          <w:szCs w:val="20"/>
        </w:rPr>
      </w:pPr>
      <w:r w:rsidRPr="00E91529">
        <w:rPr>
          <w:rFonts w:ascii="Verdana" w:hAnsi="Verdana" w:cstheme="minorBidi"/>
          <w:sz w:val="20"/>
          <w:szCs w:val="20"/>
        </w:rPr>
        <w:t xml:space="preserve">En matière de communication, l’année 2026 est consacrée à la </w:t>
      </w:r>
      <w:r w:rsidRPr="00E91529">
        <w:rPr>
          <w:rStyle w:val="lev"/>
          <w:rFonts w:ascii="Verdana" w:hAnsi="Verdana" w:cstheme="minorBidi"/>
          <w:b w:val="0"/>
          <w:bCs w:val="0"/>
          <w:sz w:val="20"/>
          <w:szCs w:val="20"/>
        </w:rPr>
        <w:t>consolidation et à la dynamisation de la plateforme Kiltir.org</w:t>
      </w:r>
      <w:r w:rsidRPr="00E91529">
        <w:rPr>
          <w:rFonts w:ascii="Verdana" w:hAnsi="Verdana" w:cstheme="minorBidi"/>
          <w:b/>
          <w:bCs/>
          <w:sz w:val="20"/>
          <w:szCs w:val="20"/>
        </w:rPr>
        <w:t>,</w:t>
      </w:r>
      <w:r w:rsidRPr="00E91529">
        <w:rPr>
          <w:rFonts w:ascii="Verdana" w:hAnsi="Verdana" w:cstheme="minorBidi"/>
          <w:sz w:val="20"/>
          <w:szCs w:val="20"/>
        </w:rPr>
        <w:t xml:space="preserve"> réseau régional des ICC lancé en avril 2024 et animé par le Centre chorégraphique </w:t>
      </w:r>
      <w:proofErr w:type="spellStart"/>
      <w:r w:rsidRPr="00E91529">
        <w:rPr>
          <w:rFonts w:ascii="Verdana" w:hAnsi="Verdana" w:cstheme="minorBidi"/>
          <w:sz w:val="20"/>
          <w:szCs w:val="20"/>
        </w:rPr>
        <w:t>Lalanbik</w:t>
      </w:r>
      <w:proofErr w:type="spellEnd"/>
      <w:r w:rsidRPr="00E91529">
        <w:rPr>
          <w:rFonts w:ascii="Verdana" w:hAnsi="Verdana" w:cstheme="minorBidi"/>
          <w:sz w:val="20"/>
          <w:szCs w:val="20"/>
        </w:rPr>
        <w:t xml:space="preserve"> (La Réunion), membre du consortium. Une </w:t>
      </w:r>
      <w:r w:rsidRPr="00E91529">
        <w:rPr>
          <w:rStyle w:val="lev"/>
          <w:rFonts w:ascii="Verdana" w:hAnsi="Verdana" w:cstheme="minorBidi"/>
          <w:b w:val="0"/>
          <w:bCs w:val="0"/>
          <w:sz w:val="20"/>
          <w:szCs w:val="20"/>
        </w:rPr>
        <w:t>analyse indépendante</w:t>
      </w:r>
      <w:r w:rsidRPr="00E91529">
        <w:rPr>
          <w:rFonts w:ascii="Verdana" w:hAnsi="Verdana" w:cstheme="minorBidi"/>
          <w:b/>
          <w:bCs/>
          <w:sz w:val="20"/>
          <w:szCs w:val="20"/>
        </w:rPr>
        <w:t xml:space="preserve"> </w:t>
      </w:r>
      <w:r w:rsidRPr="00E91529">
        <w:rPr>
          <w:rFonts w:ascii="Verdana" w:hAnsi="Verdana" w:cstheme="minorBidi"/>
          <w:sz w:val="20"/>
          <w:szCs w:val="20"/>
        </w:rPr>
        <w:t>est en cours afin d’évaluer les performances de la plateforme et d’accompagner son repositionnement en tant qu’outil collaboratif et réseau régional, au-delà de sa fonction actuelle principalement centrée sur la valorisation du projet</w:t>
      </w:r>
      <w:r w:rsidR="00311C03" w:rsidRPr="00E91529">
        <w:rPr>
          <w:rFonts w:ascii="Verdana" w:hAnsi="Verdana" w:cstheme="minorBidi"/>
          <w:sz w:val="20"/>
          <w:szCs w:val="20"/>
        </w:rPr>
        <w:t xml:space="preserve"> ICC, faute d’incarnation éditoriale.</w:t>
      </w:r>
    </w:p>
    <w:p w14:paraId="40E29DFE" w14:textId="1205ED89" w:rsidR="008F525A" w:rsidRDefault="00C77081" w:rsidP="00311C03">
      <w:pPr>
        <w:pStyle w:val="Paragraphe"/>
        <w:rPr>
          <w:shd w:val="clear" w:color="auto" w:fill="FFFFFF"/>
        </w:rPr>
      </w:pPr>
      <w:r w:rsidRPr="00E91529">
        <w:rPr>
          <w:shd w:val="clear" w:color="auto" w:fill="FFFFFF"/>
        </w:rPr>
        <w:t>Malgré l’absence de ressource dédiée à la communication, la visibilité du projet s’est significativement renforcée, avec une présence accrue sur les supports de la COI et dans les médias. Cette progression repose sur la mobilisation de l’équipe projet, en coordination étroite avec l’unité communication de la COI, ainsi que sur le recours à des expertises nationales, contribuant à renforcer l’ancrage territorial du programme.</w:t>
      </w:r>
    </w:p>
    <w:p w14:paraId="56AC6DC2" w14:textId="77777777" w:rsidR="00B079E8" w:rsidRDefault="00B079E8" w:rsidP="00311C03">
      <w:pPr>
        <w:pStyle w:val="Paragraphe"/>
        <w:rPr>
          <w:shd w:val="clear" w:color="auto" w:fill="FFFFFF"/>
        </w:rPr>
      </w:pPr>
    </w:p>
    <w:p w14:paraId="24546A83" w14:textId="5176CD16" w:rsidR="00B079E8" w:rsidRDefault="00995F00" w:rsidP="00B079E8">
      <w:pPr>
        <w:pStyle w:val="Sous-partie2"/>
        <w:numPr>
          <w:ilvl w:val="1"/>
          <w:numId w:val="38"/>
        </w:numPr>
      </w:pPr>
      <w:r>
        <w:t xml:space="preserve">Prix Indianocéanie Jeunesse </w:t>
      </w:r>
    </w:p>
    <w:p w14:paraId="2CC41F05" w14:textId="77777777" w:rsidR="001426C5" w:rsidRDefault="00F70A04" w:rsidP="00F70A04">
      <w:pPr>
        <w:pStyle w:val="Paragraphe"/>
        <w:rPr>
          <w:shd w:val="clear" w:color="auto" w:fill="FFFFFF"/>
        </w:rPr>
      </w:pPr>
      <w:r w:rsidRPr="00F70A04">
        <w:rPr>
          <w:shd w:val="clear" w:color="auto" w:fill="FFFFFF"/>
        </w:rPr>
        <w:t>Dans la perspective de la relance du Prix Indianocéanie Jeunesse en 2026</w:t>
      </w:r>
      <w:r>
        <w:rPr>
          <w:shd w:val="clear" w:color="auto" w:fill="FFFFFF"/>
        </w:rPr>
        <w:t>/2027</w:t>
      </w:r>
      <w:r w:rsidRPr="00F70A04">
        <w:rPr>
          <w:shd w:val="clear" w:color="auto" w:fill="FFFFFF"/>
        </w:rPr>
        <w:t>, le Secrétariat général a finalisé la note conceptuelle</w:t>
      </w:r>
      <w:r>
        <w:rPr>
          <w:shd w:val="clear" w:color="auto" w:fill="FFFFFF"/>
        </w:rPr>
        <w:t xml:space="preserve"> (annexe)</w:t>
      </w:r>
      <w:r w:rsidRPr="00F70A04">
        <w:rPr>
          <w:shd w:val="clear" w:color="auto" w:fill="FFFFFF"/>
        </w:rPr>
        <w:t>. Les travaux préparatoires</w:t>
      </w:r>
      <w:r>
        <w:rPr>
          <w:shd w:val="clear" w:color="auto" w:fill="FFFFFF"/>
        </w:rPr>
        <w:t xml:space="preserve"> à la note</w:t>
      </w:r>
      <w:r w:rsidRPr="00F70A04">
        <w:rPr>
          <w:shd w:val="clear" w:color="auto" w:fill="FFFFFF"/>
        </w:rPr>
        <w:t xml:space="preserve"> ont également mis en évidence une difficulté à identifier un calendrier scolaire suffisamment aligné entre les États membres, condition clé pour assurer une participation régionale équilibrée. Le Département de La Réunion a confirmé son partenariat.</w:t>
      </w:r>
    </w:p>
    <w:p w14:paraId="5F1AF5A8" w14:textId="2D804B58" w:rsidR="00F70A04" w:rsidRDefault="00F70A04" w:rsidP="00F70A04">
      <w:pPr>
        <w:pStyle w:val="Paragraphe"/>
        <w:rPr>
          <w:shd w:val="clear" w:color="auto" w:fill="FFFFFF"/>
        </w:rPr>
      </w:pPr>
      <w:r w:rsidRPr="00F70A04">
        <w:rPr>
          <w:shd w:val="clear" w:color="auto" w:fill="FFFFFF"/>
        </w:rPr>
        <w:t>En parallèle, une recherche active de financements est en cours, avec des premiers contacts établis notamment avec l’Organisation internationale de la Francophonie, ainsi que des démarches engagées pour mobiliser des partenaires privés.</w:t>
      </w:r>
    </w:p>
    <w:p w14:paraId="60D9F337" w14:textId="13115D1A" w:rsidR="00B079E8" w:rsidRDefault="001426C5" w:rsidP="00311C03">
      <w:pPr>
        <w:pStyle w:val="Paragraphe"/>
        <w:rPr>
          <w:shd w:val="clear" w:color="auto" w:fill="FFFFFF"/>
        </w:rPr>
      </w:pPr>
      <w:r w:rsidRPr="001426C5">
        <w:rPr>
          <w:shd w:val="clear" w:color="auto" w:fill="FFFFFF"/>
        </w:rPr>
        <w:t>La réussite de cette nouvelle édition reposera également sur la mise en place d’un partenariat étroit avec les ministères de l’Éducation afin d’assurer la diffusion de l’appel et la mobilisation des établissements scolaires. Un plaidoyer sera mené via les ministères des Affaires étrangères pour faciliter cet appui institutionnel.</w:t>
      </w:r>
    </w:p>
    <w:p w14:paraId="558AFC0F" w14:textId="77777777" w:rsidR="000A1C5B" w:rsidRPr="001426C5" w:rsidRDefault="000A1C5B" w:rsidP="00311C03">
      <w:pPr>
        <w:pStyle w:val="Paragraphe"/>
        <w:rPr>
          <w:shd w:val="clear" w:color="auto" w:fill="FFFFFF"/>
        </w:rPr>
      </w:pPr>
    </w:p>
    <w:p w14:paraId="2F7F5914" w14:textId="087666D5" w:rsidR="00955BB3" w:rsidRPr="00E91529" w:rsidRDefault="00955BB3" w:rsidP="00A70123">
      <w:pPr>
        <w:pStyle w:val="Titrepartie"/>
        <w:rPr>
          <w:sz w:val="20"/>
        </w:rPr>
      </w:pPr>
      <w:r w:rsidRPr="00E91529">
        <w:rPr>
          <w:sz w:val="20"/>
        </w:rPr>
        <w:t>Proposition</w:t>
      </w:r>
      <w:r w:rsidR="00311C03" w:rsidRPr="00E91529">
        <w:rPr>
          <w:sz w:val="20"/>
        </w:rPr>
        <w:t>s</w:t>
      </w:r>
      <w:r w:rsidRPr="00E91529">
        <w:rPr>
          <w:sz w:val="20"/>
        </w:rPr>
        <w:t xml:space="preserve"> de décision</w:t>
      </w:r>
    </w:p>
    <w:p w14:paraId="3ECF0759" w14:textId="3F648EBB" w:rsidR="00912454" w:rsidRPr="00927CB6" w:rsidRDefault="0008468B" w:rsidP="00912454">
      <w:pPr>
        <w:pStyle w:val="Paragraphe"/>
      </w:pPr>
      <w:r w:rsidRPr="00927CB6">
        <w:t>Le Comité des OPL</w:t>
      </w:r>
      <w:r w:rsidR="00CA7968" w:rsidRPr="00927CB6">
        <w:t> </w:t>
      </w:r>
      <w:r w:rsidR="00631F3A" w:rsidRPr="00927CB6">
        <w:t>recommande</w:t>
      </w:r>
      <w:r w:rsidR="00E33CCE" w:rsidRPr="00927CB6">
        <w:t xml:space="preserve"> au Conseil des ministres </w:t>
      </w:r>
      <w:r w:rsidR="003A2FD2" w:rsidRPr="00927CB6">
        <w:t>de :</w:t>
      </w:r>
    </w:p>
    <w:p w14:paraId="4C0A264C" w14:textId="7EBCF518" w:rsidR="00912454" w:rsidRPr="00927CB6" w:rsidRDefault="00912454" w:rsidP="00377647">
      <w:pPr>
        <w:pStyle w:val="Paragraphe"/>
        <w:numPr>
          <w:ilvl w:val="0"/>
          <w:numId w:val="40"/>
        </w:numPr>
        <w:ind w:left="426"/>
      </w:pPr>
      <w:r w:rsidRPr="00927CB6">
        <w:t>Se féliciter des résultats du projet régional ICC, en tant que programme structurant contribuant au développement des industries culturelles et créatives dans la région ;</w:t>
      </w:r>
    </w:p>
    <w:p w14:paraId="3C6C20F4" w14:textId="0D1C0C72" w:rsidR="00912454" w:rsidRPr="00927CB6" w:rsidRDefault="00912454" w:rsidP="00377647">
      <w:pPr>
        <w:pStyle w:val="Paragraphe"/>
        <w:numPr>
          <w:ilvl w:val="0"/>
          <w:numId w:val="40"/>
        </w:numPr>
        <w:ind w:left="426"/>
      </w:pPr>
      <w:r w:rsidRPr="00927CB6">
        <w:t>Inviter les États membres à promouvoir l’appropriation et la diffusion des outils régionaux développés</w:t>
      </w:r>
      <w:r w:rsidR="00904CCC" w:rsidRPr="00927CB6">
        <w:t xml:space="preserve"> dans le cadre du projet ICC</w:t>
      </w:r>
      <w:r w:rsidRPr="00927CB6">
        <w:t>, notamment l’inventaire régional du patrimoine, dont l’enrichissement continu relève des équipes nationales compétentes</w:t>
      </w:r>
      <w:r w:rsidR="00377647">
        <w:t> ;</w:t>
      </w:r>
    </w:p>
    <w:p w14:paraId="1B390756" w14:textId="3D5E6FD0" w:rsidR="00912454" w:rsidRPr="00927CB6" w:rsidRDefault="00912454" w:rsidP="00377647">
      <w:pPr>
        <w:pStyle w:val="Paragraphe"/>
        <w:numPr>
          <w:ilvl w:val="0"/>
          <w:numId w:val="40"/>
        </w:numPr>
        <w:ind w:left="426"/>
      </w:pPr>
      <w:r w:rsidRPr="00927CB6">
        <w:t xml:space="preserve">Inviter les États membres à traduire les orientations issues des </w:t>
      </w:r>
      <w:proofErr w:type="spellStart"/>
      <w:r w:rsidRPr="00927CB6">
        <w:rPr>
          <w:i/>
          <w:iCs/>
        </w:rPr>
        <w:t>policy</w:t>
      </w:r>
      <w:proofErr w:type="spellEnd"/>
      <w:r w:rsidRPr="00927CB6">
        <w:rPr>
          <w:i/>
          <w:iCs/>
        </w:rPr>
        <w:t xml:space="preserve"> briefs</w:t>
      </w:r>
      <w:r w:rsidRPr="00927CB6">
        <w:t xml:space="preserve"> en mesures opérationnelles, en particulier dans leurs politiques publiques en faveur des ICC et du tourisme culturel ;</w:t>
      </w:r>
    </w:p>
    <w:p w14:paraId="75DB27C9" w14:textId="6AF46609" w:rsidR="00912454" w:rsidRPr="00927CB6" w:rsidRDefault="00912454" w:rsidP="00377647">
      <w:pPr>
        <w:pStyle w:val="Paragraphe"/>
        <w:numPr>
          <w:ilvl w:val="0"/>
          <w:numId w:val="40"/>
        </w:numPr>
        <w:ind w:left="426"/>
      </w:pPr>
      <w:r w:rsidRPr="00927CB6">
        <w:t>Encourager les États membres à soumettre des projets en matière de droit d’auteur et de propriété intellectuelle, afin de renforcer les cadres nationaux et de soutenir la structuration des filières ;</w:t>
      </w:r>
    </w:p>
    <w:p w14:paraId="7392370A" w14:textId="3CFB618E" w:rsidR="00912454" w:rsidRPr="00927CB6" w:rsidRDefault="00912454" w:rsidP="00377647">
      <w:pPr>
        <w:pStyle w:val="Paragraphe"/>
        <w:numPr>
          <w:ilvl w:val="0"/>
          <w:numId w:val="40"/>
        </w:numPr>
        <w:ind w:left="426"/>
      </w:pPr>
      <w:r w:rsidRPr="00927CB6">
        <w:t>Encourager la capitalisation des résultats du projet ICC en tant qu’initiative classée CAD 2, afin d’en dégager les enseignements en matière d’égalité, d’inclusion et de performance, en vue de soutenir le développement d’une nouvelle génération de projets à fort impact à l’échelle régionale ;</w:t>
      </w:r>
    </w:p>
    <w:p w14:paraId="4B565F90" w14:textId="12DA48D9" w:rsidR="00912454" w:rsidRPr="00927CB6" w:rsidRDefault="00912454" w:rsidP="00377647">
      <w:pPr>
        <w:pStyle w:val="Paragraphe"/>
        <w:numPr>
          <w:ilvl w:val="0"/>
          <w:numId w:val="40"/>
        </w:numPr>
        <w:ind w:left="426"/>
      </w:pPr>
      <w:r w:rsidRPr="00927CB6">
        <w:t>Encourager le renforcement des mécanismes de mobilité régionale des artistes et des professionnels des ICC, afin de faciliter la circulation des</w:t>
      </w:r>
      <w:r w:rsidR="00212CDB" w:rsidRPr="00927CB6">
        <w:t xml:space="preserve"> personnes, des</w:t>
      </w:r>
      <w:r w:rsidRPr="00927CB6">
        <w:t xml:space="preserve"> œuvres et des</w:t>
      </w:r>
      <w:r w:rsidR="00212CDB" w:rsidRPr="00927CB6">
        <w:t xml:space="preserve"> biens culturels</w:t>
      </w:r>
      <w:r w:rsidRPr="00927CB6">
        <w:t xml:space="preserve"> et de soutenir l’intégration du marché culturel régional ;</w:t>
      </w:r>
    </w:p>
    <w:p w14:paraId="4923CDAD" w14:textId="5B297284" w:rsidR="00377647" w:rsidRDefault="00912454" w:rsidP="00377647">
      <w:pPr>
        <w:pStyle w:val="Paragraphe"/>
        <w:numPr>
          <w:ilvl w:val="0"/>
          <w:numId w:val="40"/>
        </w:numPr>
        <w:ind w:left="426"/>
      </w:pPr>
      <w:r w:rsidRPr="00927CB6">
        <w:t xml:space="preserve">Mandater le Secrétariat général </w:t>
      </w:r>
      <w:r w:rsidR="00F368BA" w:rsidRPr="00927CB6">
        <w:t>à</w:t>
      </w:r>
      <w:r w:rsidRPr="00927CB6">
        <w:t xml:space="preserve"> préparer une seconde phase du projet, visant à consolider les acquis et à amplifier les dynamiques engagées à l’échelle régionale</w:t>
      </w:r>
      <w:r w:rsidR="00377647">
        <w:t> ;</w:t>
      </w:r>
    </w:p>
    <w:p w14:paraId="4B9CE490" w14:textId="6B84590A" w:rsidR="00912454" w:rsidRPr="00927CB6" w:rsidRDefault="00377647" w:rsidP="00377647">
      <w:pPr>
        <w:pStyle w:val="Paragraphe"/>
        <w:numPr>
          <w:ilvl w:val="0"/>
          <w:numId w:val="40"/>
        </w:numPr>
        <w:ind w:left="426"/>
      </w:pPr>
      <w:r>
        <w:t>E</w:t>
      </w:r>
      <w:r w:rsidRPr="00377647">
        <w:t>ncourage le Secrétariat général à engager, dans les meilleurs délais, les démarches nécessaires à la mobilisation de partenaires aux côtés du Département de La Réunion pour le lancement du Prix Indianocéanie Jeunesse, et à œuvrer, plus largement, à la pérennisation de cette initiative emblématique du paysage littéraire régional</w:t>
      </w:r>
      <w:r w:rsidR="00912454" w:rsidRPr="00927CB6">
        <w:t>.</w:t>
      </w:r>
    </w:p>
    <w:p w14:paraId="11AB0056" w14:textId="77777777" w:rsidR="00912454" w:rsidRPr="00912454" w:rsidRDefault="00912454" w:rsidP="00912454">
      <w:pPr>
        <w:pStyle w:val="Paragraphe"/>
      </w:pPr>
    </w:p>
    <w:bookmarkEnd w:id="0"/>
    <w:p w14:paraId="623000D0" w14:textId="402336C3" w:rsidR="0008468B" w:rsidRPr="00E91529" w:rsidRDefault="00FE285D" w:rsidP="00060CA0">
      <w:pPr>
        <w:pStyle w:val="Exergue"/>
        <w:rPr>
          <w:highlight w:val="yellow"/>
        </w:rPr>
      </w:pPr>
      <w:r w:rsidRPr="00E91529">
        <w:rPr>
          <w:highlight w:val="yellow"/>
        </w:rPr>
        <w:t>Cf.</w:t>
      </w:r>
      <w:r w:rsidR="0008468B" w:rsidRPr="00E91529">
        <w:rPr>
          <w:highlight w:val="yellow"/>
        </w:rPr>
        <w:t xml:space="preserve"> Décision </w:t>
      </w:r>
      <w:r w:rsidR="00EB49A1" w:rsidRPr="00E91529">
        <w:rPr>
          <w:highlight w:val="yellow"/>
        </w:rPr>
        <w:t>1</w:t>
      </w:r>
      <w:r w:rsidR="004E03AF">
        <w:rPr>
          <w:highlight w:val="yellow"/>
        </w:rPr>
        <w:t>4</w:t>
      </w:r>
      <w:r w:rsidR="0008468B" w:rsidRPr="00E91529">
        <w:rPr>
          <w:highlight w:val="yellow"/>
        </w:rPr>
        <w:t xml:space="preserve"> </w:t>
      </w:r>
      <w:r w:rsidR="00C42131" w:rsidRPr="00E91529">
        <w:rPr>
          <w:highlight w:val="yellow"/>
        </w:rPr>
        <w:t>Culture</w:t>
      </w:r>
      <w:r w:rsidR="00A76B07" w:rsidRPr="00E91529">
        <w:rPr>
          <w:highlight w:val="yellow"/>
        </w:rPr>
        <w:t xml:space="preserve">, </w:t>
      </w:r>
      <w:r w:rsidR="00C42131" w:rsidRPr="00E91529">
        <w:rPr>
          <w:highlight w:val="yellow"/>
        </w:rPr>
        <w:t>C</w:t>
      </w:r>
      <w:r w:rsidR="009D6F31" w:rsidRPr="00E91529">
        <w:rPr>
          <w:highlight w:val="yellow"/>
        </w:rPr>
        <w:t>o</w:t>
      </w:r>
      <w:r w:rsidR="009D6F31">
        <w:rPr>
          <w:highlight w:val="yellow"/>
        </w:rPr>
        <w:t>nseil des ministres</w:t>
      </w:r>
      <w:r w:rsidR="004E03AF">
        <w:rPr>
          <w:highlight w:val="yellow"/>
        </w:rPr>
        <w:t xml:space="preserve">, 16 mai 2024 </w:t>
      </w:r>
    </w:p>
    <w:p w14:paraId="30E0C7DF" w14:textId="77777777" w:rsidR="00544643" w:rsidRPr="00E91529" w:rsidRDefault="00544643" w:rsidP="00060CA0">
      <w:pPr>
        <w:pStyle w:val="Exergue"/>
        <w:rPr>
          <w:highlight w:val="yellow"/>
        </w:rPr>
      </w:pPr>
    </w:p>
    <w:p w14:paraId="5D1E6B4A" w14:textId="1270D73B" w:rsidR="00D8654C" w:rsidRPr="004F5C4B" w:rsidRDefault="00D8654C" w:rsidP="00D8654C">
      <w:pPr>
        <w:pStyle w:val="Paragraphe"/>
      </w:pPr>
      <w:r>
        <w:t xml:space="preserve">Le Conseil des ministres </w:t>
      </w:r>
      <w:r w:rsidR="004E03AF">
        <w:t>de la COI</w:t>
      </w:r>
      <w:r>
        <w:t xml:space="preserve"> :</w:t>
      </w:r>
    </w:p>
    <w:p w14:paraId="7306E440" w14:textId="5C833462" w:rsidR="00D8654C" w:rsidRDefault="00D8654C" w:rsidP="00D8654C">
      <w:pPr>
        <w:pStyle w:val="Paragraphe"/>
        <w:numPr>
          <w:ilvl w:val="0"/>
          <w:numId w:val="6"/>
        </w:numPr>
      </w:pPr>
      <w:r w:rsidRPr="00F75933">
        <w:t xml:space="preserve">Salue l’initiative </w:t>
      </w:r>
      <w:r>
        <w:t>« </w:t>
      </w:r>
      <w:r w:rsidRPr="00F75933">
        <w:t>2024</w:t>
      </w:r>
      <w:r>
        <w:t xml:space="preserve"> </w:t>
      </w:r>
      <w:r w:rsidRPr="00F75933">
        <w:t>|</w:t>
      </w:r>
      <w:r>
        <w:t xml:space="preserve"> </w:t>
      </w:r>
      <w:r w:rsidRPr="00F75933">
        <w:t>Année culturelle d</w:t>
      </w:r>
      <w:r>
        <w:t>e la COI </w:t>
      </w:r>
      <w:proofErr w:type="gramStart"/>
      <w:r>
        <w:t xml:space="preserve">» </w:t>
      </w:r>
      <w:r w:rsidR="0088117C">
        <w:t xml:space="preserve"> et</w:t>
      </w:r>
      <w:proofErr w:type="gramEnd"/>
      <w:r w:rsidR="0088117C">
        <w:t xml:space="preserve"> encourage le Secrétariat général dans la mise en œuvre des </w:t>
      </w:r>
      <w:r>
        <w:t xml:space="preserve">activités du projet de développement des ICC et le prix Indianocéanie 2024 ; </w:t>
      </w:r>
    </w:p>
    <w:p w14:paraId="4CED902B" w14:textId="20E7E660" w:rsidR="00D8654C" w:rsidRDefault="00D8654C" w:rsidP="00D8654C">
      <w:pPr>
        <w:pStyle w:val="Paragraphe"/>
        <w:numPr>
          <w:ilvl w:val="0"/>
          <w:numId w:val="6"/>
        </w:numPr>
      </w:pPr>
      <w:r w:rsidRPr="001F526D">
        <w:t>Encourage le partenariat avec l</w:t>
      </w:r>
      <w:r>
        <w:t xml:space="preserve">e COMESA pour l’élaboration d’un programme commun pour le renforcement des politiques publiques des ICC et la recherche de financement ; </w:t>
      </w:r>
    </w:p>
    <w:p w14:paraId="50C0A9C5" w14:textId="4FEA3440" w:rsidR="00D8654C" w:rsidRPr="00053332" w:rsidRDefault="00D8654C" w:rsidP="00D8654C">
      <w:pPr>
        <w:pStyle w:val="Paragraphe"/>
        <w:numPr>
          <w:ilvl w:val="0"/>
          <w:numId w:val="6"/>
        </w:numPr>
      </w:pPr>
      <w:r>
        <w:t>Remercie</w:t>
      </w:r>
      <w:r w:rsidR="009D6F31">
        <w:t xml:space="preserve"> le Conseil Départemental de la Réunion et</w:t>
      </w:r>
      <w:r>
        <w:t xml:space="preserve"> l’Organisation internationale de la Francophonie pour sa contribution à l’organisation du prix Indianocéanie 2024. </w:t>
      </w:r>
    </w:p>
    <w:p w14:paraId="0AB6024B" w14:textId="77777777" w:rsidR="00F867A3" w:rsidRPr="00E91529" w:rsidRDefault="00F867A3" w:rsidP="00F867A3">
      <w:pPr>
        <w:pStyle w:val="Exergue"/>
      </w:pPr>
    </w:p>
    <w:p w14:paraId="1D6F1669" w14:textId="1E51E74E" w:rsidR="00417683" w:rsidRPr="000A1C5B" w:rsidRDefault="00417683" w:rsidP="00060CA0">
      <w:pPr>
        <w:pStyle w:val="Titrepartie"/>
        <w:rPr>
          <w:sz w:val="20"/>
        </w:rPr>
      </w:pPr>
      <w:r w:rsidRPr="000A1C5B">
        <w:rPr>
          <w:sz w:val="20"/>
        </w:rPr>
        <w:t>Annexe</w:t>
      </w:r>
      <w:r w:rsidR="008F173C" w:rsidRPr="000A1C5B">
        <w:rPr>
          <w:sz w:val="20"/>
        </w:rPr>
        <w:t>s</w:t>
      </w:r>
      <w:r w:rsidR="000A1C5B" w:rsidRPr="000A1C5B">
        <w:rPr>
          <w:sz w:val="20"/>
        </w:rPr>
        <w:t xml:space="preserve"> en ligne</w:t>
      </w:r>
    </w:p>
    <w:p w14:paraId="45B52A50" w14:textId="7A31FF09" w:rsidR="00311C03" w:rsidRPr="000A1C5B" w:rsidRDefault="00620B90" w:rsidP="00E91529">
      <w:pPr>
        <w:pStyle w:val="Paragraphe"/>
        <w:numPr>
          <w:ilvl w:val="0"/>
          <w:numId w:val="9"/>
        </w:numPr>
        <w:jc w:val="left"/>
      </w:pPr>
      <w:r w:rsidRPr="000A1C5B">
        <w:t xml:space="preserve">Annexe 1 : </w:t>
      </w:r>
      <w:hyperlink r:id="rId7" w:history="1">
        <w:r w:rsidR="00311C03" w:rsidRPr="000A1C5B">
          <w:rPr>
            <w:rStyle w:val="Lienhypertexte"/>
          </w:rPr>
          <w:t>https://kiltir.org/inventaire-regional-des-architectures-traditionnelles</w:t>
        </w:r>
      </w:hyperlink>
    </w:p>
    <w:p w14:paraId="4648F921" w14:textId="4C00FF4B" w:rsidR="008F173C" w:rsidRPr="000A1C5B" w:rsidRDefault="00620B90" w:rsidP="00E91529">
      <w:pPr>
        <w:pStyle w:val="Paragraphe"/>
        <w:numPr>
          <w:ilvl w:val="0"/>
          <w:numId w:val="9"/>
        </w:numPr>
        <w:jc w:val="left"/>
      </w:pPr>
      <w:r w:rsidRPr="000A1C5B">
        <w:t>Annexe 2 :</w:t>
      </w:r>
      <w:r w:rsidR="004C142A" w:rsidRPr="000A1C5B">
        <w:t xml:space="preserve"> </w:t>
      </w:r>
      <w:r w:rsidR="00311C03" w:rsidRPr="000A1C5B">
        <w:t xml:space="preserve">MOOC Genre </w:t>
      </w:r>
      <w:hyperlink r:id="rId8" w:history="1">
        <w:r w:rsidR="00311C03" w:rsidRPr="000A1C5B">
          <w:rPr>
            <w:rStyle w:val="Lienhypertexte"/>
          </w:rPr>
          <w:t>https://ecampuscoi.itcilo.org/</w:t>
        </w:r>
      </w:hyperlink>
    </w:p>
    <w:p w14:paraId="1C9EA472" w14:textId="750381DE" w:rsidR="00311C03" w:rsidRPr="000A1C5B" w:rsidRDefault="00311C03" w:rsidP="00E91529">
      <w:pPr>
        <w:pStyle w:val="Paragraphe"/>
        <w:numPr>
          <w:ilvl w:val="0"/>
          <w:numId w:val="9"/>
        </w:numPr>
        <w:jc w:val="left"/>
      </w:pPr>
      <w:r w:rsidRPr="000A1C5B">
        <w:t>Annexe</w:t>
      </w:r>
      <w:r w:rsidR="00E91529" w:rsidRPr="000A1C5B">
        <w:t xml:space="preserve"> </w:t>
      </w:r>
      <w:r w:rsidRPr="000A1C5B">
        <w:t>3 :</w:t>
      </w:r>
      <w:r w:rsidR="00E91529" w:rsidRPr="000A1C5B">
        <w:t xml:space="preserve"> </w:t>
      </w:r>
      <w:hyperlink r:id="rId9" w:history="1">
        <w:r w:rsidR="00E91529" w:rsidRPr="000A1C5B">
          <w:rPr>
            <w:rStyle w:val="Lienhypertexte"/>
          </w:rPr>
          <w:t>https://kiltir.org/actualites/lesport-dans-locean-indien-1r-cartographie-regionale</w:t>
        </w:r>
      </w:hyperlink>
    </w:p>
    <w:p w14:paraId="6EC30853" w14:textId="1C7D60C4" w:rsidR="00E91529" w:rsidRDefault="00E91529" w:rsidP="00E91529">
      <w:pPr>
        <w:pStyle w:val="Paragraphe"/>
        <w:numPr>
          <w:ilvl w:val="0"/>
          <w:numId w:val="9"/>
        </w:numPr>
        <w:jc w:val="left"/>
      </w:pPr>
      <w:r w:rsidRPr="000A1C5B">
        <w:t xml:space="preserve">Annexe 4 : </w:t>
      </w:r>
      <w:hyperlink r:id="rId10" w:history="1">
        <w:r w:rsidRPr="000A1C5B">
          <w:rPr>
            <w:rStyle w:val="Lienhypertexte"/>
          </w:rPr>
          <w:t>https://kiltir.org/actualites/construire-le-cinema-de-lindianoceanie</w:t>
        </w:r>
      </w:hyperlink>
    </w:p>
    <w:p w14:paraId="348E31F8" w14:textId="1E577380" w:rsidR="00AF5151" w:rsidRPr="000A1C5B" w:rsidRDefault="00AF5151" w:rsidP="00E91529">
      <w:pPr>
        <w:pStyle w:val="Paragraphe"/>
        <w:numPr>
          <w:ilvl w:val="0"/>
          <w:numId w:val="9"/>
        </w:numPr>
        <w:jc w:val="left"/>
      </w:pPr>
      <w:r>
        <w:t>Annexe 5 : Note conceptuelle du prix Indianocéanie jeunesse</w:t>
      </w:r>
    </w:p>
    <w:p w14:paraId="61115D0B" w14:textId="77777777" w:rsidR="00E91529" w:rsidRDefault="00E91529" w:rsidP="00E91529">
      <w:pPr>
        <w:pStyle w:val="Paragraphe"/>
        <w:ind w:left="720"/>
        <w:jc w:val="left"/>
      </w:pPr>
    </w:p>
    <w:p w14:paraId="3D5FE3BF" w14:textId="77777777" w:rsidR="00E91529" w:rsidRPr="00E91529" w:rsidRDefault="00E91529" w:rsidP="00E91529">
      <w:pPr>
        <w:pStyle w:val="Paragraphe"/>
        <w:ind w:left="720"/>
        <w:jc w:val="left"/>
      </w:pPr>
    </w:p>
    <w:sectPr w:rsidR="00E91529" w:rsidRPr="00E91529" w:rsidSect="0046236C">
      <w:headerReference w:type="default" r:id="rId11"/>
      <w:footerReference w:type="default" r:id="rId12"/>
      <w:pgSz w:w="11906" w:h="16838"/>
      <w:pgMar w:top="1276" w:right="1417" w:bottom="851"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DAD64" w14:textId="77777777" w:rsidR="00106D3A" w:rsidRDefault="00106D3A">
      <w:pPr>
        <w:spacing w:after="0" w:line="240" w:lineRule="auto"/>
      </w:pPr>
      <w:r>
        <w:separator/>
      </w:r>
    </w:p>
  </w:endnote>
  <w:endnote w:type="continuationSeparator" w:id="0">
    <w:p w14:paraId="0BD3D017" w14:textId="77777777" w:rsidR="00106D3A" w:rsidRDefault="0010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2354" w14:textId="77777777" w:rsidR="00106D3A" w:rsidRDefault="00106D3A">
      <w:pPr>
        <w:spacing w:after="0" w:line="240" w:lineRule="auto"/>
      </w:pPr>
      <w:r>
        <w:separator/>
      </w:r>
    </w:p>
  </w:footnote>
  <w:footnote w:type="continuationSeparator" w:id="0">
    <w:p w14:paraId="48333B26" w14:textId="77777777" w:rsidR="00106D3A" w:rsidRDefault="00106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7A8C45BD"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622733955" name="Image 622733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rsidR="003604B9" w:rsidRPr="0018252D">
      <w:rPr>
        <w:rFonts w:ascii="Verdana" w:hAnsi="Verdana"/>
        <w:b/>
        <w:bCs/>
        <w:sz w:val="20"/>
        <w:szCs w:val="20"/>
      </w:rPr>
      <w:t xml:space="preserve">Point. </w:t>
    </w:r>
    <w:r w:rsidR="008F525A">
      <w:rPr>
        <w:rFonts w:ascii="Verdana" w:hAnsi="Verdana"/>
        <w:b/>
        <w:bCs/>
        <w:sz w:val="20"/>
        <w:szCs w:val="20"/>
      </w:rPr>
      <w:t>2.1</w:t>
    </w:r>
    <w:r w:rsidR="00356E5D">
      <w:rPr>
        <w:rFonts w:ascii="Verdana" w:hAnsi="Verdana"/>
        <w:b/>
        <w:bCs/>
        <w:sz w:val="20"/>
        <w:szCs w:val="20"/>
      </w:rPr>
      <w:t>5</w:t>
    </w:r>
    <w:r w:rsidR="008F525A">
      <w:rPr>
        <w:rFonts w:ascii="Verdana" w:hAnsi="Verdana"/>
        <w:b/>
        <w:bCs/>
        <w:sz w:val="20"/>
        <w:szCs w:val="20"/>
      </w:rPr>
      <w:t>.</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0B7"/>
    <w:multiLevelType w:val="multilevel"/>
    <w:tmpl w:val="8616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84E75"/>
    <w:multiLevelType w:val="multilevel"/>
    <w:tmpl w:val="37A0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5644D59"/>
    <w:multiLevelType w:val="multilevel"/>
    <w:tmpl w:val="4CF2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934BE"/>
    <w:multiLevelType w:val="multilevel"/>
    <w:tmpl w:val="3E20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0E5F8D"/>
    <w:multiLevelType w:val="hybridMultilevel"/>
    <w:tmpl w:val="D6528A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94A7057"/>
    <w:multiLevelType w:val="multilevel"/>
    <w:tmpl w:val="21AE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BE7AF0"/>
    <w:multiLevelType w:val="hybridMultilevel"/>
    <w:tmpl w:val="2FBA53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2431987"/>
    <w:multiLevelType w:val="multilevel"/>
    <w:tmpl w:val="0340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F1D80"/>
    <w:multiLevelType w:val="hybridMultilevel"/>
    <w:tmpl w:val="65E8D4CA"/>
    <w:lvl w:ilvl="0" w:tplc="804A21F6">
      <w:start w:val="13"/>
      <w:numFmt w:val="bullet"/>
      <w:lvlText w:val="-"/>
      <w:lvlJc w:val="left"/>
      <w:pPr>
        <w:ind w:left="720" w:hanging="360"/>
      </w:pPr>
      <w:rPr>
        <w:rFonts w:ascii="Verdana" w:eastAsiaTheme="minorHAnsi" w:hAnsi="Verdana"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FF7F7B"/>
    <w:multiLevelType w:val="multilevel"/>
    <w:tmpl w:val="CC34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8A057E"/>
    <w:multiLevelType w:val="multilevel"/>
    <w:tmpl w:val="A532FC8C"/>
    <w:lvl w:ilvl="0">
      <w:start w:val="2"/>
      <w:numFmt w:val="decimal"/>
      <w:lvlText w:val="%1"/>
      <w:lvlJc w:val="left"/>
      <w:pPr>
        <w:ind w:left="720" w:hanging="36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6120" w:hanging="144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10080" w:hanging="2160"/>
      </w:pPr>
      <w:rPr>
        <w:rFonts w:hint="default"/>
      </w:rPr>
    </w:lvl>
    <w:lvl w:ilvl="8">
      <w:start w:val="1"/>
      <w:numFmt w:val="decimal"/>
      <w:lvlText w:val="%1.%2.%3.%4.%5.%6.%7.%8.%9"/>
      <w:lvlJc w:val="left"/>
      <w:pPr>
        <w:ind w:left="11160" w:hanging="2160"/>
      </w:pPr>
      <w:rPr>
        <w:rFonts w:hint="default"/>
      </w:rPr>
    </w:lvl>
  </w:abstractNum>
  <w:abstractNum w:abstractNumId="17" w15:restartNumberingAfterBreak="0">
    <w:nsid w:val="2C126C41"/>
    <w:multiLevelType w:val="multilevel"/>
    <w:tmpl w:val="A532FC8C"/>
    <w:lvl w:ilvl="0">
      <w:start w:val="2"/>
      <w:numFmt w:val="decimal"/>
      <w:lvlText w:val="%1"/>
      <w:lvlJc w:val="left"/>
      <w:pPr>
        <w:ind w:left="720" w:hanging="36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6120" w:hanging="144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10080" w:hanging="2160"/>
      </w:pPr>
      <w:rPr>
        <w:rFonts w:hint="default"/>
      </w:rPr>
    </w:lvl>
    <w:lvl w:ilvl="8">
      <w:start w:val="1"/>
      <w:numFmt w:val="decimal"/>
      <w:lvlText w:val="%1.%2.%3.%4.%5.%6.%7.%8.%9"/>
      <w:lvlJc w:val="left"/>
      <w:pPr>
        <w:ind w:left="11160" w:hanging="2160"/>
      </w:pPr>
      <w:rPr>
        <w:rFonts w:hint="default"/>
      </w:rPr>
    </w:lvl>
  </w:abstractNum>
  <w:abstractNum w:abstractNumId="18" w15:restartNumberingAfterBreak="0">
    <w:nsid w:val="37BF6BDA"/>
    <w:multiLevelType w:val="hybridMultilevel"/>
    <w:tmpl w:val="F28C9474"/>
    <w:lvl w:ilvl="0" w:tplc="EB5A8836">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F5F58F3"/>
    <w:multiLevelType w:val="multilevel"/>
    <w:tmpl w:val="5348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817962"/>
    <w:multiLevelType w:val="hybridMultilevel"/>
    <w:tmpl w:val="E26E2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AD92173"/>
    <w:multiLevelType w:val="multilevel"/>
    <w:tmpl w:val="FD8C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8790C"/>
    <w:multiLevelType w:val="multilevel"/>
    <w:tmpl w:val="256AB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3E67D8"/>
    <w:multiLevelType w:val="multilevel"/>
    <w:tmpl w:val="5402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C6959"/>
    <w:multiLevelType w:val="multilevel"/>
    <w:tmpl w:val="ADF2892E"/>
    <w:lvl w:ilvl="0">
      <w:start w:val="1"/>
      <w:numFmt w:val="decimal"/>
      <w:lvlText w:val="%1.1"/>
      <w:lvlJc w:val="right"/>
      <w:pPr>
        <w:ind w:left="1068" w:hanging="360"/>
      </w:pPr>
      <w:rPr>
        <w:rFonts w:hint="default"/>
      </w:rPr>
    </w:lvl>
    <w:lvl w:ilvl="1">
      <w:start w:val="2"/>
      <w:numFmt w:val="decimal"/>
      <w:lvlText w:val="%1.%2"/>
      <w:lvlJc w:val="left"/>
      <w:pPr>
        <w:ind w:left="2508" w:hanging="72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5028" w:hanging="1080"/>
      </w:pPr>
      <w:rPr>
        <w:rFonts w:hint="default"/>
      </w:rPr>
    </w:lvl>
    <w:lvl w:ilvl="4">
      <w:start w:val="1"/>
      <w:numFmt w:val="decimal"/>
      <w:lvlText w:val="%1.%2.%3.%4.%5"/>
      <w:lvlJc w:val="left"/>
      <w:pPr>
        <w:ind w:left="6468" w:hanging="1440"/>
      </w:pPr>
      <w:rPr>
        <w:rFonts w:hint="default"/>
      </w:rPr>
    </w:lvl>
    <w:lvl w:ilvl="5">
      <w:start w:val="1"/>
      <w:numFmt w:val="decimal"/>
      <w:lvlText w:val="%1.%2.%3.%4.%5.%6"/>
      <w:lvlJc w:val="left"/>
      <w:pPr>
        <w:ind w:left="7548"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428" w:hanging="2160"/>
      </w:pPr>
      <w:rPr>
        <w:rFonts w:hint="default"/>
      </w:rPr>
    </w:lvl>
    <w:lvl w:ilvl="8">
      <w:start w:val="1"/>
      <w:numFmt w:val="decimal"/>
      <w:lvlText w:val="%1.%2.%3.%4.%5.%6.%7.%8.%9"/>
      <w:lvlJc w:val="left"/>
      <w:pPr>
        <w:ind w:left="11508" w:hanging="2160"/>
      </w:pPr>
      <w:rPr>
        <w:rFonts w:hint="default"/>
      </w:rPr>
    </w:lvl>
  </w:abstractNum>
  <w:abstractNum w:abstractNumId="25"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95D16B5"/>
    <w:multiLevelType w:val="hybridMultilevel"/>
    <w:tmpl w:val="BCD2631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A13A31"/>
    <w:multiLevelType w:val="multilevel"/>
    <w:tmpl w:val="39EEC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8E45C4"/>
    <w:multiLevelType w:val="multilevel"/>
    <w:tmpl w:val="6FDE0992"/>
    <w:lvl w:ilvl="0">
      <w:start w:val="2"/>
      <w:numFmt w:val="decimal"/>
      <w:lvlText w:val="%1"/>
      <w:lvlJc w:val="left"/>
      <w:pPr>
        <w:ind w:left="360" w:hanging="36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30" w15:restartNumberingAfterBreak="0">
    <w:nsid w:val="659E1DD0"/>
    <w:multiLevelType w:val="multilevel"/>
    <w:tmpl w:val="BD88B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DB4347"/>
    <w:multiLevelType w:val="hybridMultilevel"/>
    <w:tmpl w:val="7626011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E480E7E"/>
    <w:multiLevelType w:val="multilevel"/>
    <w:tmpl w:val="B21C800A"/>
    <w:lvl w:ilvl="0">
      <w:start w:val="1"/>
      <w:numFmt w:val="bullet"/>
      <w:lvlText w:val=""/>
      <w:lvlJc w:val="left"/>
      <w:pPr>
        <w:tabs>
          <w:tab w:val="num" w:pos="720"/>
        </w:tabs>
        <w:ind w:left="720" w:hanging="360"/>
      </w:pPr>
      <w:rPr>
        <w:rFonts w:ascii="Symbol" w:hAnsi="Symbol" w:hint="default"/>
        <w:sz w:val="20"/>
      </w:rPr>
    </w:lvl>
    <w:lvl w:ilvl="1">
      <w:start w:val="40"/>
      <w:numFmt w:val="bullet"/>
      <w:lvlText w:val="-"/>
      <w:lvlJc w:val="left"/>
      <w:pPr>
        <w:ind w:left="1440" w:hanging="360"/>
      </w:pPr>
      <w:rPr>
        <w:rFonts w:ascii="Arial" w:eastAsia="Calibri"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4901C6"/>
    <w:multiLevelType w:val="hybridMultilevel"/>
    <w:tmpl w:val="82D21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A8459C0"/>
    <w:multiLevelType w:val="multilevel"/>
    <w:tmpl w:val="BE1A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8F0165"/>
    <w:multiLevelType w:val="hybridMultilevel"/>
    <w:tmpl w:val="1750A40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DE75793"/>
    <w:multiLevelType w:val="hybridMultilevel"/>
    <w:tmpl w:val="C4940AB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EE85836"/>
    <w:multiLevelType w:val="multilevel"/>
    <w:tmpl w:val="B1126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043321">
    <w:abstractNumId w:val="10"/>
  </w:num>
  <w:num w:numId="2" w16cid:durableId="1176194741">
    <w:abstractNumId w:val="27"/>
  </w:num>
  <w:num w:numId="3" w16cid:durableId="1100371679">
    <w:abstractNumId w:val="4"/>
  </w:num>
  <w:num w:numId="4" w16cid:durableId="631909020">
    <w:abstractNumId w:val="2"/>
  </w:num>
  <w:num w:numId="5" w16cid:durableId="86312178">
    <w:abstractNumId w:val="25"/>
  </w:num>
  <w:num w:numId="6" w16cid:durableId="1929193516">
    <w:abstractNumId w:val="7"/>
  </w:num>
  <w:num w:numId="7" w16cid:durableId="824392916">
    <w:abstractNumId w:val="14"/>
  </w:num>
  <w:num w:numId="8" w16cid:durableId="48650080">
    <w:abstractNumId w:val="4"/>
    <w:lvlOverride w:ilvl="0">
      <w:startOverride w:val="1"/>
    </w:lvlOverride>
  </w:num>
  <w:num w:numId="9" w16cid:durableId="456534952">
    <w:abstractNumId w:val="3"/>
  </w:num>
  <w:num w:numId="10" w16cid:durableId="63526095">
    <w:abstractNumId w:val="33"/>
  </w:num>
  <w:num w:numId="11" w16cid:durableId="1556158772">
    <w:abstractNumId w:val="8"/>
  </w:num>
  <w:num w:numId="12" w16cid:durableId="1213496681">
    <w:abstractNumId w:val="35"/>
  </w:num>
  <w:num w:numId="13" w16cid:durableId="1392121756">
    <w:abstractNumId w:val="26"/>
  </w:num>
  <w:num w:numId="14" w16cid:durableId="635918583">
    <w:abstractNumId w:val="11"/>
  </w:num>
  <w:num w:numId="15" w16cid:durableId="1702852697">
    <w:abstractNumId w:val="34"/>
  </w:num>
  <w:num w:numId="16" w16cid:durableId="240410811">
    <w:abstractNumId w:val="22"/>
  </w:num>
  <w:num w:numId="17" w16cid:durableId="1846166452">
    <w:abstractNumId w:val="28"/>
  </w:num>
  <w:num w:numId="18" w16cid:durableId="566495533">
    <w:abstractNumId w:val="30"/>
  </w:num>
  <w:num w:numId="19" w16cid:durableId="1976904914">
    <w:abstractNumId w:val="32"/>
  </w:num>
  <w:num w:numId="20" w16cid:durableId="864714738">
    <w:abstractNumId w:val="9"/>
  </w:num>
  <w:num w:numId="21" w16cid:durableId="440683876">
    <w:abstractNumId w:val="5"/>
  </w:num>
  <w:num w:numId="22" w16cid:durableId="285041067">
    <w:abstractNumId w:val="21"/>
  </w:num>
  <w:num w:numId="23" w16cid:durableId="1644773363">
    <w:abstractNumId w:val="12"/>
  </w:num>
  <w:num w:numId="24" w16cid:durableId="622734283">
    <w:abstractNumId w:val="37"/>
  </w:num>
  <w:num w:numId="25" w16cid:durableId="184907241">
    <w:abstractNumId w:val="13"/>
  </w:num>
  <w:num w:numId="26" w16cid:durableId="776867984">
    <w:abstractNumId w:val="32"/>
  </w:num>
  <w:num w:numId="27" w16cid:durableId="507403211">
    <w:abstractNumId w:val="19"/>
  </w:num>
  <w:num w:numId="28" w16cid:durableId="1104837289">
    <w:abstractNumId w:val="15"/>
  </w:num>
  <w:num w:numId="29" w16cid:durableId="196813944">
    <w:abstractNumId w:val="1"/>
  </w:num>
  <w:num w:numId="30" w16cid:durableId="1864707816">
    <w:abstractNumId w:val="23"/>
  </w:num>
  <w:num w:numId="31" w16cid:durableId="450905648">
    <w:abstractNumId w:val="18"/>
  </w:num>
  <w:num w:numId="32" w16cid:durableId="1238899678">
    <w:abstractNumId w:val="0"/>
  </w:num>
  <w:num w:numId="33" w16cid:durableId="1482236249">
    <w:abstractNumId w:val="6"/>
  </w:num>
  <w:num w:numId="34" w16cid:durableId="16058393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1165502">
    <w:abstractNumId w:val="16"/>
  </w:num>
  <w:num w:numId="36" w16cid:durableId="1466924184">
    <w:abstractNumId w:val="17"/>
  </w:num>
  <w:num w:numId="37" w16cid:durableId="1361510655">
    <w:abstractNumId w:val="24"/>
  </w:num>
  <w:num w:numId="38" w16cid:durableId="987050995">
    <w:abstractNumId w:val="29"/>
  </w:num>
  <w:num w:numId="39" w16cid:durableId="715079652">
    <w:abstractNumId w:val="20"/>
  </w:num>
  <w:num w:numId="40" w16cid:durableId="1231505442">
    <w:abstractNumId w:val="36"/>
  </w:num>
  <w:num w:numId="41" w16cid:durableId="17579453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7C0D"/>
    <w:rsid w:val="00010733"/>
    <w:rsid w:val="00034039"/>
    <w:rsid w:val="000373B2"/>
    <w:rsid w:val="00042CF5"/>
    <w:rsid w:val="00044881"/>
    <w:rsid w:val="00044EA0"/>
    <w:rsid w:val="0004623D"/>
    <w:rsid w:val="00053332"/>
    <w:rsid w:val="00060CA0"/>
    <w:rsid w:val="00063A26"/>
    <w:rsid w:val="00067EF8"/>
    <w:rsid w:val="000764B8"/>
    <w:rsid w:val="0008468B"/>
    <w:rsid w:val="00091854"/>
    <w:rsid w:val="00094A39"/>
    <w:rsid w:val="000A1C5B"/>
    <w:rsid w:val="000A468A"/>
    <w:rsid w:val="000B003A"/>
    <w:rsid w:val="000B0FBD"/>
    <w:rsid w:val="000B2248"/>
    <w:rsid w:val="000C5565"/>
    <w:rsid w:val="000C5B5D"/>
    <w:rsid w:val="000F4728"/>
    <w:rsid w:val="001008CE"/>
    <w:rsid w:val="00106D3A"/>
    <w:rsid w:val="00107D9D"/>
    <w:rsid w:val="001230C6"/>
    <w:rsid w:val="001348F9"/>
    <w:rsid w:val="00142168"/>
    <w:rsid w:val="001426C5"/>
    <w:rsid w:val="00160093"/>
    <w:rsid w:val="00170975"/>
    <w:rsid w:val="0018252D"/>
    <w:rsid w:val="00192D7D"/>
    <w:rsid w:val="00192E92"/>
    <w:rsid w:val="0019700C"/>
    <w:rsid w:val="001A3F64"/>
    <w:rsid w:val="001A56F1"/>
    <w:rsid w:val="001B0E0E"/>
    <w:rsid w:val="001B3465"/>
    <w:rsid w:val="001B4738"/>
    <w:rsid w:val="001C6E05"/>
    <w:rsid w:val="001C7674"/>
    <w:rsid w:val="001C76E9"/>
    <w:rsid w:val="001D68C3"/>
    <w:rsid w:val="001E2C90"/>
    <w:rsid w:val="001F1D18"/>
    <w:rsid w:val="001F4792"/>
    <w:rsid w:val="001F526D"/>
    <w:rsid w:val="00212CDB"/>
    <w:rsid w:val="00223B4A"/>
    <w:rsid w:val="00231929"/>
    <w:rsid w:val="00233FE5"/>
    <w:rsid w:val="00263B60"/>
    <w:rsid w:val="00283F72"/>
    <w:rsid w:val="002844BC"/>
    <w:rsid w:val="00285732"/>
    <w:rsid w:val="002A0933"/>
    <w:rsid w:val="002A096E"/>
    <w:rsid w:val="002A0B29"/>
    <w:rsid w:val="002C0A65"/>
    <w:rsid w:val="002C1DFC"/>
    <w:rsid w:val="002C56ED"/>
    <w:rsid w:val="002D4404"/>
    <w:rsid w:val="002E69EF"/>
    <w:rsid w:val="002F1700"/>
    <w:rsid w:val="002F200D"/>
    <w:rsid w:val="002F418A"/>
    <w:rsid w:val="002F6864"/>
    <w:rsid w:val="00311C03"/>
    <w:rsid w:val="00317476"/>
    <w:rsid w:val="00332B73"/>
    <w:rsid w:val="00356E5D"/>
    <w:rsid w:val="003604B9"/>
    <w:rsid w:val="0036454C"/>
    <w:rsid w:val="0036468B"/>
    <w:rsid w:val="003772FB"/>
    <w:rsid w:val="00377647"/>
    <w:rsid w:val="00391152"/>
    <w:rsid w:val="00393189"/>
    <w:rsid w:val="003A2FD2"/>
    <w:rsid w:val="003A45D5"/>
    <w:rsid w:val="003B3728"/>
    <w:rsid w:val="003C0E7D"/>
    <w:rsid w:val="003C2538"/>
    <w:rsid w:val="003C6269"/>
    <w:rsid w:val="003D00D4"/>
    <w:rsid w:val="003D485F"/>
    <w:rsid w:val="003D5328"/>
    <w:rsid w:val="003E3B90"/>
    <w:rsid w:val="003F2E00"/>
    <w:rsid w:val="0041278C"/>
    <w:rsid w:val="00417683"/>
    <w:rsid w:val="00426673"/>
    <w:rsid w:val="00441908"/>
    <w:rsid w:val="00447BA4"/>
    <w:rsid w:val="00450710"/>
    <w:rsid w:val="004607F7"/>
    <w:rsid w:val="0046236C"/>
    <w:rsid w:val="0046340E"/>
    <w:rsid w:val="0046436C"/>
    <w:rsid w:val="0046733F"/>
    <w:rsid w:val="00471283"/>
    <w:rsid w:val="004802EC"/>
    <w:rsid w:val="00481714"/>
    <w:rsid w:val="004844F5"/>
    <w:rsid w:val="0049188F"/>
    <w:rsid w:val="004A2C7D"/>
    <w:rsid w:val="004A6245"/>
    <w:rsid w:val="004A6589"/>
    <w:rsid w:val="004B0CE3"/>
    <w:rsid w:val="004B16E5"/>
    <w:rsid w:val="004B2244"/>
    <w:rsid w:val="004B5413"/>
    <w:rsid w:val="004B70AF"/>
    <w:rsid w:val="004C0F7C"/>
    <w:rsid w:val="004C142A"/>
    <w:rsid w:val="004C4BCA"/>
    <w:rsid w:val="004D36B8"/>
    <w:rsid w:val="004D38E3"/>
    <w:rsid w:val="004E03AF"/>
    <w:rsid w:val="004E4ED4"/>
    <w:rsid w:val="004F5163"/>
    <w:rsid w:val="004F5C4B"/>
    <w:rsid w:val="00503F75"/>
    <w:rsid w:val="00512963"/>
    <w:rsid w:val="005177D7"/>
    <w:rsid w:val="00517FAD"/>
    <w:rsid w:val="0053773D"/>
    <w:rsid w:val="00544643"/>
    <w:rsid w:val="00545C19"/>
    <w:rsid w:val="00562061"/>
    <w:rsid w:val="00563070"/>
    <w:rsid w:val="0057223F"/>
    <w:rsid w:val="00574850"/>
    <w:rsid w:val="005765B3"/>
    <w:rsid w:val="0058278C"/>
    <w:rsid w:val="00595D7D"/>
    <w:rsid w:val="005A0A2D"/>
    <w:rsid w:val="005C7149"/>
    <w:rsid w:val="005D0C73"/>
    <w:rsid w:val="005D1AA4"/>
    <w:rsid w:val="005F5357"/>
    <w:rsid w:val="006020C8"/>
    <w:rsid w:val="00607B79"/>
    <w:rsid w:val="00620B90"/>
    <w:rsid w:val="00631F3A"/>
    <w:rsid w:val="006356AF"/>
    <w:rsid w:val="00652314"/>
    <w:rsid w:val="006548BF"/>
    <w:rsid w:val="006576F0"/>
    <w:rsid w:val="006603E8"/>
    <w:rsid w:val="00660504"/>
    <w:rsid w:val="0066140F"/>
    <w:rsid w:val="00662D68"/>
    <w:rsid w:val="006631BA"/>
    <w:rsid w:val="00676757"/>
    <w:rsid w:val="00684AC6"/>
    <w:rsid w:val="0069541B"/>
    <w:rsid w:val="006A04FB"/>
    <w:rsid w:val="006B7BD8"/>
    <w:rsid w:val="006C59F0"/>
    <w:rsid w:val="006C6360"/>
    <w:rsid w:val="006E2CEC"/>
    <w:rsid w:val="006E2D84"/>
    <w:rsid w:val="006E2D9E"/>
    <w:rsid w:val="006E4C36"/>
    <w:rsid w:val="006F6561"/>
    <w:rsid w:val="00706219"/>
    <w:rsid w:val="0071688D"/>
    <w:rsid w:val="007250D1"/>
    <w:rsid w:val="00747523"/>
    <w:rsid w:val="007509B5"/>
    <w:rsid w:val="00762312"/>
    <w:rsid w:val="00766014"/>
    <w:rsid w:val="00767632"/>
    <w:rsid w:val="00777E9D"/>
    <w:rsid w:val="00782050"/>
    <w:rsid w:val="00792184"/>
    <w:rsid w:val="00794C40"/>
    <w:rsid w:val="00795657"/>
    <w:rsid w:val="007A4525"/>
    <w:rsid w:val="007A5324"/>
    <w:rsid w:val="007A5989"/>
    <w:rsid w:val="007B245C"/>
    <w:rsid w:val="007C41E3"/>
    <w:rsid w:val="007C78FC"/>
    <w:rsid w:val="007D17E0"/>
    <w:rsid w:val="007E1B40"/>
    <w:rsid w:val="007F1FE0"/>
    <w:rsid w:val="007F3DC6"/>
    <w:rsid w:val="00803090"/>
    <w:rsid w:val="00816DAC"/>
    <w:rsid w:val="0083290E"/>
    <w:rsid w:val="00832C1F"/>
    <w:rsid w:val="0083389F"/>
    <w:rsid w:val="008421DA"/>
    <w:rsid w:val="00843FF2"/>
    <w:rsid w:val="008453AB"/>
    <w:rsid w:val="00854EEA"/>
    <w:rsid w:val="008551DA"/>
    <w:rsid w:val="0088117C"/>
    <w:rsid w:val="008A07CA"/>
    <w:rsid w:val="008C117C"/>
    <w:rsid w:val="008C1764"/>
    <w:rsid w:val="008C4EF3"/>
    <w:rsid w:val="008D193F"/>
    <w:rsid w:val="008D553D"/>
    <w:rsid w:val="008D6ECC"/>
    <w:rsid w:val="008E3F3D"/>
    <w:rsid w:val="008E7DC9"/>
    <w:rsid w:val="008F173C"/>
    <w:rsid w:val="008F525A"/>
    <w:rsid w:val="008F7BB3"/>
    <w:rsid w:val="00904CCC"/>
    <w:rsid w:val="00912454"/>
    <w:rsid w:val="0092665B"/>
    <w:rsid w:val="00927CB6"/>
    <w:rsid w:val="00944510"/>
    <w:rsid w:val="00947299"/>
    <w:rsid w:val="0095433F"/>
    <w:rsid w:val="00954A13"/>
    <w:rsid w:val="00955BB3"/>
    <w:rsid w:val="00967284"/>
    <w:rsid w:val="0098125E"/>
    <w:rsid w:val="00986EB4"/>
    <w:rsid w:val="009876A2"/>
    <w:rsid w:val="00995F00"/>
    <w:rsid w:val="009A0E48"/>
    <w:rsid w:val="009A38AD"/>
    <w:rsid w:val="009A5BAA"/>
    <w:rsid w:val="009A683E"/>
    <w:rsid w:val="009C4BB8"/>
    <w:rsid w:val="009C632C"/>
    <w:rsid w:val="009D0591"/>
    <w:rsid w:val="009D6F31"/>
    <w:rsid w:val="009E2ACE"/>
    <w:rsid w:val="009E7353"/>
    <w:rsid w:val="009F702D"/>
    <w:rsid w:val="00A148A1"/>
    <w:rsid w:val="00A21494"/>
    <w:rsid w:val="00A24371"/>
    <w:rsid w:val="00A33D1F"/>
    <w:rsid w:val="00A36C09"/>
    <w:rsid w:val="00A37C9F"/>
    <w:rsid w:val="00A56278"/>
    <w:rsid w:val="00A63761"/>
    <w:rsid w:val="00A65E68"/>
    <w:rsid w:val="00A70123"/>
    <w:rsid w:val="00A703B8"/>
    <w:rsid w:val="00A71CB7"/>
    <w:rsid w:val="00A76B07"/>
    <w:rsid w:val="00A81B98"/>
    <w:rsid w:val="00A83378"/>
    <w:rsid w:val="00A90305"/>
    <w:rsid w:val="00A96F08"/>
    <w:rsid w:val="00AA63A3"/>
    <w:rsid w:val="00AB4937"/>
    <w:rsid w:val="00AB4BA8"/>
    <w:rsid w:val="00AB5EB7"/>
    <w:rsid w:val="00AC5AB1"/>
    <w:rsid w:val="00AD0B82"/>
    <w:rsid w:val="00AD4D97"/>
    <w:rsid w:val="00AD7ACB"/>
    <w:rsid w:val="00AE2453"/>
    <w:rsid w:val="00AF183F"/>
    <w:rsid w:val="00AF5151"/>
    <w:rsid w:val="00B059A7"/>
    <w:rsid w:val="00B05DFC"/>
    <w:rsid w:val="00B079E8"/>
    <w:rsid w:val="00B21542"/>
    <w:rsid w:val="00B36EEA"/>
    <w:rsid w:val="00BA1C2D"/>
    <w:rsid w:val="00BA4B55"/>
    <w:rsid w:val="00BB3CF8"/>
    <w:rsid w:val="00BD07F2"/>
    <w:rsid w:val="00BD0DB8"/>
    <w:rsid w:val="00BD5C0C"/>
    <w:rsid w:val="00BE2C8B"/>
    <w:rsid w:val="00BE6425"/>
    <w:rsid w:val="00BF0D69"/>
    <w:rsid w:val="00C1239E"/>
    <w:rsid w:val="00C12C93"/>
    <w:rsid w:val="00C2272F"/>
    <w:rsid w:val="00C325F5"/>
    <w:rsid w:val="00C4168B"/>
    <w:rsid w:val="00C42131"/>
    <w:rsid w:val="00C457E8"/>
    <w:rsid w:val="00C50211"/>
    <w:rsid w:val="00C609B9"/>
    <w:rsid w:val="00C737A0"/>
    <w:rsid w:val="00C75559"/>
    <w:rsid w:val="00C77081"/>
    <w:rsid w:val="00C86AD5"/>
    <w:rsid w:val="00CA4066"/>
    <w:rsid w:val="00CA7968"/>
    <w:rsid w:val="00CC33B6"/>
    <w:rsid w:val="00CE2386"/>
    <w:rsid w:val="00CE7F2B"/>
    <w:rsid w:val="00D04C90"/>
    <w:rsid w:val="00D0565B"/>
    <w:rsid w:val="00D0727A"/>
    <w:rsid w:val="00D12664"/>
    <w:rsid w:val="00D355F5"/>
    <w:rsid w:val="00D5627F"/>
    <w:rsid w:val="00D5628A"/>
    <w:rsid w:val="00D611CC"/>
    <w:rsid w:val="00D6356F"/>
    <w:rsid w:val="00D67EF2"/>
    <w:rsid w:val="00D8654C"/>
    <w:rsid w:val="00DA1031"/>
    <w:rsid w:val="00DA1100"/>
    <w:rsid w:val="00DA4FD1"/>
    <w:rsid w:val="00DB04B3"/>
    <w:rsid w:val="00DB6870"/>
    <w:rsid w:val="00DB7758"/>
    <w:rsid w:val="00DD1EBC"/>
    <w:rsid w:val="00DF44D3"/>
    <w:rsid w:val="00DF48CE"/>
    <w:rsid w:val="00DF6C74"/>
    <w:rsid w:val="00E1355B"/>
    <w:rsid w:val="00E23ABF"/>
    <w:rsid w:val="00E2552A"/>
    <w:rsid w:val="00E323D0"/>
    <w:rsid w:val="00E32408"/>
    <w:rsid w:val="00E33CCE"/>
    <w:rsid w:val="00E61263"/>
    <w:rsid w:val="00E62BAA"/>
    <w:rsid w:val="00E633E1"/>
    <w:rsid w:val="00E70539"/>
    <w:rsid w:val="00E842C8"/>
    <w:rsid w:val="00E845D4"/>
    <w:rsid w:val="00E90BAB"/>
    <w:rsid w:val="00E91529"/>
    <w:rsid w:val="00E94DA0"/>
    <w:rsid w:val="00EB399E"/>
    <w:rsid w:val="00EB49A1"/>
    <w:rsid w:val="00EC182B"/>
    <w:rsid w:val="00EC22CC"/>
    <w:rsid w:val="00ED281A"/>
    <w:rsid w:val="00ED6B69"/>
    <w:rsid w:val="00EE0F54"/>
    <w:rsid w:val="00EE34F4"/>
    <w:rsid w:val="00EF21EE"/>
    <w:rsid w:val="00EF22A4"/>
    <w:rsid w:val="00EF3F01"/>
    <w:rsid w:val="00F0054F"/>
    <w:rsid w:val="00F03068"/>
    <w:rsid w:val="00F1259B"/>
    <w:rsid w:val="00F20173"/>
    <w:rsid w:val="00F368BA"/>
    <w:rsid w:val="00F3706C"/>
    <w:rsid w:val="00F4131A"/>
    <w:rsid w:val="00F42839"/>
    <w:rsid w:val="00F54EA0"/>
    <w:rsid w:val="00F67B89"/>
    <w:rsid w:val="00F70A04"/>
    <w:rsid w:val="00F733CB"/>
    <w:rsid w:val="00F735E0"/>
    <w:rsid w:val="00F75933"/>
    <w:rsid w:val="00F867A3"/>
    <w:rsid w:val="00F96EE9"/>
    <w:rsid w:val="00FA65B5"/>
    <w:rsid w:val="00FB39E4"/>
    <w:rsid w:val="00FB46B9"/>
    <w:rsid w:val="00FB6D8D"/>
    <w:rsid w:val="00FC097A"/>
    <w:rsid w:val="00FD5612"/>
    <w:rsid w:val="00FE25AF"/>
    <w:rsid w:val="00FE285D"/>
    <w:rsid w:val="00FE7D7C"/>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DB7CDC62-19CD-46AB-B8F5-BB1BFDE6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F0054F"/>
    <w:rPr>
      <w:color w:val="0563C1" w:themeColor="hyperlink"/>
      <w:u w:val="single"/>
    </w:rPr>
  </w:style>
  <w:style w:type="character" w:styleId="Mentionnonrsolue">
    <w:name w:val="Unresolved Mention"/>
    <w:basedOn w:val="Policepardfaut"/>
    <w:uiPriority w:val="99"/>
    <w:semiHidden/>
    <w:unhideWhenUsed/>
    <w:rsid w:val="00F0054F"/>
    <w:rPr>
      <w:color w:val="605E5C"/>
      <w:shd w:val="clear" w:color="auto" w:fill="E1DFDD"/>
    </w:rPr>
  </w:style>
  <w:style w:type="paragraph" w:customStyle="1" w:styleId="Default">
    <w:name w:val="Default"/>
    <w:rsid w:val="00C4168B"/>
    <w:pPr>
      <w:autoSpaceDE w:val="0"/>
      <w:autoSpaceDN w:val="0"/>
      <w:adjustRightInd w:val="0"/>
      <w:spacing w:after="0" w:line="240" w:lineRule="auto"/>
    </w:pPr>
    <w:rPr>
      <w:rFonts w:ascii="Verdana" w:hAnsi="Verdana" w:cs="Verdana"/>
      <w:color w:val="000000"/>
      <w:sz w:val="24"/>
      <w:szCs w:val="24"/>
    </w:rPr>
  </w:style>
  <w:style w:type="paragraph" w:styleId="Notedebasdepage">
    <w:name w:val="footnote text"/>
    <w:basedOn w:val="Normal"/>
    <w:link w:val="NotedebasdepageCar"/>
    <w:uiPriority w:val="99"/>
    <w:semiHidden/>
    <w:unhideWhenUsed/>
    <w:rsid w:val="008F52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F525A"/>
    <w:rPr>
      <w:sz w:val="20"/>
      <w:szCs w:val="20"/>
    </w:rPr>
  </w:style>
  <w:style w:type="character" w:styleId="Appelnotedebasdep">
    <w:name w:val="footnote reference"/>
    <w:basedOn w:val="Policepardfaut"/>
    <w:uiPriority w:val="99"/>
    <w:semiHidden/>
    <w:unhideWhenUsed/>
    <w:rsid w:val="008F525A"/>
    <w:rPr>
      <w:vertAlign w:val="superscript"/>
    </w:rPr>
  </w:style>
  <w:style w:type="paragraph" w:styleId="Rvision">
    <w:name w:val="Revision"/>
    <w:hidden/>
    <w:uiPriority w:val="99"/>
    <w:semiHidden/>
    <w:rsid w:val="00AD0B82"/>
    <w:pPr>
      <w:spacing w:after="0" w:line="240" w:lineRule="auto"/>
    </w:pPr>
  </w:style>
  <w:style w:type="paragraph" w:styleId="NormalWeb">
    <w:name w:val="Normal (Web)"/>
    <w:basedOn w:val="Normal"/>
    <w:uiPriority w:val="99"/>
    <w:unhideWhenUsed/>
    <w:rsid w:val="00BD5C0C"/>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BD5C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mpuscoi.itcilo.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iltir.org/inventaire-regional-des-architectures-traditionnell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kiltir.org/actualites/construire-le-cinema-de-lindianoceanie" TargetMode="External"/><Relationship Id="rId4" Type="http://schemas.openxmlformats.org/officeDocument/2006/relationships/webSettings" Target="webSettings.xml"/><Relationship Id="rId9" Type="http://schemas.openxmlformats.org/officeDocument/2006/relationships/hyperlink" Target="https://kiltir.org/actualites/lesport-dans-locean-indien-1r-cartographie-regiona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2159</Words>
  <Characters>11876</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Audibert</dc:creator>
  <cp:keywords/>
  <dc:description/>
  <cp:lastModifiedBy>Gilles RIBOUET</cp:lastModifiedBy>
  <cp:revision>16</cp:revision>
  <dcterms:created xsi:type="dcterms:W3CDTF">2026-04-20T13:19:00Z</dcterms:created>
  <dcterms:modified xsi:type="dcterms:W3CDTF">2026-04-28T04:33:00Z</dcterms:modified>
</cp:coreProperties>
</file>