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16D7AA9D" w:rsidR="00EC22CC" w:rsidRDefault="00A40B8A" w:rsidP="00854EEA">
            <w:pPr>
              <w:jc w:val="center"/>
              <w:rPr>
                <w:rFonts w:ascii="Verdana" w:hAnsi="Verdana"/>
                <w:b/>
                <w:bCs/>
                <w:sz w:val="20"/>
                <w:szCs w:val="20"/>
              </w:rPr>
            </w:pPr>
            <w:r>
              <w:rPr>
                <w:rFonts w:ascii="Verdana" w:hAnsi="Verdana"/>
                <w:b/>
                <w:bCs/>
                <w:sz w:val="20"/>
                <w:szCs w:val="20"/>
              </w:rPr>
              <w:t>La stratégie régionale de recherche et innovation de</w:t>
            </w:r>
            <w:r w:rsidR="00CA627F">
              <w:rPr>
                <w:rFonts w:ascii="Verdana" w:hAnsi="Verdana"/>
                <w:b/>
                <w:bCs/>
                <w:sz w:val="20"/>
                <w:szCs w:val="20"/>
              </w:rPr>
              <w:t>s Etats membres de la Commission de</w:t>
            </w:r>
            <w:r>
              <w:rPr>
                <w:rFonts w:ascii="Verdana" w:hAnsi="Verdana"/>
                <w:b/>
                <w:bCs/>
                <w:sz w:val="20"/>
                <w:szCs w:val="20"/>
              </w:rPr>
              <w:t xml:space="preserve"> l’océan Indien</w:t>
            </w:r>
          </w:p>
        </w:tc>
      </w:tr>
      <w:tr w:rsidR="00EC22CC" w14:paraId="7F1B63D2" w14:textId="77777777" w:rsidTr="002A0933">
        <w:tc>
          <w:tcPr>
            <w:tcW w:w="7225" w:type="dxa"/>
          </w:tcPr>
          <w:p w14:paraId="056D9B10" w14:textId="5641D55F" w:rsidR="00EC22CC" w:rsidRPr="002A096E" w:rsidRDefault="00364B0B" w:rsidP="002A096E">
            <w:pPr>
              <w:rPr>
                <w:rFonts w:ascii="Verdana" w:hAnsi="Verdana"/>
                <w:sz w:val="20"/>
                <w:szCs w:val="20"/>
              </w:rPr>
            </w:pPr>
            <w:r>
              <w:rPr>
                <w:rFonts w:ascii="Verdana" w:hAnsi="Verdana"/>
                <w:sz w:val="20"/>
                <w:szCs w:val="20"/>
              </w:rPr>
              <w:t xml:space="preserve">Comité des OPL 02/2026, Maurice </w:t>
            </w:r>
            <w:r w:rsidR="004014F7">
              <w:rPr>
                <w:rFonts w:ascii="Verdana" w:hAnsi="Verdana"/>
                <w:sz w:val="20"/>
                <w:szCs w:val="20"/>
              </w:rPr>
              <w:t>05-07</w:t>
            </w:r>
            <w:r w:rsidRPr="00E03FD0">
              <w:rPr>
                <w:rFonts w:ascii="Verdana" w:hAnsi="Verdana"/>
                <w:sz w:val="20"/>
                <w:szCs w:val="20"/>
              </w:rPr>
              <w:t xml:space="preserve"> mai 2026 </w:t>
            </w:r>
          </w:p>
        </w:tc>
        <w:tc>
          <w:tcPr>
            <w:tcW w:w="1837" w:type="dxa"/>
          </w:tcPr>
          <w:p w14:paraId="58E25D1F" w14:textId="3C75D8B5" w:rsidR="00EC22CC" w:rsidRPr="002A0933" w:rsidRDefault="00C70085" w:rsidP="00854EEA">
            <w:pPr>
              <w:jc w:val="center"/>
              <w:rPr>
                <w:rFonts w:ascii="Verdana" w:hAnsi="Verdana"/>
                <w:sz w:val="20"/>
                <w:szCs w:val="20"/>
              </w:rPr>
            </w:pPr>
            <w:r>
              <w:rPr>
                <w:rFonts w:ascii="Verdana" w:hAnsi="Verdana"/>
                <w:sz w:val="20"/>
                <w:szCs w:val="20"/>
              </w:rPr>
              <w:t>2.1</w:t>
            </w:r>
            <w:r w:rsidR="00364B0B">
              <w:rPr>
                <w:rFonts w:ascii="Verdana" w:hAnsi="Verdana"/>
                <w:sz w:val="20"/>
                <w:szCs w:val="20"/>
              </w:rPr>
              <w:t>4</w:t>
            </w:r>
          </w:p>
        </w:tc>
      </w:tr>
      <w:tr w:rsidR="00EC22CC" w14:paraId="537D1DE5" w14:textId="77777777" w:rsidTr="002A0933">
        <w:tc>
          <w:tcPr>
            <w:tcW w:w="7225" w:type="dxa"/>
          </w:tcPr>
          <w:p w14:paraId="43DEF09E" w14:textId="4C6860C0"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A40B8A">
              <w:rPr>
                <w:rFonts w:ascii="Verdana" w:hAnsi="Verdana"/>
                <w:sz w:val="20"/>
                <w:szCs w:val="20"/>
              </w:rPr>
              <w:t>Juliette Janin</w:t>
            </w:r>
            <w:r w:rsidR="0018252D" w:rsidRPr="006B416E">
              <w:rPr>
                <w:rFonts w:ascii="Verdana" w:hAnsi="Verdana"/>
                <w:sz w:val="20"/>
                <w:szCs w:val="20"/>
              </w:rPr>
              <w:t xml:space="preserve">, </w:t>
            </w:r>
            <w:r w:rsidR="006B416E" w:rsidRPr="006B416E">
              <w:rPr>
                <w:rFonts w:ascii="Verdana" w:hAnsi="Verdana"/>
                <w:sz w:val="20"/>
                <w:szCs w:val="20"/>
              </w:rPr>
              <w:t>chargé</w:t>
            </w:r>
            <w:r w:rsidR="00A40B8A">
              <w:rPr>
                <w:rFonts w:ascii="Verdana" w:hAnsi="Verdana"/>
                <w:sz w:val="20"/>
                <w:szCs w:val="20"/>
              </w:rPr>
              <w:t>e</w:t>
            </w:r>
            <w:r w:rsidR="006B416E" w:rsidRPr="006B416E">
              <w:rPr>
                <w:rFonts w:ascii="Verdana" w:hAnsi="Verdana"/>
                <w:sz w:val="20"/>
                <w:szCs w:val="20"/>
              </w:rPr>
              <w:t xml:space="preserve"> de mission</w:t>
            </w:r>
          </w:p>
        </w:tc>
        <w:tc>
          <w:tcPr>
            <w:tcW w:w="1837"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5CF89D97" w:rsidR="00A90305" w:rsidRDefault="00A90305" w:rsidP="00A90305">
            <w:pPr>
              <w:rPr>
                <w:rFonts w:ascii="Verdana" w:hAnsi="Verdana"/>
                <w:sz w:val="20"/>
                <w:szCs w:val="20"/>
              </w:rPr>
            </w:pPr>
            <w:r>
              <w:rPr>
                <w:rFonts w:ascii="Verdana" w:hAnsi="Verdana"/>
                <w:i/>
                <w:iCs/>
                <w:sz w:val="20"/>
                <w:szCs w:val="20"/>
              </w:rPr>
              <w:t xml:space="preserve">Version du </w:t>
            </w:r>
            <w:r w:rsidR="00364B0B">
              <w:rPr>
                <w:rFonts w:ascii="Verdana" w:hAnsi="Verdana"/>
                <w:i/>
                <w:iCs/>
                <w:sz w:val="20"/>
                <w:szCs w:val="20"/>
              </w:rPr>
              <w:t>21/04/2026</w:t>
            </w:r>
            <w:r>
              <w:rPr>
                <w:rFonts w:ascii="Verdana" w:hAnsi="Verdana"/>
                <w:i/>
                <w:iCs/>
                <w:sz w:val="20"/>
                <w:szCs w:val="20"/>
              </w:rPr>
              <w:t xml:space="preserve">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23BEE9A0" w14:textId="2F8A885C" w:rsidR="00037CB9" w:rsidRPr="00037CB9" w:rsidRDefault="00037CB9" w:rsidP="00037CB9">
      <w:pPr>
        <w:pStyle w:val="Titrepartie"/>
        <w:numPr>
          <w:ilvl w:val="0"/>
          <w:numId w:val="0"/>
        </w:numPr>
        <w:rPr>
          <w:b w:val="0"/>
          <w:bCs w:val="0"/>
          <w:color w:val="auto"/>
          <w:sz w:val="20"/>
        </w:rPr>
      </w:pPr>
      <w:r w:rsidRPr="00037CB9">
        <w:rPr>
          <w:b w:val="0"/>
          <w:bCs w:val="0"/>
          <w:color w:val="auto"/>
          <w:sz w:val="20"/>
        </w:rPr>
        <w:t>Dans le cadre de l’élaboration de sa stratégie régionale de recherche et innovation (RI) de</w:t>
      </w:r>
      <w:r w:rsidR="00CA627F">
        <w:rPr>
          <w:b w:val="0"/>
          <w:bCs w:val="0"/>
          <w:color w:val="auto"/>
          <w:sz w:val="20"/>
        </w:rPr>
        <w:t>s Etats membres de la Commission de</w:t>
      </w:r>
      <w:r w:rsidRPr="00037CB9">
        <w:rPr>
          <w:b w:val="0"/>
          <w:bCs w:val="0"/>
          <w:color w:val="auto"/>
          <w:sz w:val="20"/>
        </w:rPr>
        <w:t xml:space="preserve"> l’océan Indien, la COI a formulé le 5 mai 2023 à l'Organisation des États d'Afrique, des Caraïbes et du Pacifique (OEACP) une manifestation d'intérêt pour bénéficier du mécanisme de soutien à la politique (PSF) de RI de l’OEACP.  Cette dernière y a répondu favorablement le 20 juin 2023.  Cette assistance de l’OEACP s</w:t>
      </w:r>
      <w:r>
        <w:rPr>
          <w:b w:val="0"/>
          <w:bCs w:val="0"/>
          <w:color w:val="auto"/>
          <w:sz w:val="20"/>
        </w:rPr>
        <w:t>’est t</w:t>
      </w:r>
      <w:r w:rsidRPr="00037CB9">
        <w:rPr>
          <w:b w:val="0"/>
          <w:bCs w:val="0"/>
          <w:color w:val="auto"/>
          <w:sz w:val="20"/>
        </w:rPr>
        <w:t>radui</w:t>
      </w:r>
      <w:r>
        <w:rPr>
          <w:b w:val="0"/>
          <w:bCs w:val="0"/>
          <w:color w:val="auto"/>
          <w:sz w:val="20"/>
        </w:rPr>
        <w:t>te</w:t>
      </w:r>
      <w:r w:rsidRPr="00037CB9">
        <w:rPr>
          <w:b w:val="0"/>
          <w:bCs w:val="0"/>
          <w:color w:val="auto"/>
          <w:sz w:val="20"/>
        </w:rPr>
        <w:t xml:space="preserve"> par la mobilisation d’un groupe d’experts identifiés et validés par la COI, qui apportera une assistance technique à la COI dans la formulation d’une stratégie régionale de recherche et d'innovation. Des comités consultatifs nationaux recherche-innovation et des points focaux nationaux </w:t>
      </w:r>
      <w:r>
        <w:rPr>
          <w:b w:val="0"/>
          <w:bCs w:val="0"/>
          <w:color w:val="auto"/>
          <w:sz w:val="20"/>
        </w:rPr>
        <w:t>ont été</w:t>
      </w:r>
      <w:r w:rsidRPr="00037CB9">
        <w:rPr>
          <w:b w:val="0"/>
          <w:bCs w:val="0"/>
          <w:color w:val="auto"/>
          <w:sz w:val="20"/>
        </w:rPr>
        <w:t xml:space="preserve"> nommés. Ces comités </w:t>
      </w:r>
      <w:r>
        <w:rPr>
          <w:b w:val="0"/>
          <w:bCs w:val="0"/>
          <w:color w:val="auto"/>
          <w:sz w:val="20"/>
        </w:rPr>
        <w:t>ont été</w:t>
      </w:r>
      <w:r w:rsidRPr="00037CB9">
        <w:rPr>
          <w:b w:val="0"/>
          <w:bCs w:val="0"/>
          <w:color w:val="auto"/>
          <w:sz w:val="20"/>
        </w:rPr>
        <w:t xml:space="preserve"> les interlocuteurs de l’équipe d’experts de l’OEACP.</w:t>
      </w:r>
      <w:r>
        <w:rPr>
          <w:b w:val="0"/>
          <w:bCs w:val="0"/>
          <w:color w:val="auto"/>
          <w:sz w:val="20"/>
        </w:rPr>
        <w:t xml:space="preserve"> </w:t>
      </w:r>
      <w:r w:rsidR="00364B0B">
        <w:rPr>
          <w:b w:val="0"/>
          <w:bCs w:val="0"/>
          <w:color w:val="auto"/>
          <w:sz w:val="20"/>
        </w:rPr>
        <w:t xml:space="preserve">Le COPL n°02/2025 a demandé au Secrétaire général de finaliser le document en vue de l’approbation du Conseil des </w:t>
      </w:r>
      <w:r w:rsidR="004014F7">
        <w:rPr>
          <w:b w:val="0"/>
          <w:bCs w:val="0"/>
          <w:color w:val="auto"/>
          <w:sz w:val="20"/>
        </w:rPr>
        <w:t>m</w:t>
      </w:r>
      <w:r w:rsidR="00364B0B">
        <w:rPr>
          <w:b w:val="0"/>
          <w:bCs w:val="0"/>
          <w:color w:val="auto"/>
          <w:sz w:val="20"/>
        </w:rPr>
        <w:t>inistres.</w:t>
      </w:r>
    </w:p>
    <w:p w14:paraId="420F9E6B" w14:textId="77777777" w:rsidR="00336EBC" w:rsidRPr="00A40B8A" w:rsidRDefault="00336EBC" w:rsidP="00A40B8A">
      <w:pPr>
        <w:spacing w:after="120"/>
        <w:jc w:val="both"/>
        <w:rPr>
          <w:rFonts w:ascii="Verdana" w:hAnsi="Verdana" w:cs="Calibri"/>
          <w:sz w:val="20"/>
          <w:szCs w:val="20"/>
        </w:rPr>
      </w:pPr>
    </w:p>
    <w:p w14:paraId="68009DDB" w14:textId="6AAD4F76" w:rsidR="0008468B" w:rsidRDefault="00955BB3" w:rsidP="00B11F5E">
      <w:pPr>
        <w:pStyle w:val="Titrepartie"/>
      </w:pPr>
      <w:r w:rsidRPr="0008468B">
        <w:t>Etat d’avancement</w:t>
      </w:r>
    </w:p>
    <w:p w14:paraId="6813F297" w14:textId="77777777" w:rsidR="00CA627F" w:rsidRPr="00CA627F" w:rsidRDefault="00CA627F" w:rsidP="00CA627F">
      <w:pPr>
        <w:pStyle w:val="Titrepartie"/>
        <w:numPr>
          <w:ilvl w:val="0"/>
          <w:numId w:val="0"/>
        </w:numPr>
        <w:rPr>
          <w:b w:val="0"/>
          <w:bCs w:val="0"/>
          <w:color w:val="auto"/>
          <w:sz w:val="20"/>
        </w:rPr>
      </w:pPr>
      <w:r w:rsidRPr="00CA627F">
        <w:rPr>
          <w:b w:val="0"/>
          <w:bCs w:val="0"/>
          <w:color w:val="auto"/>
          <w:sz w:val="20"/>
        </w:rPr>
        <w:t>Dans le cadre du renforcement de la coopération régionale en matière de recherche et innovation, la Commission de l’Océan Indien (COI) a sollicité, en mai 2023, l’appui du Secrétariat de l’OEACP via le mécanisme de soutien aux politiques (MSP) pour l’élaboration d’une Stratégie Régionale de Recherche et d’Innovation (SRRI). Cette initiative a mobilisé une expertise internationale ainsi que des pairs issus des pays OEACP et de l’Union européenne, afin d’apporter un appui technique et formuler des recommandations concrètes adaptées au contexte régional. Le Secrétariat général a contribué au cofinancement du projet à hauteur de 9 %, dans une perspective alignée sur l’horizon 2030.</w:t>
      </w:r>
    </w:p>
    <w:p w14:paraId="604E6DAF" w14:textId="77777777" w:rsidR="00CA627F" w:rsidRPr="00CA627F" w:rsidRDefault="00CA627F" w:rsidP="00CA627F">
      <w:pPr>
        <w:pStyle w:val="Titrepartie"/>
        <w:numPr>
          <w:ilvl w:val="0"/>
          <w:numId w:val="0"/>
        </w:numPr>
        <w:rPr>
          <w:b w:val="0"/>
          <w:bCs w:val="0"/>
          <w:color w:val="auto"/>
          <w:sz w:val="20"/>
        </w:rPr>
      </w:pPr>
    </w:p>
    <w:p w14:paraId="3BD2C2D1" w14:textId="64246BAB" w:rsidR="00CA627F" w:rsidRPr="00CA627F" w:rsidRDefault="00CA627F" w:rsidP="00CA627F">
      <w:pPr>
        <w:pStyle w:val="Titrepartie"/>
        <w:numPr>
          <w:ilvl w:val="0"/>
          <w:numId w:val="0"/>
        </w:numPr>
        <w:rPr>
          <w:b w:val="0"/>
          <w:bCs w:val="0"/>
          <w:color w:val="auto"/>
          <w:sz w:val="20"/>
        </w:rPr>
      </w:pPr>
      <w:r w:rsidRPr="00CA627F">
        <w:rPr>
          <w:b w:val="0"/>
          <w:bCs w:val="0"/>
          <w:color w:val="auto"/>
          <w:sz w:val="20"/>
        </w:rPr>
        <w:t>Afin de garantir l’alignement de la stratégie avec les priorités nationales, un comité consultatif régional réunissant les États membres (Comores, Seychelles, Maurice, La Réunion et Madagascar) a été mis en place. Lancé officiellement en février 2024, le processus d’élaboration s’est structuré autour de trois phases : planification, consultations de terrain et rédaction, puis finalisation.</w:t>
      </w:r>
      <w:r>
        <w:rPr>
          <w:b w:val="0"/>
          <w:bCs w:val="0"/>
          <w:color w:val="auto"/>
          <w:sz w:val="20"/>
        </w:rPr>
        <w:t xml:space="preserve"> </w:t>
      </w:r>
    </w:p>
    <w:p w14:paraId="1F88A983" w14:textId="77777777" w:rsidR="00CA627F" w:rsidRPr="00CA627F" w:rsidRDefault="00CA627F" w:rsidP="00CA627F">
      <w:pPr>
        <w:pStyle w:val="Titrepartie"/>
        <w:numPr>
          <w:ilvl w:val="0"/>
          <w:numId w:val="0"/>
        </w:numPr>
        <w:rPr>
          <w:b w:val="0"/>
          <w:bCs w:val="0"/>
          <w:color w:val="auto"/>
          <w:sz w:val="20"/>
        </w:rPr>
      </w:pPr>
    </w:p>
    <w:p w14:paraId="58DBDB68" w14:textId="77777777" w:rsidR="00CA627F" w:rsidRPr="00CA627F" w:rsidRDefault="00CA627F" w:rsidP="00CA627F">
      <w:pPr>
        <w:pStyle w:val="Titrepartie"/>
        <w:numPr>
          <w:ilvl w:val="0"/>
          <w:numId w:val="0"/>
        </w:numPr>
        <w:rPr>
          <w:b w:val="0"/>
          <w:bCs w:val="0"/>
          <w:color w:val="auto"/>
          <w:sz w:val="20"/>
        </w:rPr>
      </w:pPr>
      <w:r w:rsidRPr="00CA627F">
        <w:rPr>
          <w:b w:val="0"/>
          <w:bCs w:val="0"/>
          <w:color w:val="auto"/>
          <w:sz w:val="20"/>
        </w:rPr>
        <w:t>Ce processus participatif s’est appuyé sur des consultations élargies des parties prenantes, incluant le secteur privé, ainsi que sur quatre ateliers de renforcement de capacités et de co-construction avec le comité consultatif. Il a abouti à la production d’un rapport d’état des lieux des systèmes d’enseignement supérieur, de recherche et d’innovation, ainsi qu’à un projet de stratégie régionale.</w:t>
      </w:r>
    </w:p>
    <w:p w14:paraId="057D164D" w14:textId="77777777" w:rsidR="00CA627F" w:rsidRPr="00CA627F" w:rsidRDefault="00CA627F" w:rsidP="00CA627F">
      <w:pPr>
        <w:pStyle w:val="Titrepartie"/>
        <w:numPr>
          <w:ilvl w:val="0"/>
          <w:numId w:val="0"/>
        </w:numPr>
        <w:rPr>
          <w:b w:val="0"/>
          <w:bCs w:val="0"/>
          <w:color w:val="auto"/>
          <w:sz w:val="20"/>
        </w:rPr>
      </w:pPr>
    </w:p>
    <w:p w14:paraId="2ACD4291" w14:textId="250432C1" w:rsidR="00CA627F" w:rsidRPr="00CA627F" w:rsidRDefault="00CA627F" w:rsidP="00CA627F">
      <w:pPr>
        <w:pStyle w:val="Titrepartie"/>
        <w:numPr>
          <w:ilvl w:val="0"/>
          <w:numId w:val="0"/>
        </w:numPr>
        <w:rPr>
          <w:b w:val="0"/>
          <w:bCs w:val="0"/>
          <w:color w:val="auto"/>
          <w:sz w:val="20"/>
        </w:rPr>
      </w:pPr>
      <w:r w:rsidRPr="00CA627F">
        <w:rPr>
          <w:b w:val="0"/>
          <w:bCs w:val="0"/>
          <w:color w:val="auto"/>
          <w:sz w:val="20"/>
        </w:rPr>
        <w:t>Le projet de SRRI a été examiné lors d’un atelier régional tenu à Maurice les 14 et 15 novembre 2025, puis affiné sur la base des contributions des États membres. Une réunion finale de validation technique s’est tenue en ligne le 14 février 2025, suivie de la transmission officielle du document aux États membres le 24 février 2025 pour observations. Une version consolidée a ensuite été soumise pour validation finale le 17 juillet 2025.</w:t>
      </w:r>
      <w:r>
        <w:rPr>
          <w:b w:val="0"/>
          <w:bCs w:val="0"/>
          <w:color w:val="auto"/>
          <w:sz w:val="20"/>
        </w:rPr>
        <w:t xml:space="preserve"> Le document a été recirculé aux Etats membres à l’issue du COPL n°02/2025 pour intégration des dernières versions. Cette version est soumise pour approbation. </w:t>
      </w:r>
    </w:p>
    <w:p w14:paraId="1F7F902A" w14:textId="77777777" w:rsidR="00CA627F" w:rsidRPr="00CA627F" w:rsidRDefault="00CA627F" w:rsidP="00CA627F">
      <w:pPr>
        <w:pStyle w:val="Titrepartie"/>
        <w:numPr>
          <w:ilvl w:val="0"/>
          <w:numId w:val="0"/>
        </w:numPr>
        <w:rPr>
          <w:b w:val="0"/>
          <w:bCs w:val="0"/>
          <w:color w:val="auto"/>
          <w:sz w:val="20"/>
        </w:rPr>
      </w:pPr>
    </w:p>
    <w:p w14:paraId="7A313C37" w14:textId="77777777" w:rsidR="00CA627F" w:rsidRPr="00CA627F" w:rsidRDefault="00CA627F" w:rsidP="00CA627F">
      <w:pPr>
        <w:pStyle w:val="Titrepartie"/>
        <w:numPr>
          <w:ilvl w:val="0"/>
          <w:numId w:val="0"/>
        </w:numPr>
        <w:rPr>
          <w:b w:val="0"/>
          <w:bCs w:val="0"/>
          <w:color w:val="auto"/>
          <w:sz w:val="20"/>
        </w:rPr>
      </w:pPr>
      <w:r w:rsidRPr="00CA627F">
        <w:rPr>
          <w:b w:val="0"/>
          <w:bCs w:val="0"/>
          <w:color w:val="auto"/>
          <w:sz w:val="20"/>
        </w:rPr>
        <w:t xml:space="preserve">La SRRI proposée constitue un cadre stratégique structurant, tenant compte des spécificités et des défis de la région. Elle vise à orienter les actions de coopération régionale </w:t>
      </w:r>
      <w:r w:rsidRPr="00CA627F">
        <w:rPr>
          <w:b w:val="0"/>
          <w:bCs w:val="0"/>
          <w:color w:val="auto"/>
          <w:sz w:val="20"/>
        </w:rPr>
        <w:lastRenderedPageBreak/>
        <w:t>en matière de recherche et innovation, tout en assurant une cohérence étroite avec les politiques nationales des États membres.</w:t>
      </w:r>
    </w:p>
    <w:p w14:paraId="2FB5E988" w14:textId="7656C785" w:rsidR="00422748" w:rsidRDefault="001D3815" w:rsidP="00CA627F">
      <w:pPr>
        <w:pStyle w:val="Sous-partie2"/>
      </w:pPr>
      <w:r>
        <w:t xml:space="preserve">La vision de la stratégie régionale de recherche et innovation et les trois secteurs prioritaires </w:t>
      </w:r>
    </w:p>
    <w:p w14:paraId="1CDF379C" w14:textId="78FC4111" w:rsidR="00336EBC" w:rsidRDefault="00336EBC" w:rsidP="00336EBC">
      <w:pPr>
        <w:spacing w:after="120"/>
        <w:jc w:val="both"/>
        <w:rPr>
          <w:rFonts w:ascii="Verdana" w:hAnsi="Verdana" w:cs="Calibri"/>
          <w:sz w:val="20"/>
          <w:szCs w:val="20"/>
        </w:rPr>
      </w:pPr>
      <w:r w:rsidRPr="00336EBC">
        <w:rPr>
          <w:rFonts w:ascii="Verdana" w:hAnsi="Verdana" w:cs="Calibri"/>
          <w:sz w:val="20"/>
          <w:szCs w:val="20"/>
        </w:rPr>
        <w:t xml:space="preserve">La SRRI </w:t>
      </w:r>
      <w:r w:rsidR="00CA627F">
        <w:rPr>
          <w:rFonts w:ascii="Verdana" w:hAnsi="Verdana" w:cs="Calibri"/>
          <w:sz w:val="20"/>
          <w:szCs w:val="20"/>
        </w:rPr>
        <w:t xml:space="preserve">(annexe 1) </w:t>
      </w:r>
      <w:r w:rsidRPr="00336EBC">
        <w:rPr>
          <w:rFonts w:ascii="Verdana" w:hAnsi="Verdana" w:cs="Calibri"/>
          <w:sz w:val="20"/>
          <w:szCs w:val="20"/>
        </w:rPr>
        <w:t>vise à stimuler le développement de solutions innovantes adaptées aux spécificités régionales, en mobilisant les capacités locales de recherche et en intégrant les avancées technologiques mondiales. Elle s’appuie sur une approche multidisciplinaire et collaborative pour répondre aux priorités de la région, telles que l’adaptation aux changements climatiques, la gestion intégrée des ressources marines et côtières, et la valorisation durable de la biodiversité. Ainsi, la SRRI se veut un levier pour transformer les défis environnementaux en opportunités de croissance durable, en s’appuyant sur une économie résiliente et durable.</w:t>
      </w:r>
    </w:p>
    <w:p w14:paraId="7DF3311E" w14:textId="77777777" w:rsidR="00336EBC" w:rsidRPr="00336EBC" w:rsidRDefault="00336EBC" w:rsidP="00336EBC">
      <w:pPr>
        <w:spacing w:after="120"/>
        <w:jc w:val="both"/>
        <w:rPr>
          <w:rFonts w:ascii="Verdana" w:hAnsi="Verdana" w:cs="Calibri"/>
          <w:sz w:val="20"/>
          <w:szCs w:val="20"/>
        </w:rPr>
      </w:pPr>
      <w:r w:rsidRPr="00336EBC">
        <w:rPr>
          <w:rFonts w:ascii="Verdana" w:hAnsi="Verdana" w:cs="Calibri"/>
          <w:sz w:val="20"/>
          <w:szCs w:val="20"/>
        </w:rPr>
        <w:t>Cette stratégie repose sur trois secteurs prioritaires qui seront au cœur de la SRRI :</w:t>
      </w:r>
    </w:p>
    <w:p w14:paraId="0505CE69" w14:textId="2641B748"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Le système universitaire : renforcement de la formation et de la recherche pour mieux répondre aux défis actuels et futurs.</w:t>
      </w:r>
    </w:p>
    <w:p w14:paraId="4ACC386F" w14:textId="7CD008A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L'économie océanique, la sécurité maritime, l'agriculture durable et le climat : intégration des enjeux environnementaux, en mettant en avant les ressources numériques et les sciences humaines et sociales comme leviers transversaux majeurs. </w:t>
      </w:r>
    </w:p>
    <w:p w14:paraId="2B76B928" w14:textId="0300DF11" w:rsid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 xml:space="preserve">Le secteur privé, l'entrepreneuriat et l'innovation : </w:t>
      </w:r>
      <w:r w:rsidR="007E5F4D">
        <w:rPr>
          <w:rFonts w:ascii="Verdana" w:hAnsi="Verdana" w:cs="Calibri"/>
          <w:sz w:val="20"/>
          <w:szCs w:val="20"/>
        </w:rPr>
        <w:t xml:space="preserve">la </w:t>
      </w:r>
      <w:r w:rsidRPr="00336EBC">
        <w:rPr>
          <w:rFonts w:ascii="Verdana" w:hAnsi="Verdana" w:cs="Calibri"/>
          <w:sz w:val="20"/>
          <w:szCs w:val="20"/>
        </w:rPr>
        <w:t>dynamisation de l'écosystème entrepreneurial pour stimuler l'innovation et favoriser la création d'emplois durables.</w:t>
      </w:r>
    </w:p>
    <w:p w14:paraId="7E4D6273" w14:textId="77777777" w:rsidR="000E3F3F" w:rsidRDefault="000E3F3F" w:rsidP="000E3F3F">
      <w:pPr>
        <w:pStyle w:val="Sous-partie2"/>
      </w:pPr>
      <w:r>
        <w:t xml:space="preserve">Les deux axes stratégiques de la SRRI  </w:t>
      </w:r>
    </w:p>
    <w:p w14:paraId="2C9CC23A" w14:textId="0AC7F085" w:rsidR="000E3F3F" w:rsidRDefault="000E3F3F" w:rsidP="000E3F3F">
      <w:pPr>
        <w:spacing w:after="120"/>
        <w:jc w:val="both"/>
        <w:rPr>
          <w:rFonts w:ascii="Verdana" w:hAnsi="Verdana" w:cs="Calibri"/>
          <w:sz w:val="20"/>
          <w:szCs w:val="20"/>
        </w:rPr>
      </w:pPr>
      <w:r w:rsidRPr="000E3F3F">
        <w:rPr>
          <w:rFonts w:ascii="Verdana" w:hAnsi="Verdana" w:cs="Calibri"/>
          <w:sz w:val="20"/>
          <w:szCs w:val="20"/>
        </w:rPr>
        <w:t>La mise en place d’une Stratégie Régionale de Recherche et d’Innovation (SRRI) pour l</w:t>
      </w:r>
      <w:r w:rsidR="00CA627F">
        <w:rPr>
          <w:rFonts w:ascii="Verdana" w:hAnsi="Verdana" w:cs="Calibri"/>
          <w:sz w:val="20"/>
          <w:szCs w:val="20"/>
        </w:rPr>
        <w:t>es Etats membres de la COI</w:t>
      </w:r>
      <w:r w:rsidRPr="000E3F3F">
        <w:rPr>
          <w:rFonts w:ascii="Verdana" w:hAnsi="Verdana" w:cs="Calibri"/>
          <w:sz w:val="20"/>
          <w:szCs w:val="20"/>
        </w:rPr>
        <w:t xml:space="preserve"> repose sur une approche structurée et collaborative. Cette section introduit un cadre d’actions opérationnelles qui articulent les recommandations précédentes à travers de</w:t>
      </w:r>
      <w:r w:rsidR="00E229C7">
        <w:rPr>
          <w:rFonts w:ascii="Verdana" w:hAnsi="Verdana" w:cs="Calibri"/>
          <w:sz w:val="20"/>
          <w:szCs w:val="20"/>
        </w:rPr>
        <w:t>ux</w:t>
      </w:r>
      <w:r w:rsidRPr="000E3F3F">
        <w:rPr>
          <w:rFonts w:ascii="Verdana" w:hAnsi="Verdana" w:cs="Calibri"/>
          <w:sz w:val="20"/>
          <w:szCs w:val="20"/>
        </w:rPr>
        <w:t xml:space="preserve"> axes stratégiques clés</w:t>
      </w:r>
      <w:r w:rsidR="00E229C7">
        <w:rPr>
          <w:rFonts w:ascii="Verdana" w:hAnsi="Verdana" w:cs="Calibri"/>
          <w:sz w:val="20"/>
          <w:szCs w:val="20"/>
        </w:rPr>
        <w:t xml:space="preserve"> dont la mise en place d’une structure régionale chargée de la recherche et de l’innovation sous l’égide de la COI et la règlementation de la structure mise en place (</w:t>
      </w:r>
      <w:r w:rsidR="008529F6">
        <w:rPr>
          <w:rFonts w:ascii="Verdana" w:hAnsi="Verdana" w:cs="Calibri"/>
          <w:sz w:val="20"/>
          <w:szCs w:val="20"/>
        </w:rPr>
        <w:t>a</w:t>
      </w:r>
      <w:r w:rsidR="00E229C7">
        <w:rPr>
          <w:rFonts w:ascii="Verdana" w:hAnsi="Verdana" w:cs="Calibri"/>
          <w:sz w:val="20"/>
          <w:szCs w:val="20"/>
        </w:rPr>
        <w:t xml:space="preserve">nnexe </w:t>
      </w:r>
      <w:r w:rsidR="00CA627F">
        <w:rPr>
          <w:rFonts w:ascii="Verdana" w:hAnsi="Verdana" w:cs="Calibri"/>
          <w:sz w:val="20"/>
          <w:szCs w:val="20"/>
        </w:rPr>
        <w:t>2</w:t>
      </w:r>
      <w:r w:rsidR="00E229C7">
        <w:rPr>
          <w:rFonts w:ascii="Verdana" w:hAnsi="Verdana" w:cs="Calibri"/>
          <w:sz w:val="20"/>
          <w:szCs w:val="20"/>
        </w:rPr>
        <w:t>)</w:t>
      </w:r>
      <w:r w:rsidRPr="000E3F3F">
        <w:rPr>
          <w:rFonts w:ascii="Verdana" w:hAnsi="Verdana" w:cs="Calibri"/>
          <w:sz w:val="20"/>
          <w:szCs w:val="20"/>
        </w:rPr>
        <w:t>. Ces axes visent à renforcer les capacités régionales, à promouvoir l’excellence scientifique et technologique, et à garantir une gouvernance inclusive et transparente. La structuration de cette initiative régionale repose sur une organisation clairement définie, regroupant divers départements ayant des rôles complémentaires pour répondre aux objectifs de la SRRI.</w:t>
      </w:r>
    </w:p>
    <w:p w14:paraId="7B6015E5" w14:textId="77777777" w:rsidR="00E229C7" w:rsidRPr="000E3F3F" w:rsidRDefault="00E229C7" w:rsidP="000E3F3F">
      <w:pPr>
        <w:spacing w:after="120"/>
        <w:jc w:val="both"/>
        <w:rPr>
          <w:rFonts w:ascii="Verdana" w:hAnsi="Verdana" w:cs="Calibri"/>
          <w:sz w:val="20"/>
          <w:szCs w:val="20"/>
        </w:rPr>
      </w:pPr>
    </w:p>
    <w:p w14:paraId="559C9160" w14:textId="2FC30DFF" w:rsidR="001D3815" w:rsidRDefault="001D3815" w:rsidP="002C56ED">
      <w:pPr>
        <w:pStyle w:val="Sous-partie2"/>
      </w:pPr>
      <w:r>
        <w:t xml:space="preserve">La structuration </w:t>
      </w:r>
      <w:r w:rsidR="00336EBC">
        <w:t xml:space="preserve">de la SRRI </w:t>
      </w:r>
      <w:r>
        <w:t xml:space="preserve">en trois étapes clés </w:t>
      </w:r>
    </w:p>
    <w:p w14:paraId="41F62364" w14:textId="77777777" w:rsidR="00336EBC" w:rsidRPr="00364B0B" w:rsidRDefault="00336EBC" w:rsidP="00336EBC">
      <w:pPr>
        <w:pStyle w:val="Corpsdetexte"/>
        <w:spacing w:line="240" w:lineRule="auto"/>
        <w:jc w:val="both"/>
        <w:rPr>
          <w:rFonts w:ascii="Verdana" w:hAnsi="Verdana" w:cs="Calibri"/>
          <w:sz w:val="20"/>
          <w:szCs w:val="20"/>
        </w:rPr>
      </w:pPr>
      <w:r w:rsidRPr="00364B0B">
        <w:rPr>
          <w:rFonts w:ascii="Verdana" w:hAnsi="Verdana" w:cs="Calibri"/>
          <w:sz w:val="20"/>
          <w:szCs w:val="20"/>
        </w:rPr>
        <w:t>Il est proposé de structurer ce développement en trois étapes clés :</w:t>
      </w:r>
    </w:p>
    <w:p w14:paraId="360C50C9" w14:textId="7777777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plan d'implémentation structuré dans des tableaux 'toolkit' fournissant des recommandations pratiques et des outils adaptés à chaque secteur concerné.</w:t>
      </w:r>
    </w:p>
    <w:p w14:paraId="1183F2E8" w14:textId="77777777" w:rsidR="00336EBC" w:rsidRP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calendrier d'exécution, avec des jalons spécifiques pour chaque étape, permettant de suivre l'avancement et d'ajuster les actions en fonction des résultats obtenus.</w:t>
      </w:r>
    </w:p>
    <w:p w14:paraId="0E0A777D" w14:textId="77777777" w:rsidR="00336EBC" w:rsidRDefault="00336EBC" w:rsidP="00336EBC">
      <w:pPr>
        <w:pStyle w:val="Paragraphedeliste"/>
        <w:numPr>
          <w:ilvl w:val="0"/>
          <w:numId w:val="32"/>
        </w:numPr>
        <w:spacing w:after="120"/>
        <w:jc w:val="both"/>
        <w:rPr>
          <w:rFonts w:ascii="Verdana" w:hAnsi="Verdana" w:cs="Calibri"/>
          <w:sz w:val="20"/>
          <w:szCs w:val="20"/>
        </w:rPr>
      </w:pPr>
      <w:r w:rsidRPr="00336EBC">
        <w:rPr>
          <w:rFonts w:ascii="Verdana" w:hAnsi="Verdana" w:cs="Calibri"/>
          <w:sz w:val="20"/>
          <w:szCs w:val="20"/>
        </w:rPr>
        <w:t>Un plan de financement, qui établit les ressources nécessaires pour la mise en œuvre de la SRRI, en s'appuyant sur des sources publiques et privées.</w:t>
      </w:r>
    </w:p>
    <w:p w14:paraId="128FE70A" w14:textId="77777777" w:rsidR="007E5F4D" w:rsidRPr="007E5F4D" w:rsidRDefault="007E5F4D" w:rsidP="007E5F4D">
      <w:pPr>
        <w:spacing w:after="120"/>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77ADE06B" w:rsidR="0008468B" w:rsidRPr="004F5C4B" w:rsidRDefault="0008468B" w:rsidP="00FE285D">
      <w:pPr>
        <w:pStyle w:val="Paragraphe"/>
      </w:pPr>
      <w:r w:rsidRPr="004F5C4B">
        <w:t>Le Comité des OPL</w:t>
      </w:r>
      <w:r w:rsidR="00777426">
        <w:t xml:space="preserve"> </w:t>
      </w:r>
      <w:r w:rsidR="004014F7">
        <w:t xml:space="preserve">recommande au Conseil des ministres de : </w:t>
      </w:r>
    </w:p>
    <w:p w14:paraId="3C75727B" w14:textId="76F5E5A5" w:rsidR="00735A53" w:rsidRDefault="004014F7" w:rsidP="00DD3BCB">
      <w:pPr>
        <w:pStyle w:val="Paragraphe"/>
        <w:numPr>
          <w:ilvl w:val="0"/>
          <w:numId w:val="6"/>
        </w:numPr>
      </w:pPr>
      <w:r>
        <w:t>Approuver</w:t>
      </w:r>
      <w:r w:rsidR="00735A53" w:rsidRPr="001C4F46">
        <w:t xml:space="preserve"> </w:t>
      </w:r>
      <w:r w:rsidR="00735A53">
        <w:t>l</w:t>
      </w:r>
      <w:r>
        <w:t>a</w:t>
      </w:r>
      <w:r w:rsidR="00735A53">
        <w:t xml:space="preserve"> stratégie régionale de recherche et innovation.</w:t>
      </w:r>
    </w:p>
    <w:p w14:paraId="795DE8C8" w14:textId="5277E8BF" w:rsidR="00E229C7" w:rsidRDefault="00E229C7" w:rsidP="00DD3BCB">
      <w:pPr>
        <w:pStyle w:val="Paragraphe"/>
        <w:numPr>
          <w:ilvl w:val="0"/>
          <w:numId w:val="6"/>
        </w:numPr>
      </w:pPr>
      <w:r>
        <w:t>Mandate</w:t>
      </w:r>
      <w:r w:rsidR="004014F7">
        <w:t>r</w:t>
      </w:r>
      <w:r>
        <w:t xml:space="preserve"> le Secrétariat général à explorer les voies et moyens auprès des partenaires au développement pour la mise en œuvre de ladite stratégie.</w:t>
      </w:r>
    </w:p>
    <w:p w14:paraId="785515E3" w14:textId="5D28C053" w:rsidR="009940CA" w:rsidRDefault="009940CA" w:rsidP="00DD3BCB">
      <w:pPr>
        <w:pStyle w:val="Paragraphe"/>
        <w:numPr>
          <w:ilvl w:val="0"/>
          <w:numId w:val="6"/>
        </w:numPr>
      </w:pPr>
      <w:r>
        <w:t>Remercie</w:t>
      </w:r>
      <w:r w:rsidR="004014F7">
        <w:t>r</w:t>
      </w:r>
      <w:r>
        <w:t xml:space="preserve"> l’OEACP p</w:t>
      </w:r>
      <w:r w:rsidRPr="009940CA">
        <w:t xml:space="preserve">our son appui technique et financier, </w:t>
      </w:r>
      <w:r>
        <w:t>à travers son</w:t>
      </w:r>
      <w:r w:rsidRPr="009940CA">
        <w:t xml:space="preserve"> programme </w:t>
      </w:r>
      <w:r>
        <w:t xml:space="preserve">de soutien politique à la </w:t>
      </w:r>
      <w:r w:rsidRPr="009940CA">
        <w:t>Recherche et Innovation, qui a permis l’élaboration de la présente stratégie</w:t>
      </w:r>
      <w:r>
        <w:t xml:space="preserve">. </w:t>
      </w:r>
    </w:p>
    <w:p w14:paraId="357F365D" w14:textId="77777777" w:rsidR="009940CA" w:rsidRDefault="009940CA" w:rsidP="009940CA">
      <w:pPr>
        <w:pStyle w:val="Paragraphe"/>
        <w:ind w:left="720"/>
      </w:pPr>
    </w:p>
    <w:bookmarkEnd w:id="0"/>
    <w:p w14:paraId="1D6F1669" w14:textId="7F72C0C7" w:rsidR="00417683" w:rsidRPr="0008468B" w:rsidRDefault="00B24931" w:rsidP="00060CA0">
      <w:pPr>
        <w:pStyle w:val="Titrepartie"/>
      </w:pPr>
      <w:r>
        <w:t>A</w:t>
      </w:r>
      <w:r w:rsidR="00417683" w:rsidRPr="0008468B">
        <w:t>nnexe</w:t>
      </w:r>
      <w:r w:rsidR="008F173C" w:rsidRPr="0008468B">
        <w:t>s</w:t>
      </w:r>
      <w:r w:rsidR="00417683" w:rsidRPr="0008468B">
        <w:t> :</w:t>
      </w:r>
    </w:p>
    <w:p w14:paraId="43B7F213" w14:textId="5CF27B7C" w:rsidR="00E229C7" w:rsidRDefault="00614A8F" w:rsidP="008529F6">
      <w:pPr>
        <w:pStyle w:val="Paragraphe"/>
        <w:numPr>
          <w:ilvl w:val="0"/>
          <w:numId w:val="9"/>
        </w:numPr>
        <w:spacing w:after="0"/>
      </w:pPr>
      <w:r>
        <w:t xml:space="preserve">Annexe </w:t>
      </w:r>
      <w:r w:rsidR="00CA627F">
        <w:t>1</w:t>
      </w:r>
      <w:r>
        <w:t xml:space="preserve"> : </w:t>
      </w:r>
      <w:r w:rsidR="008529F6">
        <w:t>La stratégie régionale de recherche et innovation</w:t>
      </w:r>
      <w:r w:rsidR="00CA627F">
        <w:t xml:space="preserve"> des Etats membres de la COI</w:t>
      </w:r>
    </w:p>
    <w:p w14:paraId="4648F921" w14:textId="0F32A06B" w:rsidR="008F173C" w:rsidRDefault="00E229C7" w:rsidP="008529F6">
      <w:pPr>
        <w:pStyle w:val="Paragraphe"/>
        <w:numPr>
          <w:ilvl w:val="0"/>
          <w:numId w:val="9"/>
        </w:numPr>
        <w:spacing w:after="0"/>
      </w:pPr>
      <w:r>
        <w:t xml:space="preserve">Annexe </w:t>
      </w:r>
      <w:r w:rsidR="00CA627F">
        <w:t>2</w:t>
      </w:r>
      <w:r>
        <w:t xml:space="preserve"> : </w:t>
      </w:r>
      <w:r w:rsidR="008529F6">
        <w:t xml:space="preserve">La présentation des axes stratégiques de la SRRI </w:t>
      </w:r>
      <w:r w:rsidR="008529F6" w:rsidRPr="00550977">
        <w:t xml:space="preserve"> </w:t>
      </w:r>
    </w:p>
    <w:sectPr w:rsidR="008F173C"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52995" w14:textId="77777777" w:rsidR="00B033EB" w:rsidRDefault="00B033EB">
      <w:pPr>
        <w:spacing w:after="0" w:line="240" w:lineRule="auto"/>
      </w:pPr>
      <w:r>
        <w:separator/>
      </w:r>
    </w:p>
  </w:endnote>
  <w:endnote w:type="continuationSeparator" w:id="0">
    <w:p w14:paraId="28DD648C" w14:textId="77777777" w:rsidR="00B033EB" w:rsidRDefault="00B0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2005" w14:textId="77777777" w:rsidR="00B033EB" w:rsidRDefault="00B033EB">
      <w:pPr>
        <w:spacing w:after="0" w:line="240" w:lineRule="auto"/>
      </w:pPr>
      <w:r>
        <w:separator/>
      </w:r>
    </w:p>
  </w:footnote>
  <w:footnote w:type="continuationSeparator" w:id="0">
    <w:p w14:paraId="631C1037" w14:textId="77777777" w:rsidR="00B033EB" w:rsidRDefault="00B0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01000B12" w:rsidR="00AA63A3" w:rsidRDefault="00854EEA" w:rsidP="004014F7">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364B0B">
      <w:rPr>
        <w:rFonts w:ascii="Verdana" w:hAnsi="Verdana"/>
        <w:b/>
        <w:bCs/>
        <w:sz w:val="20"/>
        <w:szCs w:val="20"/>
      </w:rPr>
      <w:t xml:space="preserve">Point. </w:t>
    </w:r>
    <w:r w:rsidR="00C70085" w:rsidRPr="00364B0B">
      <w:rPr>
        <w:rFonts w:ascii="Verdana" w:hAnsi="Verdana"/>
        <w:b/>
        <w:bCs/>
        <w:sz w:val="20"/>
        <w:szCs w:val="20"/>
      </w:rPr>
      <w:t>2.</w:t>
    </w:r>
    <w:r w:rsidR="00364B0B" w:rsidRPr="00364B0B">
      <w:rPr>
        <w:rFonts w:ascii="Verdana" w:hAnsi="Verdana"/>
        <w:b/>
        <w:bCs/>
        <w:sz w:val="20"/>
        <w:szCs w:val="20"/>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DD5"/>
    <w:multiLevelType w:val="hybridMultilevel"/>
    <w:tmpl w:val="893646B8"/>
    <w:lvl w:ilvl="0" w:tplc="7C96FBB8">
      <w:numFmt w:val="bullet"/>
      <w:lvlText w:val="-"/>
      <w:lvlJc w:val="left"/>
      <w:pPr>
        <w:ind w:left="1070" w:hanging="710"/>
      </w:pPr>
      <w:rPr>
        <w:rFonts w:ascii="Verdana" w:eastAsiaTheme="minorHAnsi" w:hAnsi="Verdana"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52C130F"/>
    <w:multiLevelType w:val="hybridMultilevel"/>
    <w:tmpl w:val="904E70C8"/>
    <w:lvl w:ilvl="0" w:tplc="1722C522">
      <w:numFmt w:val="bullet"/>
      <w:lvlText w:val="-"/>
      <w:lvlJc w:val="left"/>
      <w:pPr>
        <w:ind w:left="360" w:hanging="360"/>
      </w:pPr>
      <w:rPr>
        <w:rFonts w:ascii="Calibri" w:eastAsiaTheme="minorHAnsi" w:hAnsi="Calibri" w:cstheme="minorBidi"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BC369C"/>
    <w:multiLevelType w:val="hybridMultilevel"/>
    <w:tmpl w:val="20548DC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465B610C"/>
    <w:multiLevelType w:val="hybridMultilevel"/>
    <w:tmpl w:val="53FA0FBE"/>
    <w:lvl w:ilvl="0" w:tplc="AB2E9CA6">
      <w:numFmt w:val="bullet"/>
      <w:lvlText w:val="-"/>
      <w:lvlJc w:val="left"/>
      <w:pPr>
        <w:ind w:left="360" w:hanging="360"/>
      </w:pPr>
      <w:rPr>
        <w:rFonts w:ascii="Verdana" w:eastAsiaTheme="minorHAnsi" w:hAnsi="Verdana"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55D477A8"/>
    <w:multiLevelType w:val="hybridMultilevel"/>
    <w:tmpl w:val="55F283F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907A1E"/>
    <w:multiLevelType w:val="hybridMultilevel"/>
    <w:tmpl w:val="92E4D5A2"/>
    <w:lvl w:ilvl="0" w:tplc="7F600106">
      <w:numFmt w:val="bullet"/>
      <w:lvlText w:val="-"/>
      <w:lvlJc w:val="left"/>
      <w:pPr>
        <w:ind w:left="360" w:hanging="360"/>
      </w:pPr>
      <w:rPr>
        <w:rFonts w:ascii="Trebuchet MS" w:eastAsiaTheme="minorHAnsi" w:hAnsi="Trebuchet MS" w:cs="Aria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882F3D"/>
    <w:multiLevelType w:val="multilevel"/>
    <w:tmpl w:val="18720F42"/>
    <w:lvl w:ilvl="0">
      <w:start w:val="1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0A177D"/>
    <w:multiLevelType w:val="hybridMultilevel"/>
    <w:tmpl w:val="0D0E467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52060334">
    <w:abstractNumId w:val="8"/>
  </w:num>
  <w:num w:numId="2" w16cid:durableId="730155708">
    <w:abstractNumId w:val="17"/>
  </w:num>
  <w:num w:numId="3" w16cid:durableId="1226992778">
    <w:abstractNumId w:val="6"/>
  </w:num>
  <w:num w:numId="4" w16cid:durableId="131143113">
    <w:abstractNumId w:val="2"/>
  </w:num>
  <w:num w:numId="5" w16cid:durableId="2012178635">
    <w:abstractNumId w:val="15"/>
  </w:num>
  <w:num w:numId="6" w16cid:durableId="758718310">
    <w:abstractNumId w:val="7"/>
  </w:num>
  <w:num w:numId="7" w16cid:durableId="1547988449">
    <w:abstractNumId w:val="9"/>
  </w:num>
  <w:num w:numId="8" w16cid:durableId="1117337497">
    <w:abstractNumId w:val="6"/>
    <w:lvlOverride w:ilvl="0">
      <w:startOverride w:val="1"/>
    </w:lvlOverride>
  </w:num>
  <w:num w:numId="9" w16cid:durableId="1107774655">
    <w:abstractNumId w:val="5"/>
  </w:num>
  <w:num w:numId="10" w16cid:durableId="1865903141">
    <w:abstractNumId w:val="3"/>
  </w:num>
  <w:num w:numId="11" w16cid:durableId="409931527">
    <w:abstractNumId w:val="6"/>
  </w:num>
  <w:num w:numId="12" w16cid:durableId="1956594569">
    <w:abstractNumId w:val="14"/>
  </w:num>
  <w:num w:numId="13" w16cid:durableId="568005613">
    <w:abstractNumId w:val="10"/>
  </w:num>
  <w:num w:numId="14" w16cid:durableId="1140994487">
    <w:abstractNumId w:val="6"/>
  </w:num>
  <w:num w:numId="15" w16cid:durableId="752436064">
    <w:abstractNumId w:val="12"/>
  </w:num>
  <w:num w:numId="16" w16cid:durableId="1242790777">
    <w:abstractNumId w:val="6"/>
  </w:num>
  <w:num w:numId="17" w16cid:durableId="1205292131">
    <w:abstractNumId w:val="11"/>
  </w:num>
  <w:num w:numId="18" w16cid:durableId="1190029721">
    <w:abstractNumId w:val="13"/>
  </w:num>
  <w:num w:numId="19" w16cid:durableId="800463630">
    <w:abstractNumId w:val="16"/>
  </w:num>
  <w:num w:numId="20" w16cid:durableId="16612275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5375351">
    <w:abstractNumId w:val="6"/>
  </w:num>
  <w:num w:numId="22" w16cid:durableId="132063604">
    <w:abstractNumId w:val="4"/>
  </w:num>
  <w:num w:numId="23" w16cid:durableId="1913083392">
    <w:abstractNumId w:val="19"/>
  </w:num>
  <w:num w:numId="24" w16cid:durableId="1078208974">
    <w:abstractNumId w:val="6"/>
  </w:num>
  <w:num w:numId="25" w16cid:durableId="1617759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35180513">
    <w:abstractNumId w:val="6"/>
  </w:num>
  <w:num w:numId="27" w16cid:durableId="11802005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37385">
    <w:abstractNumId w:val="6"/>
  </w:num>
  <w:num w:numId="29" w16cid:durableId="12748976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86481">
    <w:abstractNumId w:val="6"/>
  </w:num>
  <w:num w:numId="31" w16cid:durableId="844828479">
    <w:abstractNumId w:val="6"/>
  </w:num>
  <w:num w:numId="32" w16cid:durableId="2136563644">
    <w:abstractNumId w:val="1"/>
  </w:num>
  <w:num w:numId="33" w16cid:durableId="512493018">
    <w:abstractNumId w:val="0"/>
  </w:num>
  <w:num w:numId="34" w16cid:durableId="310865091">
    <w:abstractNumId w:val="18"/>
  </w:num>
  <w:num w:numId="35" w16cid:durableId="246887772">
    <w:abstractNumId w:val="6"/>
  </w:num>
  <w:num w:numId="36" w16cid:durableId="1862431571">
    <w:abstractNumId w:val="6"/>
  </w:num>
  <w:num w:numId="37" w16cid:durableId="393158837">
    <w:abstractNumId w:val="6"/>
  </w:num>
  <w:num w:numId="38" w16cid:durableId="700933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37CB9"/>
    <w:rsid w:val="00042CF5"/>
    <w:rsid w:val="00060CA0"/>
    <w:rsid w:val="00063A26"/>
    <w:rsid w:val="0008468B"/>
    <w:rsid w:val="000A468A"/>
    <w:rsid w:val="000B0FBD"/>
    <w:rsid w:val="000B489A"/>
    <w:rsid w:val="000B5884"/>
    <w:rsid w:val="000B78DE"/>
    <w:rsid w:val="000E3F3F"/>
    <w:rsid w:val="000F4728"/>
    <w:rsid w:val="00107D9D"/>
    <w:rsid w:val="00117F1A"/>
    <w:rsid w:val="001667B3"/>
    <w:rsid w:val="0018252D"/>
    <w:rsid w:val="001A56F1"/>
    <w:rsid w:val="001B3F3A"/>
    <w:rsid w:val="001B4738"/>
    <w:rsid w:val="001D3815"/>
    <w:rsid w:val="001F0C27"/>
    <w:rsid w:val="001F6CDE"/>
    <w:rsid w:val="0020446F"/>
    <w:rsid w:val="00217D63"/>
    <w:rsid w:val="00236A45"/>
    <w:rsid w:val="002573FA"/>
    <w:rsid w:val="0026279A"/>
    <w:rsid w:val="002A0933"/>
    <w:rsid w:val="002A096E"/>
    <w:rsid w:val="002C56ED"/>
    <w:rsid w:val="002D3C5B"/>
    <w:rsid w:val="002E0FE4"/>
    <w:rsid w:val="00336EBC"/>
    <w:rsid w:val="00345C92"/>
    <w:rsid w:val="00354CE2"/>
    <w:rsid w:val="003604B9"/>
    <w:rsid w:val="00364B0B"/>
    <w:rsid w:val="003772FB"/>
    <w:rsid w:val="00391152"/>
    <w:rsid w:val="003B2862"/>
    <w:rsid w:val="003C2538"/>
    <w:rsid w:val="003D485F"/>
    <w:rsid w:val="003D5328"/>
    <w:rsid w:val="003E4F9E"/>
    <w:rsid w:val="003F16E6"/>
    <w:rsid w:val="004014F7"/>
    <w:rsid w:val="0041278C"/>
    <w:rsid w:val="00417683"/>
    <w:rsid w:val="00422748"/>
    <w:rsid w:val="0042468B"/>
    <w:rsid w:val="00426673"/>
    <w:rsid w:val="00444C58"/>
    <w:rsid w:val="004478C3"/>
    <w:rsid w:val="004607F7"/>
    <w:rsid w:val="00485E88"/>
    <w:rsid w:val="00491466"/>
    <w:rsid w:val="004F5C4B"/>
    <w:rsid w:val="00502B59"/>
    <w:rsid w:val="0053773D"/>
    <w:rsid w:val="00544F07"/>
    <w:rsid w:val="00547689"/>
    <w:rsid w:val="0055059B"/>
    <w:rsid w:val="00550977"/>
    <w:rsid w:val="005725B7"/>
    <w:rsid w:val="005813A2"/>
    <w:rsid w:val="005C1713"/>
    <w:rsid w:val="00614A8F"/>
    <w:rsid w:val="00620B90"/>
    <w:rsid w:val="00627329"/>
    <w:rsid w:val="006356AF"/>
    <w:rsid w:val="006548BF"/>
    <w:rsid w:val="00660504"/>
    <w:rsid w:val="00663459"/>
    <w:rsid w:val="0067468C"/>
    <w:rsid w:val="0069014A"/>
    <w:rsid w:val="00690C42"/>
    <w:rsid w:val="00696720"/>
    <w:rsid w:val="006A33B8"/>
    <w:rsid w:val="006B416E"/>
    <w:rsid w:val="006E2D9E"/>
    <w:rsid w:val="00721142"/>
    <w:rsid w:val="00735A53"/>
    <w:rsid w:val="0077195E"/>
    <w:rsid w:val="00777426"/>
    <w:rsid w:val="007846FE"/>
    <w:rsid w:val="007B245C"/>
    <w:rsid w:val="007C0735"/>
    <w:rsid w:val="007C78FC"/>
    <w:rsid w:val="007E2BB5"/>
    <w:rsid w:val="007E5F4D"/>
    <w:rsid w:val="007F3CE9"/>
    <w:rsid w:val="0080295F"/>
    <w:rsid w:val="00803332"/>
    <w:rsid w:val="00816DAC"/>
    <w:rsid w:val="00827004"/>
    <w:rsid w:val="0083290E"/>
    <w:rsid w:val="00843FF2"/>
    <w:rsid w:val="008453AB"/>
    <w:rsid w:val="008529F6"/>
    <w:rsid w:val="00854EEA"/>
    <w:rsid w:val="008551DA"/>
    <w:rsid w:val="008D193F"/>
    <w:rsid w:val="008E2E5C"/>
    <w:rsid w:val="008F11E8"/>
    <w:rsid w:val="008F173C"/>
    <w:rsid w:val="0090544B"/>
    <w:rsid w:val="00920B2B"/>
    <w:rsid w:val="00955BB3"/>
    <w:rsid w:val="00961E12"/>
    <w:rsid w:val="009925BD"/>
    <w:rsid w:val="009940CA"/>
    <w:rsid w:val="009A38AD"/>
    <w:rsid w:val="009A565A"/>
    <w:rsid w:val="009B0DE6"/>
    <w:rsid w:val="009F3C0F"/>
    <w:rsid w:val="009F46EE"/>
    <w:rsid w:val="009F496C"/>
    <w:rsid w:val="00A10495"/>
    <w:rsid w:val="00A148A1"/>
    <w:rsid w:val="00A36C09"/>
    <w:rsid w:val="00A37C9F"/>
    <w:rsid w:val="00A40B8A"/>
    <w:rsid w:val="00A65270"/>
    <w:rsid w:val="00A70123"/>
    <w:rsid w:val="00A76B07"/>
    <w:rsid w:val="00A81B98"/>
    <w:rsid w:val="00A901B6"/>
    <w:rsid w:val="00A90305"/>
    <w:rsid w:val="00AA63A3"/>
    <w:rsid w:val="00AB5EB7"/>
    <w:rsid w:val="00AD4D97"/>
    <w:rsid w:val="00AE2453"/>
    <w:rsid w:val="00AE2695"/>
    <w:rsid w:val="00B033EB"/>
    <w:rsid w:val="00B05DFC"/>
    <w:rsid w:val="00B11F5E"/>
    <w:rsid w:val="00B24931"/>
    <w:rsid w:val="00B25DA2"/>
    <w:rsid w:val="00B36EEA"/>
    <w:rsid w:val="00B8359A"/>
    <w:rsid w:val="00BA4B55"/>
    <w:rsid w:val="00BB368C"/>
    <w:rsid w:val="00BD5927"/>
    <w:rsid w:val="00C12C93"/>
    <w:rsid w:val="00C325F5"/>
    <w:rsid w:val="00C457E8"/>
    <w:rsid w:val="00C609B9"/>
    <w:rsid w:val="00C635C3"/>
    <w:rsid w:val="00C70085"/>
    <w:rsid w:val="00C87090"/>
    <w:rsid w:val="00CA627F"/>
    <w:rsid w:val="00CB2BBA"/>
    <w:rsid w:val="00CE2386"/>
    <w:rsid w:val="00CE4290"/>
    <w:rsid w:val="00CF6E0E"/>
    <w:rsid w:val="00CF79FD"/>
    <w:rsid w:val="00D20D13"/>
    <w:rsid w:val="00D24A4A"/>
    <w:rsid w:val="00D31359"/>
    <w:rsid w:val="00D32E49"/>
    <w:rsid w:val="00D47564"/>
    <w:rsid w:val="00D53346"/>
    <w:rsid w:val="00D657AE"/>
    <w:rsid w:val="00D729BE"/>
    <w:rsid w:val="00E229C7"/>
    <w:rsid w:val="00E31D44"/>
    <w:rsid w:val="00E32408"/>
    <w:rsid w:val="00E34CAE"/>
    <w:rsid w:val="00E3648C"/>
    <w:rsid w:val="00E57F4E"/>
    <w:rsid w:val="00E77F41"/>
    <w:rsid w:val="00E845D4"/>
    <w:rsid w:val="00E93901"/>
    <w:rsid w:val="00EA209A"/>
    <w:rsid w:val="00EC22CC"/>
    <w:rsid w:val="00ED1576"/>
    <w:rsid w:val="00ED6B69"/>
    <w:rsid w:val="00EE1893"/>
    <w:rsid w:val="00EE34F4"/>
    <w:rsid w:val="00EF22A4"/>
    <w:rsid w:val="00F0674E"/>
    <w:rsid w:val="00F124E6"/>
    <w:rsid w:val="00F51D7B"/>
    <w:rsid w:val="00F54EA0"/>
    <w:rsid w:val="00F86E4C"/>
    <w:rsid w:val="00F96EE9"/>
    <w:rsid w:val="00FC075E"/>
    <w:rsid w:val="00FD747C"/>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aliases w:val="Знак сноски-FN,Footnote reference number,Footnote symbol,Ciae niinee-FN,Знак сноски 1,Footnote Reference Number,fr,Used by Word for Help footnote symbols,сноска,ftref,Footnote anchor,Times 10 Point,Exposant 3 Point"/>
    <w:basedOn w:val="Policepardfaut"/>
    <w:uiPriority w:val="99"/>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Corpsdetexte">
    <w:name w:val="Body Text"/>
    <w:basedOn w:val="Normal"/>
    <w:link w:val="CorpsdetexteCar"/>
    <w:uiPriority w:val="99"/>
    <w:semiHidden/>
    <w:unhideWhenUsed/>
    <w:rsid w:val="001D3815"/>
    <w:pPr>
      <w:spacing w:after="120"/>
    </w:pPr>
  </w:style>
  <w:style w:type="character" w:customStyle="1" w:styleId="CorpsdetexteCar">
    <w:name w:val="Corps de texte Car"/>
    <w:basedOn w:val="Policepardfaut"/>
    <w:link w:val="Corpsdetexte"/>
    <w:uiPriority w:val="99"/>
    <w:semiHidden/>
    <w:rsid w:val="001D3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739064326">
      <w:bodyDiv w:val="1"/>
      <w:marLeft w:val="0"/>
      <w:marRight w:val="0"/>
      <w:marTop w:val="0"/>
      <w:marBottom w:val="0"/>
      <w:divBdr>
        <w:top w:val="none" w:sz="0" w:space="0" w:color="auto"/>
        <w:left w:val="none" w:sz="0" w:space="0" w:color="auto"/>
        <w:bottom w:val="none" w:sz="0" w:space="0" w:color="auto"/>
        <w:right w:val="none" w:sz="0" w:space="0" w:color="auto"/>
      </w:divBdr>
    </w:div>
    <w:div w:id="155919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6052</Characters>
  <Application>Microsoft Office Word</Application>
  <DocSecurity>4</DocSecurity>
  <Lines>110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2026-04-22T11:40:00Z</dcterms:created>
  <dcterms:modified xsi:type="dcterms:W3CDTF">2026-04-22T11:40:00Z</dcterms:modified>
</cp:coreProperties>
</file>