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854EEA">
      <w:pPr>
        <w:jc w:val="center"/>
        <w:rPr>
          <w:rFonts w:ascii="Verdana" w:hAnsi="Verdana"/>
          <w:b/>
          <w:bCs/>
          <w:sz w:val="2"/>
          <w:szCs w:val="2"/>
        </w:rPr>
      </w:pPr>
    </w:p>
    <w:tbl>
      <w:tblPr>
        <w:tblStyle w:val="TableGrid"/>
        <w:tblW w:w="0" w:type="auto"/>
        <w:tblLook w:val="04A0" w:firstRow="1" w:lastRow="0" w:firstColumn="1" w:lastColumn="0" w:noHBand="0" w:noVBand="1"/>
      </w:tblPr>
      <w:tblGrid>
        <w:gridCol w:w="7225"/>
        <w:gridCol w:w="1837"/>
      </w:tblGrid>
      <w:tr w:rsidR="00EC22CC" w14:paraId="51109D41" w14:textId="77777777">
        <w:tc>
          <w:tcPr>
            <w:tcW w:w="9062" w:type="dxa"/>
            <w:gridSpan w:val="2"/>
          </w:tcPr>
          <w:p w14:paraId="6FC76F95" w14:textId="595682A7" w:rsidR="00EC22CC" w:rsidRDefault="00995229" w:rsidP="00854EEA">
            <w:pPr>
              <w:jc w:val="center"/>
              <w:rPr>
                <w:rFonts w:ascii="Verdana" w:hAnsi="Verdana"/>
                <w:b/>
                <w:bCs/>
                <w:sz w:val="20"/>
                <w:szCs w:val="20"/>
              </w:rPr>
            </w:pPr>
            <w:r>
              <w:rPr>
                <w:rFonts w:ascii="Verdana" w:hAnsi="Verdana"/>
                <w:b/>
                <w:bCs/>
              </w:rPr>
              <w:t>Partenariat</w:t>
            </w:r>
          </w:p>
        </w:tc>
      </w:tr>
      <w:tr w:rsidR="00995229" w14:paraId="7F1B63D2" w14:textId="77777777" w:rsidTr="002A0933">
        <w:tc>
          <w:tcPr>
            <w:tcW w:w="7225" w:type="dxa"/>
          </w:tcPr>
          <w:p w14:paraId="056D9B10" w14:textId="294FA11E" w:rsidR="00995229" w:rsidRPr="002A096E" w:rsidRDefault="00995229" w:rsidP="00995229">
            <w:pPr>
              <w:rPr>
                <w:rFonts w:ascii="Verdana" w:hAnsi="Verdana"/>
                <w:sz w:val="20"/>
                <w:szCs w:val="20"/>
              </w:rPr>
            </w:pPr>
            <w:r>
              <w:rPr>
                <w:rFonts w:ascii="Verdana" w:hAnsi="Verdana"/>
                <w:sz w:val="20"/>
                <w:szCs w:val="20"/>
              </w:rPr>
              <w:t>Comité des OPL 0</w:t>
            </w:r>
            <w:r w:rsidR="001A78FF">
              <w:rPr>
                <w:rFonts w:ascii="Verdana" w:hAnsi="Verdana"/>
                <w:sz w:val="20"/>
                <w:szCs w:val="20"/>
              </w:rPr>
              <w:t>2</w:t>
            </w:r>
            <w:r>
              <w:rPr>
                <w:rFonts w:ascii="Verdana" w:hAnsi="Verdana"/>
                <w:sz w:val="20"/>
                <w:szCs w:val="20"/>
              </w:rPr>
              <w:t>/202</w:t>
            </w:r>
            <w:r w:rsidR="001A78FF">
              <w:rPr>
                <w:rFonts w:ascii="Verdana" w:hAnsi="Verdana"/>
                <w:sz w:val="20"/>
                <w:szCs w:val="20"/>
              </w:rPr>
              <w:t>6</w:t>
            </w:r>
            <w:r>
              <w:rPr>
                <w:rFonts w:ascii="Verdana" w:hAnsi="Verdana"/>
                <w:sz w:val="20"/>
                <w:szCs w:val="20"/>
              </w:rPr>
              <w:t xml:space="preserve">, </w:t>
            </w:r>
            <w:r w:rsidR="000F443B">
              <w:rPr>
                <w:rFonts w:ascii="Verdana" w:hAnsi="Verdana"/>
                <w:sz w:val="20"/>
                <w:szCs w:val="20"/>
              </w:rPr>
              <w:t xml:space="preserve">05-07 mai, </w:t>
            </w:r>
            <w:r>
              <w:rPr>
                <w:rFonts w:ascii="Verdana" w:hAnsi="Verdana"/>
                <w:sz w:val="20"/>
                <w:szCs w:val="20"/>
              </w:rPr>
              <w:t xml:space="preserve">Maurice </w:t>
            </w:r>
            <w:r w:rsidR="001A78FF" w:rsidRPr="00D70A41">
              <w:rPr>
                <w:rFonts w:ascii="Verdana" w:hAnsi="Verdana"/>
                <w:sz w:val="20"/>
                <w:szCs w:val="20"/>
              </w:rPr>
              <w:t xml:space="preserve"> </w:t>
            </w:r>
          </w:p>
        </w:tc>
        <w:tc>
          <w:tcPr>
            <w:tcW w:w="1837" w:type="dxa"/>
          </w:tcPr>
          <w:p w14:paraId="58E25D1F" w14:textId="2AF581AD" w:rsidR="00995229" w:rsidRPr="002A0933" w:rsidRDefault="00995229" w:rsidP="00995229">
            <w:pPr>
              <w:jc w:val="center"/>
              <w:rPr>
                <w:rFonts w:ascii="Verdana" w:hAnsi="Verdana"/>
                <w:sz w:val="20"/>
                <w:szCs w:val="20"/>
              </w:rPr>
            </w:pPr>
            <w:r>
              <w:rPr>
                <w:rFonts w:ascii="Verdana" w:hAnsi="Verdana"/>
                <w:sz w:val="20"/>
                <w:szCs w:val="20"/>
              </w:rPr>
              <w:t>1.5</w:t>
            </w:r>
          </w:p>
        </w:tc>
      </w:tr>
      <w:tr w:rsidR="00995229" w14:paraId="537D1DE5" w14:textId="77777777" w:rsidTr="002A0933">
        <w:tc>
          <w:tcPr>
            <w:tcW w:w="7225" w:type="dxa"/>
          </w:tcPr>
          <w:p w14:paraId="43DEF09E" w14:textId="00979C6F" w:rsidR="00995229" w:rsidRPr="00A37C9F" w:rsidRDefault="00995229" w:rsidP="00995229">
            <w:pPr>
              <w:rPr>
                <w:rFonts w:ascii="Verdana" w:hAnsi="Verdana"/>
                <w:sz w:val="20"/>
                <w:szCs w:val="20"/>
              </w:rPr>
            </w:pPr>
            <w:r w:rsidRPr="00A148A1">
              <w:rPr>
                <w:rFonts w:ascii="Verdana" w:hAnsi="Verdana"/>
                <w:i/>
                <w:iCs/>
                <w:sz w:val="20"/>
                <w:szCs w:val="20"/>
              </w:rPr>
              <w:t>Dossier suivi par :</w:t>
            </w:r>
            <w:r w:rsidRPr="00A37C9F">
              <w:rPr>
                <w:rFonts w:ascii="Verdana" w:hAnsi="Verdana"/>
                <w:sz w:val="20"/>
                <w:szCs w:val="20"/>
              </w:rPr>
              <w:t xml:space="preserve"> </w:t>
            </w:r>
            <w:r>
              <w:rPr>
                <w:rFonts w:ascii="Verdana" w:hAnsi="Verdana"/>
                <w:sz w:val="20"/>
                <w:szCs w:val="20"/>
              </w:rPr>
              <w:t>Gina BONNE, directrice par intérim</w:t>
            </w:r>
            <w:r w:rsidR="000F443B">
              <w:rPr>
                <w:rFonts w:ascii="Verdana" w:hAnsi="Verdana"/>
                <w:sz w:val="20"/>
                <w:szCs w:val="20"/>
              </w:rPr>
              <w:t xml:space="preserve"> – Raj Mohabeer, chargé de mission</w:t>
            </w:r>
          </w:p>
        </w:tc>
        <w:tc>
          <w:tcPr>
            <w:tcW w:w="1837" w:type="dxa"/>
          </w:tcPr>
          <w:p w14:paraId="5AC1AFAB" w14:textId="3B90A041" w:rsidR="00995229" w:rsidRPr="002A0933" w:rsidRDefault="00995229" w:rsidP="00995229">
            <w:pPr>
              <w:jc w:val="center"/>
              <w:rPr>
                <w:rFonts w:ascii="Verdana" w:hAnsi="Verdana"/>
                <w:sz w:val="20"/>
                <w:szCs w:val="20"/>
              </w:rPr>
            </w:pPr>
            <w:r w:rsidRPr="006B416E">
              <w:rPr>
                <w:rFonts w:ascii="Verdana" w:hAnsi="Verdana"/>
                <w:sz w:val="20"/>
                <w:szCs w:val="20"/>
              </w:rPr>
              <w:t>Décision</w:t>
            </w:r>
            <w:r w:rsidRPr="004607F7">
              <w:rPr>
                <w:rFonts w:ascii="Verdana" w:hAnsi="Verdana"/>
                <w:sz w:val="20"/>
                <w:szCs w:val="20"/>
                <w:highlight w:val="yellow"/>
              </w:rPr>
              <w:t xml:space="preserve"> </w:t>
            </w:r>
          </w:p>
        </w:tc>
      </w:tr>
      <w:tr w:rsidR="00995229" w14:paraId="6896DB30" w14:textId="77777777">
        <w:tc>
          <w:tcPr>
            <w:tcW w:w="9062" w:type="dxa"/>
            <w:gridSpan w:val="2"/>
          </w:tcPr>
          <w:p w14:paraId="0495241B" w14:textId="46142FFC" w:rsidR="00995229" w:rsidRDefault="00995229" w:rsidP="00995229">
            <w:pPr>
              <w:rPr>
                <w:rFonts w:ascii="Verdana" w:hAnsi="Verdana"/>
                <w:sz w:val="20"/>
                <w:szCs w:val="20"/>
              </w:rPr>
            </w:pPr>
            <w:r>
              <w:rPr>
                <w:rFonts w:ascii="Verdana" w:hAnsi="Verdana"/>
                <w:i/>
                <w:iCs/>
                <w:sz w:val="20"/>
                <w:szCs w:val="20"/>
              </w:rPr>
              <w:t xml:space="preserve">Version du </w:t>
            </w:r>
            <w:r w:rsidR="001A78FF">
              <w:rPr>
                <w:rFonts w:ascii="Verdana" w:hAnsi="Verdana"/>
                <w:i/>
                <w:iCs/>
                <w:sz w:val="20"/>
                <w:szCs w:val="20"/>
              </w:rPr>
              <w:t>20/04/2026</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41D48EA5" w14:textId="77777777" w:rsidR="00BE2827" w:rsidRPr="00BE2827" w:rsidRDefault="00BE2827" w:rsidP="00BE2827">
      <w:pPr>
        <w:jc w:val="both"/>
        <w:rPr>
          <w:rFonts w:ascii="Verdana" w:hAnsi="Verdana" w:cs="Calibri"/>
          <w:sz w:val="20"/>
          <w:szCs w:val="20"/>
        </w:rPr>
      </w:pPr>
      <w:r w:rsidRPr="00BE2827">
        <w:rPr>
          <w:rFonts w:ascii="Verdana" w:hAnsi="Verdana" w:cs="Calibri"/>
          <w:sz w:val="20"/>
          <w:szCs w:val="20"/>
        </w:rPr>
        <w:t>Conformément à la décision 4) du Comité des Officiers permanents de liaison (OPL) 01/2024, ainsi qu’à la décision 4b) de la session n°02/2025, le Secrétariat général poursuit, de manière continue, la mise en œuvre d’actions concrètes visant à consolider le socle partenarial, en vue d’assurer une meilleure prise en compte des spécificités insulaires propres aux États membres de la COI.</w:t>
      </w:r>
    </w:p>
    <w:p w14:paraId="1BE39DBE" w14:textId="77777777" w:rsidR="00BE2827" w:rsidRDefault="00BE2827" w:rsidP="00BE2827">
      <w:pPr>
        <w:pStyle w:val="Titrepartie"/>
        <w:numPr>
          <w:ilvl w:val="0"/>
          <w:numId w:val="0"/>
        </w:numPr>
        <w:ind w:left="360"/>
        <w:rPr>
          <w:b w:val="0"/>
          <w:bCs w:val="0"/>
          <w:color w:val="auto"/>
          <w:sz w:val="20"/>
        </w:rPr>
      </w:pPr>
    </w:p>
    <w:p w14:paraId="68009DDB" w14:textId="127133F9" w:rsidR="0008468B" w:rsidRDefault="00955BB3" w:rsidP="00BE2827">
      <w:pPr>
        <w:pStyle w:val="Titrepartie"/>
      </w:pPr>
      <w:r w:rsidRPr="0008468B">
        <w:t>Etat d’avancement</w:t>
      </w:r>
    </w:p>
    <w:p w14:paraId="60A21B3C" w14:textId="4C6F7D97" w:rsidR="00BE2827" w:rsidRPr="00BE2827" w:rsidRDefault="00BE2827" w:rsidP="00BE2827">
      <w:pPr>
        <w:jc w:val="both"/>
        <w:rPr>
          <w:rFonts w:ascii="Verdana" w:hAnsi="Verdana" w:cs="Calibri"/>
          <w:sz w:val="20"/>
          <w:szCs w:val="20"/>
        </w:rPr>
      </w:pPr>
      <w:r w:rsidRPr="00BE2827">
        <w:rPr>
          <w:rFonts w:ascii="Verdana" w:hAnsi="Verdana" w:cs="Calibri"/>
          <w:sz w:val="20"/>
          <w:szCs w:val="20"/>
        </w:rPr>
        <w:t>Cela se traduit, d’une part, par la poursuite d’un dialogue régulier avec les membres observateurs et les partenaires actuels de la COI et, d’autre part, par le développement de nouveaux partenariats à l’échelle multilatérale, notamment avec l’Organisation des États d’Afrique, Caraïbes et Pacifique (OEACP), l’A</w:t>
      </w:r>
      <w:r w:rsidR="00792C38">
        <w:rPr>
          <w:rFonts w:ascii="Verdana" w:hAnsi="Verdana" w:cs="Calibri"/>
          <w:sz w:val="20"/>
          <w:szCs w:val="20"/>
        </w:rPr>
        <w:t>gence de développement de l’Union Africaine (A</w:t>
      </w:r>
      <w:r w:rsidRPr="00BE2827">
        <w:rPr>
          <w:rFonts w:ascii="Verdana" w:hAnsi="Verdana" w:cs="Calibri"/>
          <w:sz w:val="20"/>
          <w:szCs w:val="20"/>
        </w:rPr>
        <w:t>UDA-NEPAD</w:t>
      </w:r>
      <w:r w:rsidR="00792C38">
        <w:rPr>
          <w:rFonts w:ascii="Verdana" w:hAnsi="Verdana" w:cs="Calibri"/>
          <w:sz w:val="20"/>
          <w:szCs w:val="20"/>
        </w:rPr>
        <w:t>)</w:t>
      </w:r>
      <w:r w:rsidRPr="00BE2827">
        <w:rPr>
          <w:rFonts w:ascii="Verdana" w:hAnsi="Verdana" w:cs="Calibri"/>
          <w:sz w:val="20"/>
          <w:szCs w:val="20"/>
        </w:rPr>
        <w:t xml:space="preserve"> et la </w:t>
      </w:r>
      <w:r w:rsidR="00792C38">
        <w:rPr>
          <w:rFonts w:ascii="Verdana" w:hAnsi="Verdana" w:cs="Calibri"/>
          <w:sz w:val="20"/>
          <w:szCs w:val="20"/>
        </w:rPr>
        <w:t>Communauté de développement de l’Afrique australe (</w:t>
      </w:r>
      <w:r w:rsidRPr="00BE2827">
        <w:rPr>
          <w:rFonts w:ascii="Verdana" w:hAnsi="Verdana" w:cs="Calibri"/>
          <w:sz w:val="20"/>
          <w:szCs w:val="20"/>
        </w:rPr>
        <w:t>SADC</w:t>
      </w:r>
      <w:r w:rsidR="00792C38">
        <w:rPr>
          <w:rFonts w:ascii="Verdana" w:hAnsi="Verdana" w:cs="Calibri"/>
          <w:sz w:val="20"/>
          <w:szCs w:val="20"/>
        </w:rPr>
        <w:t>)</w:t>
      </w:r>
      <w:r w:rsidRPr="00BE2827">
        <w:rPr>
          <w:rFonts w:ascii="Verdana" w:hAnsi="Verdana" w:cs="Calibri"/>
          <w:sz w:val="20"/>
          <w:szCs w:val="20"/>
        </w:rPr>
        <w:t>. Parallèlement, les partenariats engagés avec l’Organisation internationale de la Francophonie (OIF) font l’objet d’un processus de consolidation et de formalisation, afin de faciliter la mise en œuvre des priorités du Plan de développement stratégique.</w:t>
      </w:r>
    </w:p>
    <w:p w14:paraId="66565D4B" w14:textId="77777777" w:rsidR="00BE2827" w:rsidRDefault="00BE2827" w:rsidP="00BE2827">
      <w:pPr>
        <w:pStyle w:val="Sous-partie2"/>
        <w:numPr>
          <w:ilvl w:val="0"/>
          <w:numId w:val="0"/>
        </w:numPr>
        <w:ind w:left="360"/>
        <w:rPr>
          <w:color w:val="auto"/>
        </w:rPr>
      </w:pPr>
    </w:p>
    <w:p w14:paraId="48AB0783" w14:textId="56CFB7B5" w:rsidR="00426673" w:rsidRDefault="00120F1D" w:rsidP="00BE2827">
      <w:pPr>
        <w:pStyle w:val="Sous-partie2"/>
      </w:pPr>
      <w:r>
        <w:t>Organisation Internationale de la Francophonie</w:t>
      </w:r>
      <w:r w:rsidR="00345BF0">
        <w:t xml:space="preserve"> (OIF)</w:t>
      </w:r>
    </w:p>
    <w:p w14:paraId="0A21C7B3" w14:textId="19367BAB" w:rsidR="630B5DE9" w:rsidRPr="00A04070" w:rsidRDefault="0052372D" w:rsidP="50574FD7">
      <w:pPr>
        <w:pStyle w:val="Titrepartie"/>
        <w:numPr>
          <w:ilvl w:val="0"/>
          <w:numId w:val="0"/>
        </w:numPr>
        <w:rPr>
          <w:b w:val="0"/>
          <w:bCs w:val="0"/>
          <w:sz w:val="20"/>
        </w:rPr>
      </w:pPr>
      <w:r w:rsidRPr="00A04070">
        <w:rPr>
          <w:rFonts w:eastAsiaTheme="minorEastAsia" w:cstheme="minorBidi"/>
          <w:b w:val="0"/>
          <w:bCs w:val="0"/>
          <w:color w:val="auto"/>
          <w:sz w:val="20"/>
        </w:rPr>
        <w:t>À la suite de</w:t>
      </w:r>
      <w:r w:rsidR="630B5DE9" w:rsidRPr="00A04070">
        <w:rPr>
          <w:rFonts w:eastAsiaTheme="minorEastAsia" w:cstheme="minorBidi"/>
          <w:b w:val="0"/>
          <w:bCs w:val="0"/>
          <w:color w:val="auto"/>
          <w:sz w:val="20"/>
        </w:rPr>
        <w:t xml:space="preserve"> la décision du dernier COPL de novembre 2025, les États membres ont transmis leurs commentaires ainsi que leur validation de la proposition de révision de l’accord de partenariat avec l’OIF. À la lumière des observations formulées par Madagascar, des insertions complémentaires ont été apportées au document. Cette version consolidée, intégrant les contributions malgaches (annexe 1), a été transmise à l’OIF, qui, à ce jour, n’a pas encore formulé de retour officiel. Selon les derniers échanges avec leurs services, aucune avancée substantielle n’a été enregistrée de leur côté à ce stade.</w:t>
      </w:r>
    </w:p>
    <w:p w14:paraId="54A119A3" w14:textId="77777777" w:rsidR="00006E4D" w:rsidRPr="00006E4D" w:rsidRDefault="00006E4D" w:rsidP="00006E4D">
      <w:pPr>
        <w:pStyle w:val="Sous-partie2"/>
        <w:numPr>
          <w:ilvl w:val="0"/>
          <w:numId w:val="0"/>
        </w:numPr>
        <w:rPr>
          <w:color w:val="auto"/>
        </w:rPr>
      </w:pPr>
    </w:p>
    <w:p w14:paraId="3F5B79C6" w14:textId="00EFAB4F" w:rsidR="001A7949" w:rsidRDefault="009C3076" w:rsidP="002C56ED">
      <w:pPr>
        <w:pStyle w:val="Sous-partie2"/>
      </w:pPr>
      <w:r>
        <w:t>Promotion d</w:t>
      </w:r>
      <w:r w:rsidR="00901CDD">
        <w:t>u</w:t>
      </w:r>
      <w:r w:rsidR="00901CDD" w:rsidRPr="00901CDD">
        <w:t xml:space="preserve"> développement économique intégré, durable et innovant</w:t>
      </w:r>
    </w:p>
    <w:p w14:paraId="333FE2D0" w14:textId="77777777" w:rsidR="00792C38" w:rsidRDefault="00792C38" w:rsidP="00792C38">
      <w:pPr>
        <w:pStyle w:val="Paragraphe"/>
      </w:pPr>
      <w:r>
        <w:t xml:space="preserve">Conformément à la décision </w:t>
      </w:r>
      <w:r w:rsidRPr="00792C38">
        <w:t>4b) du Comité des Officiers permanents de liaison (OPL) 01/2024</w:t>
      </w:r>
      <w:r>
        <w:t xml:space="preserve">, les discussions ont été reprises avec de nouveaux interlocuteurs auprès de l’OEACP, afin d’avancer dans la consolidation du cadre de partenariat proposé par la COI en 2024. </w:t>
      </w:r>
    </w:p>
    <w:p w14:paraId="42BD4762" w14:textId="7344D8D9" w:rsidR="00B166F7" w:rsidRDefault="00BE2827" w:rsidP="00792C38">
      <w:pPr>
        <w:pStyle w:val="Paragraphe"/>
      </w:pPr>
      <w:r w:rsidRPr="00BE2827">
        <w:t>Conformément à la décision 4b) du COPL n°02/2025, et dans une optique de formalisation de la coopération sur des thématiques d’intérêt commun, le Secrétaire général a initié des échanges avec l’AUDA-NEPAD et la SADC en vue d’élaborer des cadres de partenariat structurés.</w:t>
      </w:r>
    </w:p>
    <w:p w14:paraId="5D671ED1" w14:textId="60185D63" w:rsidR="00F26F90" w:rsidRDefault="00F26F90" w:rsidP="00F26F90">
      <w:pPr>
        <w:pStyle w:val="Sous-partie2"/>
        <w:numPr>
          <w:ilvl w:val="0"/>
          <w:numId w:val="0"/>
        </w:numPr>
        <w:rPr>
          <w:color w:val="auto"/>
        </w:rPr>
      </w:pPr>
      <w:r w:rsidRPr="00F26F90">
        <w:rPr>
          <w:color w:val="auto"/>
        </w:rPr>
        <w:t xml:space="preserve">Une proposition de cadre de partenariat a été élaborée conjointement par la COI et la SADC. </w:t>
      </w:r>
      <w:r>
        <w:rPr>
          <w:color w:val="auto"/>
        </w:rPr>
        <w:t>Elle</w:t>
      </w:r>
      <w:r w:rsidRPr="00F26F90">
        <w:rPr>
          <w:color w:val="auto"/>
        </w:rPr>
        <w:t xml:space="preserve"> est en cours de consolidation au sein de la SADC, avant sa transmission aux États membres de la COI pour examen, amendements et validation.</w:t>
      </w:r>
    </w:p>
    <w:p w14:paraId="36406584" w14:textId="77777777" w:rsidR="00F26F90" w:rsidRPr="00F26F90" w:rsidRDefault="00F26F90" w:rsidP="00F26F90">
      <w:pPr>
        <w:pStyle w:val="Sous-partie2"/>
        <w:numPr>
          <w:ilvl w:val="0"/>
          <w:numId w:val="0"/>
        </w:numPr>
        <w:rPr>
          <w:color w:val="auto"/>
        </w:rPr>
      </w:pPr>
    </w:p>
    <w:p w14:paraId="5322758D" w14:textId="486AC262" w:rsidR="00F26F90" w:rsidRDefault="00F26F90" w:rsidP="00F26F90">
      <w:pPr>
        <w:pStyle w:val="Sous-partie2"/>
        <w:numPr>
          <w:ilvl w:val="0"/>
          <w:numId w:val="0"/>
        </w:numPr>
        <w:rPr>
          <w:color w:val="auto"/>
        </w:rPr>
      </w:pPr>
      <w:r w:rsidRPr="00F26F90">
        <w:rPr>
          <w:color w:val="auto"/>
        </w:rPr>
        <w:t>Par ailleurs, le Secrétariat général demeure dans l’attente de la désignation du point focal de l’AUDA-NEPAD, condition nécessaire à la poursuite des échanges relatifs à l’élaboration d</w:t>
      </w:r>
      <w:r w:rsidR="00F43B16">
        <w:rPr>
          <w:color w:val="auto"/>
        </w:rPr>
        <w:t>’</w:t>
      </w:r>
      <w:r w:rsidRPr="00F26F90">
        <w:rPr>
          <w:color w:val="auto"/>
        </w:rPr>
        <w:t>u</w:t>
      </w:r>
      <w:r w:rsidR="00F43B16">
        <w:rPr>
          <w:color w:val="auto"/>
        </w:rPr>
        <w:t>n</w:t>
      </w:r>
      <w:r w:rsidRPr="00F26F90">
        <w:rPr>
          <w:color w:val="auto"/>
        </w:rPr>
        <w:t xml:space="preserve"> cadre de partenariat.</w:t>
      </w:r>
    </w:p>
    <w:p w14:paraId="0F7B87EE" w14:textId="77777777" w:rsidR="00F26F90" w:rsidRDefault="00F26F90" w:rsidP="00F26F90">
      <w:pPr>
        <w:pStyle w:val="Sous-partie2"/>
        <w:numPr>
          <w:ilvl w:val="0"/>
          <w:numId w:val="0"/>
        </w:numPr>
        <w:rPr>
          <w:color w:val="auto"/>
        </w:rPr>
      </w:pPr>
    </w:p>
    <w:p w14:paraId="2F7F5914" w14:textId="608AD6BB" w:rsidR="00955BB3" w:rsidRPr="0008468B" w:rsidRDefault="00955BB3" w:rsidP="00A70123">
      <w:pPr>
        <w:pStyle w:val="Titrepartie"/>
      </w:pPr>
      <w:r w:rsidRPr="0008468B">
        <w:t>Proposition de décision</w:t>
      </w:r>
    </w:p>
    <w:p w14:paraId="05F1F967" w14:textId="5C962838" w:rsidR="0008468B" w:rsidRPr="004F5C4B" w:rsidRDefault="0008468B" w:rsidP="00FE285D">
      <w:pPr>
        <w:pStyle w:val="Paragraphe"/>
      </w:pPr>
      <w:r w:rsidRPr="004F5C4B">
        <w:t>Le Comité des OPL</w:t>
      </w:r>
      <w:r w:rsidR="001A7949">
        <w:t xml:space="preserve"> </w:t>
      </w:r>
      <w:r w:rsidR="00A76B07">
        <w:t>:</w:t>
      </w:r>
    </w:p>
    <w:p w14:paraId="59B4A6E5" w14:textId="77777777" w:rsidR="009268E9" w:rsidRDefault="001A7949" w:rsidP="00FE285D">
      <w:pPr>
        <w:pStyle w:val="Paragraphe"/>
        <w:numPr>
          <w:ilvl w:val="0"/>
          <w:numId w:val="6"/>
        </w:numPr>
      </w:pPr>
      <w:r w:rsidRPr="001A7949">
        <w:t>Prend note de l’avancement d</w:t>
      </w:r>
      <w:r>
        <w:t xml:space="preserve">es discussions avec </w:t>
      </w:r>
      <w:r w:rsidR="00F26F90">
        <w:t>l</w:t>
      </w:r>
      <w:r w:rsidR="00792C38">
        <w:t xml:space="preserve">’OEACP, la </w:t>
      </w:r>
      <w:r w:rsidR="00F26F90">
        <w:t>SADC et l’AUDA-NEPAD</w:t>
      </w:r>
      <w:r>
        <w:t xml:space="preserve"> et encourage le Secrétariat général à </w:t>
      </w:r>
      <w:r w:rsidR="00F26F90">
        <w:t>finaliser dans les meilleurs délais les propositions de cadres de partenariat, de soumettre pour consultation des Etats-membres, en vue de l’approbation des instances</w:t>
      </w:r>
      <w:r w:rsidR="009268E9">
        <w:t xml:space="preserve"> ; </w:t>
      </w:r>
    </w:p>
    <w:p w14:paraId="2EF98790" w14:textId="49E62BAE" w:rsidR="0008468B" w:rsidRDefault="00555141" w:rsidP="00FE285D">
      <w:pPr>
        <w:pStyle w:val="Paragraphe"/>
        <w:numPr>
          <w:ilvl w:val="0"/>
          <w:numId w:val="6"/>
        </w:numPr>
      </w:pPr>
      <w:r>
        <w:t>Invite</w:t>
      </w:r>
      <w:r w:rsidR="00E44878">
        <w:t xml:space="preserve"> le Secrétariat général à </w:t>
      </w:r>
      <w:r w:rsidR="00937D0D">
        <w:t>informer les États membres de la</w:t>
      </w:r>
      <w:r w:rsidR="00786E01">
        <w:t xml:space="preserve"> position de l’OIF sur le projet d’ac</w:t>
      </w:r>
      <w:r w:rsidR="001F514C">
        <w:t>cord de partenariat</w:t>
      </w:r>
      <w:r w:rsidR="000B56E4">
        <w:t xml:space="preserve"> et</w:t>
      </w:r>
      <w:r w:rsidR="00707EF6">
        <w:t xml:space="preserve"> à solliciter </w:t>
      </w:r>
      <w:r w:rsidR="00311F58">
        <w:t xml:space="preserve">l’autorisation des </w:t>
      </w:r>
      <w:r w:rsidR="00C93A7E">
        <w:t>États membres pour sa signature</w:t>
      </w:r>
      <w:r w:rsidR="001A7949">
        <w:t>.</w:t>
      </w:r>
    </w:p>
    <w:p w14:paraId="6BA83E18" w14:textId="77777777" w:rsidR="0073113C" w:rsidRDefault="0073113C" w:rsidP="0073113C">
      <w:pPr>
        <w:pStyle w:val="Paragraphe"/>
        <w:ind w:left="720"/>
      </w:pPr>
    </w:p>
    <w:p w14:paraId="7EAEB404" w14:textId="72ACB4A7" w:rsidR="00955BB3" w:rsidRPr="0008468B" w:rsidRDefault="00955BB3" w:rsidP="00FE285D">
      <w:pPr>
        <w:pStyle w:val="Titrepartie"/>
      </w:pPr>
      <w:r w:rsidRPr="0008468B">
        <w:t>Rappel des décisions antérieures</w:t>
      </w:r>
    </w:p>
    <w:bookmarkEnd w:id="0"/>
    <w:p w14:paraId="3BDFE1E7" w14:textId="77777777" w:rsidR="009D297E" w:rsidRPr="009D297E" w:rsidRDefault="006368FC" w:rsidP="006368FC">
      <w:pPr>
        <w:pStyle w:val="Paragraphe"/>
        <w:numPr>
          <w:ilvl w:val="0"/>
          <w:numId w:val="17"/>
        </w:numPr>
      </w:pPr>
      <w:r w:rsidRPr="006368FC">
        <w:rPr>
          <w:b/>
          <w:bCs/>
          <w:i/>
          <w:iCs/>
        </w:rPr>
        <w:t>cf. Décision 5d)</w:t>
      </w:r>
      <w:r>
        <w:rPr>
          <w:b/>
          <w:bCs/>
          <w:i/>
          <w:iCs/>
        </w:rPr>
        <w:t>, priorité de la présidence en exercice,</w:t>
      </w:r>
      <w:r w:rsidRPr="006368FC">
        <w:rPr>
          <w:b/>
          <w:bCs/>
          <w:i/>
          <w:iCs/>
        </w:rPr>
        <w:t xml:space="preserve"> 37ème conseil des ministres de la C</w:t>
      </w:r>
      <w:r>
        <w:rPr>
          <w:b/>
          <w:bCs/>
          <w:i/>
          <w:iCs/>
        </w:rPr>
        <w:t>OI</w:t>
      </w:r>
      <w:r w:rsidR="009D297E">
        <w:rPr>
          <w:b/>
          <w:bCs/>
          <w:i/>
          <w:iCs/>
        </w:rPr>
        <w:t>, 17 mai 2023</w:t>
      </w:r>
      <w:r>
        <w:rPr>
          <w:b/>
          <w:bCs/>
          <w:i/>
          <w:iCs/>
        </w:rPr>
        <w:t xml:space="preserve"> : </w:t>
      </w:r>
    </w:p>
    <w:p w14:paraId="1393F775" w14:textId="1BB9A446" w:rsidR="006368FC" w:rsidRDefault="006368FC" w:rsidP="009D297E">
      <w:pPr>
        <w:pStyle w:val="Paragraphe"/>
        <w:ind w:left="360"/>
      </w:pPr>
      <w:r>
        <w:t xml:space="preserve">Prend note des actions envisagées en faveur du développement des échanges économiques comme indiqué dans le PDS 2023-2033 ;  </w:t>
      </w:r>
    </w:p>
    <w:p w14:paraId="49817418" w14:textId="09B9A060" w:rsidR="00ED3DD8" w:rsidRPr="00ED3DD8" w:rsidRDefault="006368FC" w:rsidP="00ED3DD8">
      <w:pPr>
        <w:pStyle w:val="Paragraphe"/>
        <w:numPr>
          <w:ilvl w:val="0"/>
          <w:numId w:val="17"/>
        </w:numPr>
      </w:pPr>
      <w:r w:rsidRPr="006368FC">
        <w:rPr>
          <w:b/>
          <w:bCs/>
          <w:i/>
          <w:iCs/>
        </w:rPr>
        <w:t>cf. Décision 4</w:t>
      </w:r>
      <w:r w:rsidR="00ED3DD8">
        <w:rPr>
          <w:b/>
          <w:bCs/>
          <w:i/>
          <w:iCs/>
        </w:rPr>
        <w:t xml:space="preserve">b) et 4c) </w:t>
      </w:r>
      <w:r w:rsidRPr="006368FC">
        <w:rPr>
          <w:b/>
          <w:bCs/>
          <w:i/>
          <w:iCs/>
        </w:rPr>
        <w:t>du Comité des Officiers permanents de liaison (OPL) 01/2024</w:t>
      </w:r>
      <w:r w:rsidR="009D297E">
        <w:rPr>
          <w:b/>
          <w:bCs/>
          <w:i/>
          <w:iCs/>
        </w:rPr>
        <w:t>, 22 et 23 avril 2024</w:t>
      </w:r>
      <w:r w:rsidR="00ED3DD8">
        <w:rPr>
          <w:b/>
          <w:bCs/>
          <w:i/>
          <w:iCs/>
        </w:rPr>
        <w:t> :</w:t>
      </w:r>
    </w:p>
    <w:p w14:paraId="1D95B8D5" w14:textId="064F979C" w:rsidR="00ED3DD8" w:rsidRPr="00ED3DD8" w:rsidRDefault="00ED3DD8" w:rsidP="00ED3DD8">
      <w:pPr>
        <w:pStyle w:val="Paragraphe"/>
        <w:ind w:left="360"/>
      </w:pPr>
      <w:r w:rsidRPr="00ED3DD8">
        <w:t>Demande au Secrétariat général de proposer un cadre de partenariat avec l’Organisation des Etats d’Afrique, Caraïbes et Pacifique (OEACP) dans une perspective de prise en compte des intérêts insulaires de l’Afrique et de l’océan Indien dans le cadre des prochains programmes de l’OEACP tel que prévu par l’accord de Samoa.</w:t>
      </w:r>
    </w:p>
    <w:p w14:paraId="572602FC" w14:textId="592002B3" w:rsidR="009D297E" w:rsidRPr="009D297E" w:rsidRDefault="00792C38" w:rsidP="009D297E">
      <w:pPr>
        <w:pStyle w:val="Paragraphe"/>
        <w:numPr>
          <w:ilvl w:val="0"/>
          <w:numId w:val="17"/>
        </w:numPr>
        <w:rPr>
          <w:b/>
          <w:bCs/>
          <w:i/>
          <w:iCs/>
        </w:rPr>
      </w:pPr>
      <w:r>
        <w:rPr>
          <w:b/>
          <w:bCs/>
          <w:i/>
          <w:iCs/>
        </w:rPr>
        <w:t>c</w:t>
      </w:r>
      <w:r w:rsidR="009D297E">
        <w:rPr>
          <w:b/>
          <w:bCs/>
          <w:i/>
          <w:iCs/>
        </w:rPr>
        <w:t>f. D</w:t>
      </w:r>
      <w:r w:rsidR="009D297E" w:rsidRPr="009D297E">
        <w:rPr>
          <w:b/>
          <w:bCs/>
          <w:i/>
          <w:iCs/>
        </w:rPr>
        <w:t xml:space="preserve">écision </w:t>
      </w:r>
      <w:r w:rsidR="00F26F90">
        <w:rPr>
          <w:b/>
          <w:bCs/>
          <w:i/>
          <w:iCs/>
        </w:rPr>
        <w:t>4b</w:t>
      </w:r>
      <w:r w:rsidR="009D297E" w:rsidRPr="009D297E">
        <w:rPr>
          <w:b/>
          <w:bCs/>
          <w:i/>
          <w:iCs/>
        </w:rPr>
        <w:t xml:space="preserve">) </w:t>
      </w:r>
      <w:r w:rsidR="00F26F90">
        <w:rPr>
          <w:b/>
          <w:bCs/>
          <w:i/>
          <w:iCs/>
        </w:rPr>
        <w:t xml:space="preserve">du </w:t>
      </w:r>
      <w:r w:rsidR="00F26F90" w:rsidRPr="006368FC">
        <w:rPr>
          <w:b/>
          <w:bCs/>
          <w:i/>
          <w:iCs/>
        </w:rPr>
        <w:t>Comité des Officiers permanents de liaison (OPL) 0</w:t>
      </w:r>
      <w:r w:rsidR="00F26F90">
        <w:rPr>
          <w:b/>
          <w:bCs/>
          <w:i/>
          <w:iCs/>
        </w:rPr>
        <w:t>2</w:t>
      </w:r>
      <w:r w:rsidR="00F26F90" w:rsidRPr="006368FC">
        <w:rPr>
          <w:b/>
          <w:bCs/>
          <w:i/>
          <w:iCs/>
        </w:rPr>
        <w:t>/202</w:t>
      </w:r>
      <w:r w:rsidR="00F26F90">
        <w:rPr>
          <w:b/>
          <w:bCs/>
          <w:i/>
          <w:iCs/>
        </w:rPr>
        <w:t>5, 11 au 13 novembre 2025 :</w:t>
      </w:r>
    </w:p>
    <w:p w14:paraId="16E18EB7" w14:textId="7815B80B" w:rsidR="006368FC" w:rsidRDefault="00F26F90" w:rsidP="00907B69">
      <w:pPr>
        <w:pStyle w:val="Paragraphe"/>
        <w:ind w:left="360"/>
      </w:pPr>
      <w:r w:rsidRPr="00F26F90">
        <w:t>Demande au Secrétariat général de proposer aux prochaines instances des cadres de partenariat avec l’Agence de développement de l’Union africaine-NEPAD (AUDA-NEPAD) et avec la Communauté de développement de l’Afrique australe (SADC) afin de formaliser les collaborations sur les sujets d’intérêt commun.</w:t>
      </w:r>
    </w:p>
    <w:p w14:paraId="63980D12" w14:textId="77777777" w:rsidR="0073113C" w:rsidRPr="009D297E" w:rsidRDefault="0073113C" w:rsidP="00907B69">
      <w:pPr>
        <w:pStyle w:val="Paragraphe"/>
        <w:ind w:left="360"/>
      </w:pPr>
    </w:p>
    <w:p w14:paraId="1D6F1669" w14:textId="72833CAD" w:rsidR="00417683" w:rsidRPr="0008468B" w:rsidRDefault="00417683" w:rsidP="00060CA0">
      <w:pPr>
        <w:pStyle w:val="Titrepartie"/>
      </w:pPr>
      <w:r w:rsidRPr="0008468B">
        <w:t>Annexe</w:t>
      </w:r>
      <w:r w:rsidR="008F173C" w:rsidRPr="0008468B">
        <w:t>s</w:t>
      </w:r>
      <w:r w:rsidRPr="0008468B">
        <w:t> :</w:t>
      </w:r>
    </w:p>
    <w:p w14:paraId="374F3417" w14:textId="20318E9B" w:rsidR="00C325F5" w:rsidRDefault="00620B90">
      <w:pPr>
        <w:pStyle w:val="Paragraphe"/>
        <w:numPr>
          <w:ilvl w:val="0"/>
          <w:numId w:val="9"/>
        </w:numPr>
      </w:pPr>
      <w:r>
        <w:t xml:space="preserve">Annexe 1 : </w:t>
      </w:r>
      <w:r w:rsidR="00F26F90">
        <w:t>Proposition d’a</w:t>
      </w:r>
      <w:r w:rsidR="009D297E">
        <w:t>ccord cadre de partenariat avec l</w:t>
      </w:r>
      <w:r w:rsidR="001B436C">
        <w:t>’OIF</w:t>
      </w:r>
      <w:r w:rsidR="00F26F90">
        <w:t xml:space="preserve">. </w:t>
      </w:r>
    </w:p>
    <w:sectPr w:rsidR="00C325F5" w:rsidSect="00367785">
      <w:headerReference w:type="default" r:id="rId7"/>
      <w:footerReference w:type="default" r:id="rId8"/>
      <w:pgSz w:w="11906" w:h="16838"/>
      <w:pgMar w:top="1560"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41875" w14:textId="77777777" w:rsidR="00FD6B5D" w:rsidRDefault="00FD6B5D">
      <w:pPr>
        <w:spacing w:after="0" w:line="240" w:lineRule="auto"/>
      </w:pPr>
      <w:r>
        <w:separator/>
      </w:r>
    </w:p>
  </w:endnote>
  <w:endnote w:type="continuationSeparator" w:id="0">
    <w:p w14:paraId="0F7AFC70" w14:textId="77777777" w:rsidR="00FD6B5D" w:rsidRDefault="00FD6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Footer"/>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C3EDF" w14:textId="77777777" w:rsidR="00FD6B5D" w:rsidRDefault="00FD6B5D">
      <w:pPr>
        <w:spacing w:after="0" w:line="240" w:lineRule="auto"/>
      </w:pPr>
      <w:r>
        <w:separator/>
      </w:r>
    </w:p>
  </w:footnote>
  <w:footnote w:type="continuationSeparator" w:id="0">
    <w:p w14:paraId="13F64DB0" w14:textId="77777777" w:rsidR="00FD6B5D" w:rsidRDefault="00FD6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36E2AA0F" w:rsidR="00AA63A3" w:rsidRDefault="00854EEA" w:rsidP="0073113C">
    <w:pPr>
      <w:pStyle w:val="Header"/>
      <w:pBdr>
        <w:bottom w:val="single" w:sz="4" w:space="1" w:color="0070C0"/>
      </w:pBdr>
      <w:tabs>
        <w:tab w:val="clear" w:pos="4536"/>
        <w:tab w:val="clear" w:pos="9072"/>
        <w:tab w:val="center" w:pos="0"/>
      </w:tabs>
    </w:pPr>
    <w:r>
      <w:rPr>
        <w:i/>
        <w:iCs/>
        <w:noProof/>
      </w:rPr>
      <w:drawing>
        <wp:inline distT="0" distB="0" distL="0" distR="0" wp14:anchorId="09635A91" wp14:editId="3A6A5A2C">
          <wp:extent cx="1090909" cy="360000"/>
          <wp:effectExtent l="0" t="0" r="0" b="2540"/>
          <wp:docPr id="501524703" name="Image 50152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995229">
      <w:rPr>
        <w:rFonts w:ascii="Verdana" w:hAnsi="Verdana"/>
        <w:b/>
        <w:bCs/>
        <w:sz w:val="20"/>
        <w:szCs w:val="20"/>
      </w:rPr>
      <w:t>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F554EF"/>
    <w:multiLevelType w:val="hybridMultilevel"/>
    <w:tmpl w:val="D362025A"/>
    <w:lvl w:ilvl="0" w:tplc="8208CE96">
      <w:start w:val="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EB470B"/>
    <w:multiLevelType w:val="multilevel"/>
    <w:tmpl w:val="8752B7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8D0FA9"/>
    <w:multiLevelType w:val="hybridMultilevel"/>
    <w:tmpl w:val="213EC2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747308760">
    <w:abstractNumId w:val="5"/>
  </w:num>
  <w:num w:numId="2" w16cid:durableId="1268386909">
    <w:abstractNumId w:val="9"/>
  </w:num>
  <w:num w:numId="3" w16cid:durableId="217471169">
    <w:abstractNumId w:val="2"/>
  </w:num>
  <w:num w:numId="4" w16cid:durableId="1294939931">
    <w:abstractNumId w:val="0"/>
  </w:num>
  <w:num w:numId="5" w16cid:durableId="1229994288">
    <w:abstractNumId w:val="8"/>
  </w:num>
  <w:num w:numId="6" w16cid:durableId="1306469656">
    <w:abstractNumId w:val="3"/>
  </w:num>
  <w:num w:numId="7" w16cid:durableId="509443096">
    <w:abstractNumId w:val="6"/>
  </w:num>
  <w:num w:numId="8" w16cid:durableId="1579167283">
    <w:abstractNumId w:val="2"/>
    <w:lvlOverride w:ilvl="0">
      <w:startOverride w:val="1"/>
    </w:lvlOverride>
  </w:num>
  <w:num w:numId="9" w16cid:durableId="573584003">
    <w:abstractNumId w:val="1"/>
  </w:num>
  <w:num w:numId="10" w16cid:durableId="9203347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7714366">
    <w:abstractNumId w:val="2"/>
  </w:num>
  <w:num w:numId="12" w16cid:durableId="1298025872">
    <w:abstractNumId w:val="4"/>
  </w:num>
  <w:num w:numId="13" w16cid:durableId="364602987">
    <w:abstractNumId w:val="2"/>
  </w:num>
  <w:num w:numId="14" w16cid:durableId="19645373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0773908">
    <w:abstractNumId w:val="2"/>
  </w:num>
  <w:num w:numId="16" w16cid:durableId="709695611">
    <w:abstractNumId w:val="2"/>
  </w:num>
  <w:num w:numId="17" w16cid:durableId="799956313">
    <w:abstractNumId w:val="10"/>
  </w:num>
  <w:num w:numId="18" w16cid:durableId="8462151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6814987">
    <w:abstractNumId w:val="2"/>
  </w:num>
  <w:num w:numId="20" w16cid:durableId="29037278">
    <w:abstractNumId w:val="2"/>
  </w:num>
  <w:num w:numId="21" w16cid:durableId="1571966269">
    <w:abstractNumId w:val="2"/>
  </w:num>
  <w:num w:numId="22" w16cid:durableId="1636834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15CA"/>
    <w:rsid w:val="00006E4D"/>
    <w:rsid w:val="00033724"/>
    <w:rsid w:val="000373B2"/>
    <w:rsid w:val="00042CF5"/>
    <w:rsid w:val="00060CA0"/>
    <w:rsid w:val="00063A26"/>
    <w:rsid w:val="0008468B"/>
    <w:rsid w:val="000A3659"/>
    <w:rsid w:val="000A468A"/>
    <w:rsid w:val="000B0FBD"/>
    <w:rsid w:val="000B56E4"/>
    <w:rsid w:val="000F443B"/>
    <w:rsid w:val="000F4728"/>
    <w:rsid w:val="001043FD"/>
    <w:rsid w:val="00107D9D"/>
    <w:rsid w:val="00120F1D"/>
    <w:rsid w:val="00124559"/>
    <w:rsid w:val="001404DA"/>
    <w:rsid w:val="001452EE"/>
    <w:rsid w:val="0018252D"/>
    <w:rsid w:val="00197271"/>
    <w:rsid w:val="001A56F1"/>
    <w:rsid w:val="001A78FF"/>
    <w:rsid w:val="001A7949"/>
    <w:rsid w:val="001A7997"/>
    <w:rsid w:val="001B3C9E"/>
    <w:rsid w:val="001B436C"/>
    <w:rsid w:val="001B4738"/>
    <w:rsid w:val="001F514C"/>
    <w:rsid w:val="00221DE9"/>
    <w:rsid w:val="002536B7"/>
    <w:rsid w:val="002767CB"/>
    <w:rsid w:val="002A0933"/>
    <w:rsid w:val="002A096E"/>
    <w:rsid w:val="002C56ED"/>
    <w:rsid w:val="002C729B"/>
    <w:rsid w:val="002E7472"/>
    <w:rsid w:val="0030426F"/>
    <w:rsid w:val="00311F58"/>
    <w:rsid w:val="00345BF0"/>
    <w:rsid w:val="003465A6"/>
    <w:rsid w:val="003604B9"/>
    <w:rsid w:val="00367785"/>
    <w:rsid w:val="003772FB"/>
    <w:rsid w:val="00377CF7"/>
    <w:rsid w:val="00391152"/>
    <w:rsid w:val="003C2538"/>
    <w:rsid w:val="003D485F"/>
    <w:rsid w:val="003D5328"/>
    <w:rsid w:val="0041278C"/>
    <w:rsid w:val="004158D1"/>
    <w:rsid w:val="00417683"/>
    <w:rsid w:val="00426673"/>
    <w:rsid w:val="004607F7"/>
    <w:rsid w:val="00471CDD"/>
    <w:rsid w:val="004C3B5A"/>
    <w:rsid w:val="004C6381"/>
    <w:rsid w:val="004F5C4B"/>
    <w:rsid w:val="004F6A8C"/>
    <w:rsid w:val="004F7F8F"/>
    <w:rsid w:val="00510B6B"/>
    <w:rsid w:val="0052372D"/>
    <w:rsid w:val="0053773D"/>
    <w:rsid w:val="00555141"/>
    <w:rsid w:val="005A6922"/>
    <w:rsid w:val="005B353E"/>
    <w:rsid w:val="00612141"/>
    <w:rsid w:val="00620B90"/>
    <w:rsid w:val="006356AF"/>
    <w:rsid w:val="006368FC"/>
    <w:rsid w:val="006548BF"/>
    <w:rsid w:val="00656329"/>
    <w:rsid w:val="00660504"/>
    <w:rsid w:val="00682583"/>
    <w:rsid w:val="006A210D"/>
    <w:rsid w:val="006B61BE"/>
    <w:rsid w:val="006B663D"/>
    <w:rsid w:val="006E2D9E"/>
    <w:rsid w:val="006E5737"/>
    <w:rsid w:val="006F0DB2"/>
    <w:rsid w:val="006F3548"/>
    <w:rsid w:val="00707EF6"/>
    <w:rsid w:val="0073113C"/>
    <w:rsid w:val="007450EE"/>
    <w:rsid w:val="00786E01"/>
    <w:rsid w:val="00792C38"/>
    <w:rsid w:val="007B245C"/>
    <w:rsid w:val="007C78FC"/>
    <w:rsid w:val="00802AAC"/>
    <w:rsid w:val="0081151A"/>
    <w:rsid w:val="00816DAC"/>
    <w:rsid w:val="0083290E"/>
    <w:rsid w:val="00843FF2"/>
    <w:rsid w:val="008453AB"/>
    <w:rsid w:val="00854EEA"/>
    <w:rsid w:val="008551DA"/>
    <w:rsid w:val="008D193F"/>
    <w:rsid w:val="008F173C"/>
    <w:rsid w:val="009014FF"/>
    <w:rsid w:val="00901CDD"/>
    <w:rsid w:val="00907B69"/>
    <w:rsid w:val="009268E9"/>
    <w:rsid w:val="00937D0D"/>
    <w:rsid w:val="00955BB3"/>
    <w:rsid w:val="00995229"/>
    <w:rsid w:val="009A38AD"/>
    <w:rsid w:val="009B5E14"/>
    <w:rsid w:val="009C3076"/>
    <w:rsid w:val="009D297E"/>
    <w:rsid w:val="009E2084"/>
    <w:rsid w:val="009E307F"/>
    <w:rsid w:val="009F3F50"/>
    <w:rsid w:val="00A04070"/>
    <w:rsid w:val="00A148A1"/>
    <w:rsid w:val="00A21703"/>
    <w:rsid w:val="00A36C09"/>
    <w:rsid w:val="00A37C9F"/>
    <w:rsid w:val="00A54206"/>
    <w:rsid w:val="00A70123"/>
    <w:rsid w:val="00A76B07"/>
    <w:rsid w:val="00A81B98"/>
    <w:rsid w:val="00A90305"/>
    <w:rsid w:val="00A92755"/>
    <w:rsid w:val="00AA63A3"/>
    <w:rsid w:val="00AB5EB7"/>
    <w:rsid w:val="00AD4D97"/>
    <w:rsid w:val="00AE1C8F"/>
    <w:rsid w:val="00AE2453"/>
    <w:rsid w:val="00B05DFC"/>
    <w:rsid w:val="00B166F7"/>
    <w:rsid w:val="00B36EEA"/>
    <w:rsid w:val="00BA4B55"/>
    <w:rsid w:val="00BE2827"/>
    <w:rsid w:val="00C1135B"/>
    <w:rsid w:val="00C12C93"/>
    <w:rsid w:val="00C325F5"/>
    <w:rsid w:val="00C42685"/>
    <w:rsid w:val="00C43556"/>
    <w:rsid w:val="00C457E8"/>
    <w:rsid w:val="00C609B9"/>
    <w:rsid w:val="00C7584F"/>
    <w:rsid w:val="00C93A7E"/>
    <w:rsid w:val="00CE2386"/>
    <w:rsid w:val="00CE665C"/>
    <w:rsid w:val="00D31359"/>
    <w:rsid w:val="00D4564F"/>
    <w:rsid w:val="00D834D0"/>
    <w:rsid w:val="00DA017A"/>
    <w:rsid w:val="00E04C3D"/>
    <w:rsid w:val="00E32408"/>
    <w:rsid w:val="00E44878"/>
    <w:rsid w:val="00E61893"/>
    <w:rsid w:val="00E845D4"/>
    <w:rsid w:val="00E95BE0"/>
    <w:rsid w:val="00EC22CC"/>
    <w:rsid w:val="00ED3DD8"/>
    <w:rsid w:val="00ED6B69"/>
    <w:rsid w:val="00EE34F4"/>
    <w:rsid w:val="00EF22A4"/>
    <w:rsid w:val="00F26F90"/>
    <w:rsid w:val="00F35D5F"/>
    <w:rsid w:val="00F43B16"/>
    <w:rsid w:val="00F54EA0"/>
    <w:rsid w:val="00F90190"/>
    <w:rsid w:val="00F96EE9"/>
    <w:rsid w:val="00FD6B5D"/>
    <w:rsid w:val="00FE285D"/>
    <w:rsid w:val="00FE6B20"/>
    <w:rsid w:val="00FF554E"/>
    <w:rsid w:val="22025FEE"/>
    <w:rsid w:val="36414855"/>
    <w:rsid w:val="50574FD7"/>
    <w:rsid w:val="630B5D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3C17CB1E-C820-4E18-ACDB-CADF2DC0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6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7683"/>
  </w:style>
  <w:style w:type="paragraph" w:styleId="Footer">
    <w:name w:val="footer"/>
    <w:basedOn w:val="Normal"/>
    <w:link w:val="FooterChar"/>
    <w:uiPriority w:val="99"/>
    <w:unhideWhenUsed/>
    <w:rsid w:val="004176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7683"/>
  </w:style>
  <w:style w:type="paragraph" w:styleId="ListParagraph">
    <w:name w:val="List Paragraph"/>
    <w:aliases w:val="Bullets,References,Title Style 1,Numbered List Paragraph,lp1,r2,Paragraphe 2,Bullet Points,Liste Paragraf,Llista Nivell1,Lista de nivel 1,Paragraphe de liste PBLH,Paragraph,Graph &amp; Table tite,List checkbox,Lettre d'introduction,Ha"/>
    <w:basedOn w:val="Normal"/>
    <w:link w:val="ListParagraphChar"/>
    <w:uiPriority w:val="34"/>
    <w:qFormat/>
    <w:rsid w:val="00417683"/>
    <w:pPr>
      <w:ind w:left="720"/>
      <w:contextualSpacing/>
    </w:pPr>
  </w:style>
  <w:style w:type="table" w:styleId="TableGrid">
    <w:name w:val="Table Grid"/>
    <w:basedOn w:val="Table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4738"/>
    <w:rPr>
      <w:sz w:val="16"/>
      <w:szCs w:val="16"/>
    </w:rPr>
  </w:style>
  <w:style w:type="paragraph" w:styleId="CommentText">
    <w:name w:val="annotation text"/>
    <w:basedOn w:val="Normal"/>
    <w:link w:val="CommentTextChar"/>
    <w:uiPriority w:val="99"/>
    <w:semiHidden/>
    <w:unhideWhenUsed/>
    <w:rsid w:val="001B4738"/>
    <w:pPr>
      <w:spacing w:line="240" w:lineRule="auto"/>
    </w:pPr>
    <w:rPr>
      <w:sz w:val="20"/>
      <w:szCs w:val="20"/>
    </w:rPr>
  </w:style>
  <w:style w:type="character" w:customStyle="1" w:styleId="CommentTextChar">
    <w:name w:val="Comment Text Char"/>
    <w:basedOn w:val="DefaultParagraphFont"/>
    <w:link w:val="CommentText"/>
    <w:uiPriority w:val="99"/>
    <w:semiHidden/>
    <w:rsid w:val="001B4738"/>
    <w:rPr>
      <w:sz w:val="20"/>
      <w:szCs w:val="20"/>
    </w:rPr>
  </w:style>
  <w:style w:type="paragraph" w:styleId="CommentSubject">
    <w:name w:val="annotation subject"/>
    <w:basedOn w:val="CommentText"/>
    <w:next w:val="CommentText"/>
    <w:link w:val="CommentSubjectChar"/>
    <w:uiPriority w:val="99"/>
    <w:semiHidden/>
    <w:unhideWhenUsed/>
    <w:rsid w:val="001B4738"/>
    <w:rPr>
      <w:b/>
      <w:bCs/>
    </w:rPr>
  </w:style>
  <w:style w:type="character" w:customStyle="1" w:styleId="CommentSubjectChar">
    <w:name w:val="Comment Subject Char"/>
    <w:basedOn w:val="CommentTextChar"/>
    <w:link w:val="CommentSubject"/>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ListParagraph"/>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DefaultParagraphFon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ListParagraphChar">
    <w:name w:val="List Paragraph Char"/>
    <w:aliases w:val="Bullets Char,References Char,Title Style 1 Char,Numbered List Paragraph Char,lp1 Char,r2 Char,Paragraphe 2 Char,Bullet Points Char,Liste Paragraf Char,Llista Nivell1 Char,Lista de nivel 1 Char,Paragraphe de liste PBLH Char,Ha Char"/>
    <w:basedOn w:val="DefaultParagraphFont"/>
    <w:link w:val="ListParagraph"/>
    <w:uiPriority w:val="34"/>
    <w:qFormat/>
    <w:rsid w:val="00A70123"/>
  </w:style>
  <w:style w:type="character" w:customStyle="1" w:styleId="TitrepartieCar">
    <w:name w:val="Titre partie Car"/>
    <w:basedOn w:val="ListParagraphChar"/>
    <w:link w:val="Titrepartie"/>
    <w:rsid w:val="00A70123"/>
    <w:rPr>
      <w:rFonts w:ascii="Verdana" w:hAnsi="Verdana" w:cs="Calibri"/>
      <w:b/>
      <w:bCs/>
      <w:color w:val="0070C0"/>
      <w:szCs w:val="20"/>
    </w:rPr>
  </w:style>
  <w:style w:type="paragraph" w:customStyle="1" w:styleId="Sous-partie2">
    <w:name w:val="Sous-partie 2"/>
    <w:basedOn w:val="ListParagraph"/>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DefaultParagraphFont"/>
    <w:link w:val="Exergue"/>
    <w:rsid w:val="00060CA0"/>
    <w:rPr>
      <w:rFonts w:ascii="Verdana" w:eastAsia="Times New Roman" w:hAnsi="Verdana" w:cs="Times New Roman"/>
      <w:b/>
      <w:bCs/>
      <w:i/>
      <w:sz w:val="20"/>
      <w:szCs w:val="20"/>
    </w:rPr>
  </w:style>
  <w:style w:type="character" w:styleId="BookTitle">
    <w:name w:val="Book Title"/>
    <w:basedOn w:val="DefaultParagraphFont"/>
    <w:uiPriority w:val="33"/>
    <w:qFormat/>
    <w:rsid w:val="002C56ED"/>
    <w:rPr>
      <w:b/>
      <w:bCs/>
      <w:i/>
      <w:iCs/>
      <w:spacing w:val="5"/>
    </w:rPr>
  </w:style>
  <w:style w:type="character" w:customStyle="1" w:styleId="Sous-partie2Car">
    <w:name w:val="Sous-partie 2 Car"/>
    <w:basedOn w:val="ListParagraphChar"/>
    <w:link w:val="Sous-partie2"/>
    <w:rsid w:val="002C56ED"/>
    <w:rPr>
      <w:rFonts w:ascii="Verdana" w:hAnsi="Verdana" w:cs="Calibri"/>
      <w:color w:val="0070C0"/>
      <w:sz w:val="20"/>
      <w:szCs w:val="20"/>
    </w:rPr>
  </w:style>
  <w:style w:type="character" w:styleId="IntenseReference">
    <w:name w:val="Intense Reference"/>
    <w:basedOn w:val="DefaultParagraphFont"/>
    <w:uiPriority w:val="32"/>
    <w:qFormat/>
    <w:rsid w:val="002C56ED"/>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703</Words>
  <Characters>4008</Characters>
  <Application>Microsoft Office Word</Application>
  <DocSecurity>4</DocSecurity>
  <Lines>33</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Juliette JANIN</cp:lastModifiedBy>
  <cp:revision>26</cp:revision>
  <dcterms:created xsi:type="dcterms:W3CDTF">2026-04-20T21:17:00Z</dcterms:created>
  <dcterms:modified xsi:type="dcterms:W3CDTF">2026-04-23T10:04:00Z</dcterms:modified>
</cp:coreProperties>
</file>