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6B72" w14:textId="77777777" w:rsidR="0096704B" w:rsidRPr="00816DAC" w:rsidRDefault="0096704B" w:rsidP="0096704B">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96704B" w14:paraId="00DDCAFB" w14:textId="77777777" w:rsidTr="00E850AF">
        <w:tc>
          <w:tcPr>
            <w:tcW w:w="9062" w:type="dxa"/>
            <w:gridSpan w:val="2"/>
          </w:tcPr>
          <w:p w14:paraId="1136DD8B" w14:textId="7EC5724F" w:rsidR="0096704B" w:rsidRDefault="00E42129" w:rsidP="00E850AF">
            <w:pPr>
              <w:jc w:val="center"/>
              <w:rPr>
                <w:rFonts w:ascii="Verdana" w:hAnsi="Verdana"/>
                <w:b/>
                <w:bCs/>
                <w:sz w:val="20"/>
                <w:szCs w:val="20"/>
              </w:rPr>
            </w:pPr>
            <w:r w:rsidRPr="00E42129">
              <w:rPr>
                <w:rFonts w:ascii="Verdana" w:hAnsi="Verdana"/>
                <w:b/>
                <w:bCs/>
              </w:rPr>
              <w:t xml:space="preserve">Stratégie de mobilisation des ressources </w:t>
            </w:r>
          </w:p>
        </w:tc>
      </w:tr>
      <w:tr w:rsidR="0096704B" w14:paraId="0726D3B6" w14:textId="77777777" w:rsidTr="00E850AF">
        <w:tc>
          <w:tcPr>
            <w:tcW w:w="7225" w:type="dxa"/>
          </w:tcPr>
          <w:p w14:paraId="57C0BC79" w14:textId="516D6E48" w:rsidR="0096704B" w:rsidRPr="002A096E" w:rsidRDefault="0096704B" w:rsidP="00E850AF">
            <w:pPr>
              <w:rPr>
                <w:rFonts w:ascii="Verdana" w:hAnsi="Verdana"/>
                <w:sz w:val="20"/>
                <w:szCs w:val="20"/>
              </w:rPr>
            </w:pPr>
            <w:r>
              <w:rPr>
                <w:rFonts w:ascii="Verdana" w:hAnsi="Verdana"/>
                <w:sz w:val="20"/>
                <w:szCs w:val="20"/>
              </w:rPr>
              <w:t>Comité des OPL n°0</w:t>
            </w:r>
            <w:r w:rsidR="002D6895">
              <w:rPr>
                <w:rFonts w:ascii="Verdana" w:hAnsi="Verdana"/>
                <w:sz w:val="20"/>
                <w:szCs w:val="20"/>
              </w:rPr>
              <w:t>2</w:t>
            </w:r>
            <w:r>
              <w:rPr>
                <w:rFonts w:ascii="Verdana" w:hAnsi="Verdana"/>
                <w:sz w:val="20"/>
                <w:szCs w:val="20"/>
              </w:rPr>
              <w:t>/2</w:t>
            </w:r>
            <w:r w:rsidR="00C70DAF">
              <w:rPr>
                <w:rFonts w:ascii="Verdana" w:hAnsi="Verdana"/>
                <w:sz w:val="20"/>
                <w:szCs w:val="20"/>
              </w:rPr>
              <w:t>6</w:t>
            </w:r>
            <w:r>
              <w:rPr>
                <w:rFonts w:ascii="Verdana" w:hAnsi="Verdana"/>
                <w:sz w:val="20"/>
                <w:szCs w:val="20"/>
              </w:rPr>
              <w:t xml:space="preserve"> </w:t>
            </w:r>
          </w:p>
        </w:tc>
        <w:tc>
          <w:tcPr>
            <w:tcW w:w="1837" w:type="dxa"/>
          </w:tcPr>
          <w:p w14:paraId="180B5E21" w14:textId="174891D7" w:rsidR="0096704B" w:rsidRPr="002A0933" w:rsidRDefault="0096704B" w:rsidP="00E850AF">
            <w:pPr>
              <w:jc w:val="center"/>
              <w:rPr>
                <w:rFonts w:ascii="Verdana" w:hAnsi="Verdana"/>
                <w:sz w:val="20"/>
                <w:szCs w:val="20"/>
              </w:rPr>
            </w:pPr>
            <w:r w:rsidRPr="002A0933">
              <w:rPr>
                <w:rFonts w:ascii="Verdana" w:hAnsi="Verdana"/>
                <w:sz w:val="20"/>
                <w:szCs w:val="20"/>
              </w:rPr>
              <w:t xml:space="preserve">Point </w:t>
            </w:r>
            <w:r w:rsidR="00782616">
              <w:rPr>
                <w:rFonts w:ascii="Verdana" w:hAnsi="Verdana"/>
                <w:sz w:val="20"/>
                <w:szCs w:val="20"/>
              </w:rPr>
              <w:t>1.3</w:t>
            </w:r>
          </w:p>
        </w:tc>
      </w:tr>
      <w:tr w:rsidR="0096704B" w14:paraId="7AC3A34D" w14:textId="77777777" w:rsidTr="00E850AF">
        <w:tc>
          <w:tcPr>
            <w:tcW w:w="7225" w:type="dxa"/>
          </w:tcPr>
          <w:p w14:paraId="779497AC" w14:textId="77777777" w:rsidR="0096704B" w:rsidRPr="00A37C9F" w:rsidRDefault="0096704B" w:rsidP="00E850AF">
            <w:pPr>
              <w:rPr>
                <w:rFonts w:ascii="Verdana" w:hAnsi="Verdana"/>
                <w:sz w:val="20"/>
                <w:szCs w:val="20"/>
              </w:rPr>
            </w:pPr>
            <w:r w:rsidRPr="00A148A1">
              <w:rPr>
                <w:rFonts w:ascii="Verdana" w:hAnsi="Verdana"/>
                <w:i/>
                <w:iCs/>
                <w:sz w:val="20"/>
                <w:szCs w:val="20"/>
              </w:rPr>
              <w:t>Dossier suivi par </w:t>
            </w:r>
            <w:r w:rsidRPr="008D1089">
              <w:rPr>
                <w:rFonts w:ascii="Verdana" w:hAnsi="Verdana"/>
                <w:i/>
                <w:iCs/>
                <w:sz w:val="20"/>
                <w:szCs w:val="20"/>
              </w:rPr>
              <w:t>:</w:t>
            </w:r>
            <w:r w:rsidRPr="008D1089">
              <w:rPr>
                <w:rFonts w:ascii="Verdana" w:hAnsi="Verdana"/>
                <w:sz w:val="20"/>
                <w:szCs w:val="20"/>
              </w:rPr>
              <w:t xml:space="preserve"> Gina, Bonne, Directrice</w:t>
            </w:r>
            <w:r>
              <w:rPr>
                <w:rFonts w:ascii="Verdana" w:hAnsi="Verdana"/>
                <w:sz w:val="20"/>
                <w:szCs w:val="20"/>
              </w:rPr>
              <w:t xml:space="preserve"> par intérim</w:t>
            </w:r>
          </w:p>
        </w:tc>
        <w:tc>
          <w:tcPr>
            <w:tcW w:w="1837" w:type="dxa"/>
          </w:tcPr>
          <w:p w14:paraId="1A8BA848" w14:textId="483D8366" w:rsidR="0096704B" w:rsidRPr="002A0933" w:rsidRDefault="00C70DAF" w:rsidP="00E850AF">
            <w:pPr>
              <w:jc w:val="center"/>
              <w:rPr>
                <w:rFonts w:ascii="Verdana" w:hAnsi="Verdana"/>
                <w:sz w:val="20"/>
                <w:szCs w:val="20"/>
              </w:rPr>
            </w:pPr>
            <w:r>
              <w:rPr>
                <w:rFonts w:ascii="Verdana" w:hAnsi="Verdana"/>
                <w:sz w:val="20"/>
                <w:szCs w:val="20"/>
              </w:rPr>
              <w:t>Information</w:t>
            </w:r>
          </w:p>
        </w:tc>
      </w:tr>
      <w:tr w:rsidR="0096704B" w14:paraId="05CADFED" w14:textId="77777777" w:rsidTr="00E850AF">
        <w:tc>
          <w:tcPr>
            <w:tcW w:w="9062" w:type="dxa"/>
            <w:gridSpan w:val="2"/>
          </w:tcPr>
          <w:p w14:paraId="3E5CB650" w14:textId="2F648D7B" w:rsidR="0096704B" w:rsidRDefault="0096704B" w:rsidP="00E850AF">
            <w:pPr>
              <w:rPr>
                <w:rFonts w:ascii="Verdana" w:hAnsi="Verdana"/>
                <w:sz w:val="20"/>
                <w:szCs w:val="20"/>
              </w:rPr>
            </w:pPr>
            <w:r>
              <w:rPr>
                <w:rFonts w:ascii="Verdana" w:hAnsi="Verdana"/>
                <w:i/>
                <w:iCs/>
                <w:sz w:val="20"/>
                <w:szCs w:val="20"/>
              </w:rPr>
              <w:t xml:space="preserve">Version du </w:t>
            </w:r>
            <w:r w:rsidR="00C70DAF">
              <w:rPr>
                <w:rFonts w:ascii="Verdana" w:hAnsi="Verdana"/>
                <w:i/>
                <w:iCs/>
                <w:sz w:val="20"/>
                <w:szCs w:val="20"/>
              </w:rPr>
              <w:t>2</w:t>
            </w:r>
            <w:r w:rsidR="00782616">
              <w:rPr>
                <w:rFonts w:ascii="Verdana" w:hAnsi="Verdana"/>
                <w:i/>
                <w:iCs/>
                <w:sz w:val="20"/>
                <w:szCs w:val="20"/>
              </w:rPr>
              <w:t>8</w:t>
            </w:r>
            <w:r w:rsidR="00C70DAF">
              <w:rPr>
                <w:rFonts w:ascii="Verdana" w:hAnsi="Verdana"/>
                <w:i/>
                <w:iCs/>
                <w:sz w:val="20"/>
                <w:szCs w:val="20"/>
              </w:rPr>
              <w:t xml:space="preserve"> Avril 2026</w:t>
            </w:r>
            <w:r>
              <w:rPr>
                <w:rFonts w:ascii="Verdana" w:hAnsi="Verdana"/>
                <w:i/>
                <w:iCs/>
                <w:sz w:val="20"/>
                <w:szCs w:val="20"/>
              </w:rPr>
              <w:t xml:space="preserve"> </w:t>
            </w:r>
          </w:p>
        </w:tc>
      </w:tr>
    </w:tbl>
    <w:p w14:paraId="52FD37CD" w14:textId="77777777" w:rsidR="0096704B" w:rsidRDefault="0096704B" w:rsidP="0096704B">
      <w:pPr>
        <w:pStyle w:val="Paragraphe"/>
      </w:pPr>
      <w:bookmarkStart w:id="0" w:name="_Hlk24535240"/>
    </w:p>
    <w:p w14:paraId="57528FDC" w14:textId="77777777" w:rsidR="0096704B" w:rsidRPr="0008468B" w:rsidRDefault="0096704B" w:rsidP="0096704B">
      <w:pPr>
        <w:pStyle w:val="Titrepartie"/>
      </w:pPr>
      <w:r w:rsidRPr="0008468B">
        <w:t>Résumé</w:t>
      </w:r>
    </w:p>
    <w:p w14:paraId="077765CD" w14:textId="77777777" w:rsidR="002D6895" w:rsidRDefault="00D5541A" w:rsidP="001A1A14">
      <w:pPr>
        <w:pStyle w:val="Paragraphe"/>
      </w:pPr>
      <w:r w:rsidRPr="00D5541A">
        <w:t xml:space="preserve">Le paysage international des ressources financières évolue rapidement. Cela s'accompagne de changements importants, tant en ce qui concerne le volume des ressources financières que les modalités d'accès à ces ressources. </w:t>
      </w:r>
      <w:r w:rsidR="001F48D5">
        <w:t>La COI est accrédité</w:t>
      </w:r>
      <w:r w:rsidR="002D6895">
        <w:t>e</w:t>
      </w:r>
      <w:r w:rsidR="001F48D5">
        <w:t xml:space="preserve"> auprès de deux fonds climat, le fonds vert pour le climat et le fond pertes et dommages</w:t>
      </w:r>
      <w:r w:rsidR="002D6895">
        <w:t xml:space="preserve"> qui constituent des leviers de financement pour lesquels le Secrétariat général doit redoubler d’efforts pour y accéder</w:t>
      </w:r>
      <w:r w:rsidR="001F48D5">
        <w:t>.</w:t>
      </w:r>
    </w:p>
    <w:p w14:paraId="5950230A" w14:textId="005EA4F2" w:rsidR="001A1A14" w:rsidRDefault="002D6895" w:rsidP="001A1A14">
      <w:pPr>
        <w:pStyle w:val="Paragraphe"/>
      </w:pPr>
      <w:r>
        <w:t>Il est proposé que la COI se dote d’un</w:t>
      </w:r>
      <w:r w:rsidR="00D5541A">
        <w:t xml:space="preserve"> cadre stratégique pour la mobilisation de ressources et pour améliorer son modèle économique. De ce fait, </w:t>
      </w:r>
      <w:r w:rsidR="001F48D5">
        <w:t>deux actions</w:t>
      </w:r>
      <w:r w:rsidR="005844A3">
        <w:t xml:space="preserve"> structurantes </w:t>
      </w:r>
      <w:r w:rsidR="00D5541A">
        <w:t xml:space="preserve">sont en cours de </w:t>
      </w:r>
      <w:r w:rsidR="001F48D5">
        <w:t>formulation :</w:t>
      </w:r>
      <w:r w:rsidR="005844A3">
        <w:t xml:space="preserve"> (1) l'élaboration d'une stratégie de mobilisation des ressources innovante</w:t>
      </w:r>
      <w:r>
        <w:t xml:space="preserve">s, </w:t>
      </w:r>
      <w:r w:rsidR="005844A3">
        <w:t>alignée sur le Plan de Développement Stratégique (PDS), et (2) l'organisation d'une réunion de haut niveau avec les partenaires techniques et financiers (PTF) d'ici la fin 2026</w:t>
      </w:r>
      <w:r w:rsidR="001F48D5">
        <w:t>, début de 2027</w:t>
      </w:r>
      <w:r w:rsidR="005844A3">
        <w:t>.</w:t>
      </w:r>
      <w:r w:rsidR="00616A9E">
        <w:t xml:space="preserve"> </w:t>
      </w:r>
    </w:p>
    <w:p w14:paraId="28286C14" w14:textId="08876A7C" w:rsidR="001A1A14" w:rsidRPr="001A1A14" w:rsidRDefault="001A1A14" w:rsidP="001A1A14">
      <w:pPr>
        <w:pStyle w:val="Paragraphe"/>
      </w:pPr>
      <w:r w:rsidRPr="001A1A14">
        <w:t>En parallèle, un exercice</w:t>
      </w:r>
      <w:r>
        <w:t xml:space="preserve"> </w:t>
      </w:r>
      <w:r w:rsidRPr="001A1A14">
        <w:t xml:space="preserve">de cartographie des partenaires </w:t>
      </w:r>
      <w:r>
        <w:t xml:space="preserve">est en cours. Cet exercice permettra </w:t>
      </w:r>
      <w:r w:rsidR="002D6895">
        <w:t>de</w:t>
      </w:r>
      <w:r>
        <w:t xml:space="preserve"> consolider une base de donn</w:t>
      </w:r>
      <w:r w:rsidR="002D6895">
        <w:t>é</w:t>
      </w:r>
      <w:r>
        <w:t xml:space="preserve">es des sources de financement et les mécanismes d’accès. </w:t>
      </w:r>
    </w:p>
    <w:p w14:paraId="20EA9662" w14:textId="28D1938C" w:rsidR="005844A3" w:rsidRDefault="005844A3" w:rsidP="00FF1255">
      <w:pPr>
        <w:pStyle w:val="Paragraphe"/>
      </w:pPr>
      <w:r>
        <w:t xml:space="preserve">La présente fiche rend compte de l'état d'avancement </w:t>
      </w:r>
      <w:r w:rsidR="008577C2">
        <w:t>pour la mise en place d’une</w:t>
      </w:r>
      <w:r w:rsidR="00BD6CC2">
        <w:t xml:space="preserve"> stratégie de mobilisation des </w:t>
      </w:r>
      <w:r w:rsidR="008577C2">
        <w:t>ressources</w:t>
      </w:r>
      <w:r w:rsidR="002D6895">
        <w:t xml:space="preserve"> avec un objectif de diversification des sources de financement et de compétitivité dans un contexte évolutif et marqué par une diminution des financements en subventions ou spécifiquement dédiés</w:t>
      </w:r>
      <w:r w:rsidR="008577C2">
        <w:t>.</w:t>
      </w:r>
      <w:r w:rsidR="00616A9E">
        <w:t xml:space="preserve"> </w:t>
      </w:r>
    </w:p>
    <w:p w14:paraId="73722E71" w14:textId="4131B346" w:rsidR="00234699" w:rsidRDefault="00234699" w:rsidP="006B53EC">
      <w:pPr>
        <w:pStyle w:val="Paragraphe"/>
      </w:pPr>
    </w:p>
    <w:p w14:paraId="4C206309" w14:textId="0FE230AE" w:rsidR="0096704B" w:rsidRPr="0008468B" w:rsidRDefault="0096704B" w:rsidP="001A1A14">
      <w:pPr>
        <w:pStyle w:val="Titrepartie"/>
      </w:pPr>
      <w:r w:rsidRPr="0008468B">
        <w:t>Etat d’avancement</w:t>
      </w:r>
    </w:p>
    <w:p w14:paraId="11844071" w14:textId="3BECB62C" w:rsidR="0096704B" w:rsidRDefault="00F36CF7" w:rsidP="0096704B">
      <w:pPr>
        <w:pStyle w:val="Sous-partie2"/>
      </w:pPr>
      <w:r w:rsidRPr="00F36CF7">
        <w:t>Développement de la Stratégie de Mobilisation des Ressources</w:t>
      </w:r>
      <w:r w:rsidR="0096704B">
        <w:t xml:space="preserve"> </w:t>
      </w:r>
    </w:p>
    <w:p w14:paraId="4068F5F5" w14:textId="5B1E0014" w:rsidR="008577C2" w:rsidRDefault="008577C2" w:rsidP="002D6895">
      <w:pPr>
        <w:pStyle w:val="Titrepartie"/>
        <w:numPr>
          <w:ilvl w:val="0"/>
          <w:numId w:val="0"/>
        </w:numPr>
        <w:rPr>
          <w:b w:val="0"/>
          <w:bCs w:val="0"/>
          <w:color w:val="auto"/>
          <w:sz w:val="20"/>
        </w:rPr>
      </w:pPr>
      <w:r w:rsidRPr="008577C2">
        <w:rPr>
          <w:b w:val="0"/>
          <w:bCs w:val="0"/>
          <w:color w:val="auto"/>
          <w:sz w:val="20"/>
        </w:rPr>
        <w:t xml:space="preserve">Un processus participatif a été engagé au niveau interne du Secretariat général en impliquant l’ensemble des services, les chargés de mission et les coordinateurs des projets. Un premier atelier interne d'analyse contextuelle a permis de dégager une proposition d'objectifs stratégiques et d'axes d'actions prioritaires. </w:t>
      </w:r>
    </w:p>
    <w:p w14:paraId="20FCC54A" w14:textId="77777777" w:rsidR="008577C2" w:rsidRPr="00271D26" w:rsidRDefault="008577C2" w:rsidP="008577C2">
      <w:pPr>
        <w:ind w:firstLine="360"/>
        <w:jc w:val="both"/>
        <w:rPr>
          <w:rFonts w:ascii="Verdana" w:hAnsi="Verdana" w:cs="Calibri"/>
          <w:sz w:val="20"/>
          <w:szCs w:val="20"/>
          <w:lang/>
        </w:rPr>
      </w:pPr>
      <w:r w:rsidRPr="00271D26">
        <w:rPr>
          <w:rFonts w:ascii="Verdana" w:hAnsi="Verdana" w:cs="Calibri"/>
          <w:sz w:val="20"/>
          <w:szCs w:val="20"/>
          <w:lang/>
        </w:rPr>
        <w:t>Cet atelier a permis de :</w:t>
      </w:r>
    </w:p>
    <w:p w14:paraId="1C295EF5" w14:textId="77777777" w:rsidR="008577C2" w:rsidRPr="00271D26" w:rsidRDefault="008577C2" w:rsidP="008577C2">
      <w:pPr>
        <w:numPr>
          <w:ilvl w:val="0"/>
          <w:numId w:val="5"/>
        </w:numPr>
        <w:jc w:val="both"/>
        <w:rPr>
          <w:rFonts w:ascii="Verdana" w:hAnsi="Verdana" w:cs="Calibri"/>
          <w:sz w:val="20"/>
          <w:szCs w:val="20"/>
          <w:lang/>
        </w:rPr>
      </w:pPr>
      <w:r w:rsidRPr="00271D26">
        <w:rPr>
          <w:rFonts w:ascii="Verdana" w:hAnsi="Verdana" w:cs="Calibri"/>
          <w:b/>
          <w:bCs/>
          <w:sz w:val="20"/>
          <w:szCs w:val="20"/>
          <w:lang/>
        </w:rPr>
        <w:t>Analyser le contexte financier actuel :</w:t>
      </w:r>
      <w:r w:rsidRPr="00271D26">
        <w:rPr>
          <w:rFonts w:ascii="Verdana" w:hAnsi="Verdana" w:cs="Calibri"/>
          <w:sz w:val="20"/>
          <w:szCs w:val="20"/>
          <w:lang/>
        </w:rPr>
        <w:t> Confirmation de la contraction de</w:t>
      </w:r>
      <w:r>
        <w:rPr>
          <w:rFonts w:ascii="Verdana" w:hAnsi="Verdana" w:cs="Calibri"/>
          <w:sz w:val="20"/>
          <w:szCs w:val="20"/>
          <w:lang/>
        </w:rPr>
        <w:t xml:space="preserve">s financements mondiaux </w:t>
      </w:r>
      <w:r w:rsidRPr="00271D26">
        <w:rPr>
          <w:rFonts w:ascii="Verdana" w:hAnsi="Verdana" w:cs="Calibri"/>
          <w:sz w:val="20"/>
          <w:szCs w:val="20"/>
          <w:lang/>
        </w:rPr>
        <w:t xml:space="preserve">et du virage vers </w:t>
      </w:r>
      <w:r>
        <w:rPr>
          <w:rFonts w:ascii="Verdana" w:hAnsi="Verdana" w:cs="Calibri"/>
          <w:sz w:val="20"/>
          <w:szCs w:val="20"/>
          <w:lang/>
        </w:rPr>
        <w:t>d’autres mécanismes plus compétitifs</w:t>
      </w:r>
      <w:r w:rsidRPr="00271D26">
        <w:rPr>
          <w:rFonts w:ascii="Verdana" w:hAnsi="Verdana" w:cs="Calibri"/>
          <w:sz w:val="20"/>
          <w:szCs w:val="20"/>
          <w:lang/>
        </w:rPr>
        <w:t>.</w:t>
      </w:r>
    </w:p>
    <w:p w14:paraId="3575D758" w14:textId="77777777" w:rsidR="008577C2" w:rsidRPr="008577C2" w:rsidRDefault="008577C2" w:rsidP="008577C2">
      <w:pPr>
        <w:pStyle w:val="Paragraphedeliste"/>
        <w:numPr>
          <w:ilvl w:val="0"/>
          <w:numId w:val="5"/>
        </w:numPr>
        <w:jc w:val="both"/>
        <w:rPr>
          <w:rFonts w:ascii="Verdana" w:hAnsi="Verdana" w:cs="Calibri"/>
          <w:sz w:val="20"/>
          <w:szCs w:val="20"/>
          <w:lang/>
        </w:rPr>
      </w:pPr>
      <w:r w:rsidRPr="008577C2">
        <w:rPr>
          <w:rFonts w:ascii="Verdana" w:hAnsi="Verdana" w:cs="Calibri"/>
          <w:b/>
          <w:bCs/>
          <w:sz w:val="20"/>
          <w:szCs w:val="20"/>
          <w:lang/>
        </w:rPr>
        <w:t>Identifier les forces et faiblesses internes de la COI, ainsi que les opportunités et menaces</w:t>
      </w:r>
      <w:r w:rsidRPr="008577C2">
        <w:rPr>
          <w:rFonts w:ascii="Verdana" w:hAnsi="Verdana" w:cs="Calibri"/>
          <w:sz w:val="20"/>
          <w:szCs w:val="20"/>
          <w:lang/>
        </w:rPr>
        <w:t xml:space="preserve"> en matière de mobilisation des ressources.</w:t>
      </w:r>
    </w:p>
    <w:p w14:paraId="582FC6DB" w14:textId="77777777" w:rsidR="008577C2" w:rsidRPr="00271D26" w:rsidRDefault="008577C2" w:rsidP="008577C2">
      <w:pPr>
        <w:numPr>
          <w:ilvl w:val="0"/>
          <w:numId w:val="5"/>
        </w:numPr>
        <w:jc w:val="both"/>
        <w:rPr>
          <w:rFonts w:ascii="Verdana" w:hAnsi="Verdana" w:cs="Calibri"/>
          <w:sz w:val="20"/>
          <w:szCs w:val="20"/>
          <w:lang/>
        </w:rPr>
      </w:pPr>
      <w:r w:rsidRPr="00271D26">
        <w:rPr>
          <w:rFonts w:ascii="Verdana" w:hAnsi="Verdana" w:cs="Calibri"/>
          <w:b/>
          <w:bCs/>
          <w:sz w:val="20"/>
          <w:szCs w:val="20"/>
          <w:lang/>
        </w:rPr>
        <w:t>Définir une proposition préliminaire d'objectifs et d'actions prioritaires</w:t>
      </w:r>
      <w:r>
        <w:rPr>
          <w:rFonts w:ascii="Verdana" w:hAnsi="Verdana" w:cs="Calibri"/>
          <w:sz w:val="20"/>
          <w:szCs w:val="20"/>
          <w:lang/>
        </w:rPr>
        <w:t xml:space="preserve"> pour la mobilisation des ressources.</w:t>
      </w:r>
    </w:p>
    <w:p w14:paraId="360476B8" w14:textId="589A03A2" w:rsidR="00D1508B" w:rsidRPr="005956F8" w:rsidRDefault="005956F8" w:rsidP="005956F8">
      <w:pPr>
        <w:pStyle w:val="Sous-partie2"/>
        <w:numPr>
          <w:ilvl w:val="2"/>
          <w:numId w:val="1"/>
        </w:numPr>
      </w:pPr>
      <w:r w:rsidRPr="005956F8">
        <w:t>Processus de revue interne et prochaines étapes</w:t>
      </w:r>
    </w:p>
    <w:p w14:paraId="1C6D0C42" w14:textId="7818D025" w:rsidR="00A13177" w:rsidRPr="008577C2" w:rsidRDefault="005956F8" w:rsidP="00EA0B5F">
      <w:pPr>
        <w:pStyle w:val="Paragraphedeliste"/>
        <w:numPr>
          <w:ilvl w:val="0"/>
          <w:numId w:val="7"/>
        </w:numPr>
        <w:jc w:val="both"/>
        <w:rPr>
          <w:rFonts w:ascii="Verdana" w:hAnsi="Verdana" w:cs="Calibri"/>
          <w:sz w:val="20"/>
          <w:szCs w:val="20"/>
        </w:rPr>
      </w:pPr>
      <w:r w:rsidRPr="008577C2">
        <w:rPr>
          <w:rFonts w:ascii="Verdana" w:hAnsi="Verdana" w:cs="Calibri"/>
          <w:b/>
          <w:bCs/>
          <w:sz w:val="20"/>
          <w:szCs w:val="20"/>
        </w:rPr>
        <w:t>Revue en cours</w:t>
      </w:r>
      <w:r w:rsidRPr="008577C2">
        <w:rPr>
          <w:rFonts w:ascii="Verdana" w:hAnsi="Verdana" w:cs="Calibri"/>
          <w:sz w:val="20"/>
          <w:szCs w:val="20"/>
        </w:rPr>
        <w:t xml:space="preserve"> : Le document de travail synthétisant ces propositions</w:t>
      </w:r>
      <w:r w:rsidR="00711F9B" w:rsidRPr="008577C2">
        <w:rPr>
          <w:rFonts w:ascii="Verdana" w:hAnsi="Verdana" w:cs="Calibri"/>
          <w:sz w:val="20"/>
          <w:szCs w:val="20"/>
        </w:rPr>
        <w:t xml:space="preserve"> d’objectifs et actions prioritaires</w:t>
      </w:r>
      <w:r w:rsidRPr="008577C2">
        <w:rPr>
          <w:rFonts w:ascii="Verdana" w:hAnsi="Verdana" w:cs="Calibri"/>
          <w:sz w:val="20"/>
          <w:szCs w:val="20"/>
        </w:rPr>
        <w:t xml:space="preserve"> est actuellement en phase de revue interne au sein du Secrétariat général.</w:t>
      </w:r>
    </w:p>
    <w:p w14:paraId="39ABC239" w14:textId="77777777" w:rsidR="00A13177" w:rsidRPr="008577C2" w:rsidRDefault="00A13177" w:rsidP="00EA0B5F">
      <w:pPr>
        <w:pStyle w:val="Paragraphedeliste"/>
        <w:numPr>
          <w:ilvl w:val="0"/>
          <w:numId w:val="7"/>
        </w:numPr>
        <w:jc w:val="both"/>
        <w:rPr>
          <w:rFonts w:ascii="Verdana" w:hAnsi="Verdana" w:cs="Calibri"/>
          <w:sz w:val="20"/>
          <w:szCs w:val="20"/>
        </w:rPr>
      </w:pPr>
      <w:r w:rsidRPr="008577C2">
        <w:rPr>
          <w:rStyle w:val="lev"/>
          <w:rFonts w:ascii="Verdana" w:eastAsiaTheme="majorEastAsia" w:hAnsi="Verdana" w:cs="Segoe UI"/>
          <w:color w:val="0F1115"/>
          <w:sz w:val="20"/>
          <w:szCs w:val="20"/>
        </w:rPr>
        <w:lastRenderedPageBreak/>
        <w:t>Consultations externes (Premier semestre 2026) :</w:t>
      </w:r>
      <w:r w:rsidRPr="008577C2">
        <w:rPr>
          <w:rFonts w:ascii="Verdana" w:hAnsi="Verdana" w:cs="Segoe UI"/>
          <w:color w:val="0F1115"/>
          <w:sz w:val="20"/>
          <w:szCs w:val="20"/>
        </w:rPr>
        <w:t> Conformément à une approche inclusive et pragmatique, le Secrétariat général prévoit de conduire, au cours de ce premier semestre, une série de consultations ciblées avec :</w:t>
      </w:r>
    </w:p>
    <w:p w14:paraId="52CABE41" w14:textId="77777777" w:rsidR="00A13177" w:rsidRPr="008577C2" w:rsidRDefault="00A13177" w:rsidP="00EA0B5F">
      <w:pPr>
        <w:pStyle w:val="Paragraphedeliste"/>
        <w:numPr>
          <w:ilvl w:val="1"/>
          <w:numId w:val="7"/>
        </w:numPr>
        <w:jc w:val="both"/>
        <w:rPr>
          <w:rFonts w:ascii="Verdana" w:hAnsi="Verdana" w:cs="Calibri"/>
          <w:sz w:val="20"/>
          <w:szCs w:val="20"/>
        </w:rPr>
      </w:pPr>
      <w:r w:rsidRPr="008577C2">
        <w:rPr>
          <w:rFonts w:ascii="Verdana" w:hAnsi="Verdana" w:cs="Segoe UI"/>
          <w:color w:val="0F1115"/>
          <w:sz w:val="20"/>
          <w:szCs w:val="20"/>
        </w:rPr>
        <w:t>Les </w:t>
      </w:r>
      <w:r w:rsidRPr="008577C2">
        <w:rPr>
          <w:rStyle w:val="lev"/>
          <w:rFonts w:ascii="Verdana" w:eastAsiaTheme="majorEastAsia" w:hAnsi="Verdana" w:cs="Segoe UI"/>
          <w:color w:val="0F1115"/>
          <w:sz w:val="20"/>
          <w:szCs w:val="20"/>
        </w:rPr>
        <w:t>partenaires techniques et financiers</w:t>
      </w:r>
      <w:r w:rsidRPr="008577C2">
        <w:rPr>
          <w:rFonts w:ascii="Verdana" w:hAnsi="Verdana" w:cs="Segoe UI"/>
          <w:color w:val="0F1115"/>
          <w:sz w:val="20"/>
          <w:szCs w:val="20"/>
        </w:rPr>
        <w:t> clés, afin de recueillir leurs orientations stratégiques, leurs instruments financiers disponibles et leurs attentes vis-à-vis de la COI.</w:t>
      </w:r>
    </w:p>
    <w:p w14:paraId="3A4137D2" w14:textId="28F5DA01" w:rsidR="00B31E11" w:rsidRPr="008577C2" w:rsidRDefault="00A13177" w:rsidP="00EA0B5F">
      <w:pPr>
        <w:pStyle w:val="Paragraphedeliste"/>
        <w:numPr>
          <w:ilvl w:val="1"/>
          <w:numId w:val="7"/>
        </w:numPr>
        <w:jc w:val="both"/>
        <w:rPr>
          <w:rFonts w:ascii="Verdana" w:hAnsi="Verdana" w:cs="Calibri"/>
          <w:sz w:val="20"/>
          <w:szCs w:val="20"/>
        </w:rPr>
      </w:pPr>
      <w:r w:rsidRPr="008577C2">
        <w:rPr>
          <w:rFonts w:ascii="Verdana" w:hAnsi="Verdana" w:cs="Segoe UI"/>
          <w:color w:val="0F1115"/>
          <w:sz w:val="20"/>
          <w:szCs w:val="20"/>
        </w:rPr>
        <w:t>Les </w:t>
      </w:r>
      <w:r w:rsidR="008577C2">
        <w:rPr>
          <w:rStyle w:val="lev"/>
          <w:rFonts w:ascii="Verdana" w:eastAsiaTheme="majorEastAsia" w:hAnsi="Verdana" w:cs="Segoe UI"/>
          <w:color w:val="0F1115"/>
          <w:sz w:val="20"/>
          <w:szCs w:val="20"/>
        </w:rPr>
        <w:t>Etats membre</w:t>
      </w:r>
      <w:r w:rsidR="002D6895">
        <w:rPr>
          <w:rStyle w:val="lev"/>
          <w:rFonts w:ascii="Verdana" w:eastAsiaTheme="majorEastAsia" w:hAnsi="Verdana" w:cs="Segoe UI"/>
          <w:color w:val="0F1115"/>
          <w:sz w:val="20"/>
          <w:szCs w:val="20"/>
        </w:rPr>
        <w:t>s</w:t>
      </w:r>
      <w:r w:rsidRPr="008577C2">
        <w:rPr>
          <w:rFonts w:ascii="Verdana" w:hAnsi="Verdana" w:cs="Segoe UI"/>
          <w:color w:val="0F1115"/>
          <w:sz w:val="20"/>
          <w:szCs w:val="20"/>
        </w:rPr>
        <w:t>, en vue de s'assurer de l'alignement des axes stratégiques proposés avec les priorités nationales et régionales des États membres.</w:t>
      </w:r>
    </w:p>
    <w:p w14:paraId="135A8D14" w14:textId="738B18BE" w:rsidR="00A13177" w:rsidRPr="008577C2" w:rsidRDefault="00A13177" w:rsidP="00EA0B5F">
      <w:pPr>
        <w:jc w:val="both"/>
        <w:rPr>
          <w:rFonts w:ascii="Verdana" w:hAnsi="Verdana" w:cs="Calibri"/>
          <w:sz w:val="20"/>
          <w:szCs w:val="20"/>
        </w:rPr>
      </w:pPr>
      <w:r w:rsidRPr="008577C2">
        <w:rPr>
          <w:rFonts w:ascii="Verdana" w:hAnsi="Verdana" w:cs="Segoe UI"/>
          <w:color w:val="0F1115"/>
          <w:sz w:val="20"/>
          <w:szCs w:val="20"/>
        </w:rPr>
        <w:t>Ces consultations constitueront une étape préparatoire essentielle à l'atelier de finalisation.</w:t>
      </w:r>
    </w:p>
    <w:p w14:paraId="777CF2D6" w14:textId="500CCFAC" w:rsidR="00EA0B5F" w:rsidRPr="001A1A14" w:rsidRDefault="00B31E11" w:rsidP="00EA0B5F">
      <w:pPr>
        <w:pStyle w:val="ds-markdown-paragraph"/>
        <w:numPr>
          <w:ilvl w:val="0"/>
          <w:numId w:val="7"/>
        </w:numPr>
        <w:shd w:val="clear" w:color="auto" w:fill="FFFFFF"/>
        <w:spacing w:before="0" w:beforeAutospacing="0" w:after="0" w:afterAutospacing="0"/>
        <w:jc w:val="both"/>
        <w:rPr>
          <w:rFonts w:ascii="Verdana" w:hAnsi="Verdana" w:cs="Segoe UI"/>
          <w:color w:val="0F1115"/>
          <w:sz w:val="20"/>
          <w:szCs w:val="20"/>
        </w:rPr>
      </w:pPr>
      <w:r w:rsidRPr="001A1A14">
        <w:rPr>
          <w:rStyle w:val="lev"/>
          <w:rFonts w:ascii="Verdana" w:eastAsiaTheme="majorEastAsia" w:hAnsi="Verdana" w:cs="Segoe UI"/>
          <w:color w:val="0F1115"/>
          <w:sz w:val="20"/>
          <w:szCs w:val="20"/>
        </w:rPr>
        <w:t>Atelier de finalisation (T2 2026) :</w:t>
      </w:r>
      <w:r w:rsidRPr="001A1A14">
        <w:rPr>
          <w:rFonts w:ascii="Verdana" w:hAnsi="Verdana" w:cs="Segoe UI"/>
          <w:color w:val="0F1115"/>
          <w:sz w:val="20"/>
          <w:szCs w:val="20"/>
        </w:rPr>
        <w:t xml:space="preserve"> Un second atelier interne est programmé pour la seconde moitié du deuxième trimestre 2026. Il aura pour objectif d'intégrer les retours des consultations menées au premier semestre, de finaliser les objectifs stratégiques, de prioriser les axes d'intervention et de définir un plan d'action opérationnel assorti d'indicateurs de performance. </w:t>
      </w:r>
    </w:p>
    <w:p w14:paraId="1B7104EE" w14:textId="13EA9B04" w:rsidR="005956F8" w:rsidRPr="008577C2" w:rsidRDefault="005956F8" w:rsidP="00EA0B5F">
      <w:pPr>
        <w:pStyle w:val="ds-markdown-paragraph"/>
        <w:numPr>
          <w:ilvl w:val="0"/>
          <w:numId w:val="7"/>
        </w:numPr>
        <w:shd w:val="clear" w:color="auto" w:fill="FFFFFF"/>
        <w:spacing w:before="0" w:beforeAutospacing="0" w:after="0" w:afterAutospacing="0"/>
        <w:jc w:val="both"/>
        <w:rPr>
          <w:rStyle w:val="lev"/>
          <w:rFonts w:ascii="Verdana" w:eastAsiaTheme="majorEastAsia" w:hAnsi="Verdana" w:cs="Segoe UI"/>
          <w:b w:val="0"/>
          <w:bCs w:val="0"/>
          <w:color w:val="0F1115"/>
          <w:sz w:val="20"/>
          <w:szCs w:val="20"/>
        </w:rPr>
      </w:pPr>
      <w:r w:rsidRPr="008577C2">
        <w:rPr>
          <w:rStyle w:val="lev"/>
          <w:rFonts w:ascii="Verdana" w:eastAsiaTheme="majorEastAsia" w:hAnsi="Verdana" w:cs="Segoe UI"/>
          <w:color w:val="0F1115"/>
          <w:sz w:val="20"/>
          <w:szCs w:val="20"/>
        </w:rPr>
        <w:t xml:space="preserve">Soumission aux États membres : </w:t>
      </w:r>
      <w:r w:rsidRPr="008577C2">
        <w:rPr>
          <w:rStyle w:val="lev"/>
          <w:rFonts w:ascii="Verdana" w:eastAsiaTheme="majorEastAsia" w:hAnsi="Verdana" w:cs="Segoe UI"/>
          <w:b w:val="0"/>
          <w:bCs w:val="0"/>
          <w:color w:val="0F1115"/>
          <w:sz w:val="20"/>
          <w:szCs w:val="20"/>
        </w:rPr>
        <w:t xml:space="preserve">La stratégie </w:t>
      </w:r>
      <w:r w:rsidR="00BA65C7" w:rsidRPr="008577C2">
        <w:rPr>
          <w:rStyle w:val="lev"/>
          <w:rFonts w:ascii="Verdana" w:eastAsiaTheme="majorEastAsia" w:hAnsi="Verdana" w:cs="Segoe UI"/>
          <w:b w:val="0"/>
          <w:bCs w:val="0"/>
          <w:color w:val="0F1115"/>
          <w:sz w:val="20"/>
          <w:szCs w:val="20"/>
        </w:rPr>
        <w:t xml:space="preserve">de mobilisation des ressources </w:t>
      </w:r>
      <w:r w:rsidRPr="008577C2">
        <w:rPr>
          <w:rStyle w:val="lev"/>
          <w:rFonts w:ascii="Verdana" w:eastAsiaTheme="majorEastAsia" w:hAnsi="Verdana" w:cs="Segoe UI"/>
          <w:b w:val="0"/>
          <w:bCs w:val="0"/>
          <w:color w:val="0F1115"/>
          <w:sz w:val="20"/>
          <w:szCs w:val="20"/>
        </w:rPr>
        <w:t xml:space="preserve">finalisée sera présentée pour approbation lors des </w:t>
      </w:r>
      <w:r w:rsidR="002D6895">
        <w:rPr>
          <w:rStyle w:val="lev"/>
          <w:rFonts w:ascii="Verdana" w:eastAsiaTheme="majorEastAsia" w:hAnsi="Verdana" w:cs="Segoe UI"/>
          <w:b w:val="0"/>
          <w:bCs w:val="0"/>
          <w:color w:val="0F1115"/>
          <w:sz w:val="20"/>
          <w:szCs w:val="20"/>
          <w:lang w:val="fr-FR"/>
        </w:rPr>
        <w:t xml:space="preserve">prochaines </w:t>
      </w:r>
      <w:r w:rsidRPr="008577C2">
        <w:rPr>
          <w:rStyle w:val="lev"/>
          <w:rFonts w:ascii="Verdana" w:eastAsiaTheme="majorEastAsia" w:hAnsi="Verdana" w:cs="Segoe UI"/>
          <w:b w:val="0"/>
          <w:bCs w:val="0"/>
          <w:color w:val="0F1115"/>
          <w:sz w:val="20"/>
          <w:szCs w:val="20"/>
        </w:rPr>
        <w:t>instances statutaires.</w:t>
      </w:r>
    </w:p>
    <w:bookmarkEnd w:id="0"/>
    <w:p w14:paraId="1F64CBDA" w14:textId="77777777" w:rsidR="008577C2" w:rsidRDefault="008577C2" w:rsidP="008577C2">
      <w:pPr>
        <w:pStyle w:val="Titrepartie"/>
        <w:numPr>
          <w:ilvl w:val="0"/>
          <w:numId w:val="0"/>
        </w:numPr>
        <w:ind w:left="360"/>
        <w:rPr>
          <w:b w:val="0"/>
          <w:bCs w:val="0"/>
          <w:color w:val="auto"/>
          <w:sz w:val="20"/>
        </w:rPr>
      </w:pPr>
    </w:p>
    <w:p w14:paraId="2F3F64C1" w14:textId="2C857914" w:rsidR="00BE7DF4" w:rsidRPr="001A1A14" w:rsidRDefault="001A1A14" w:rsidP="001A1A14">
      <w:pPr>
        <w:pStyle w:val="Titrepartie"/>
        <w:rPr>
          <w:sz w:val="20"/>
          <w:lang/>
        </w:rPr>
      </w:pPr>
      <w:r>
        <w:rPr>
          <w:lang/>
        </w:rPr>
        <w:t xml:space="preserve"> Proposition de décision</w:t>
      </w:r>
    </w:p>
    <w:p w14:paraId="0F18B6C6" w14:textId="77777777" w:rsidR="001A1A14" w:rsidRDefault="001A1A14" w:rsidP="001A1A14">
      <w:pPr>
        <w:pStyle w:val="Titrepartie"/>
        <w:numPr>
          <w:ilvl w:val="0"/>
          <w:numId w:val="0"/>
        </w:numPr>
        <w:ind w:left="720"/>
        <w:rPr>
          <w:b w:val="0"/>
          <w:bCs w:val="0"/>
          <w:lang/>
        </w:rPr>
      </w:pPr>
    </w:p>
    <w:p w14:paraId="6CC17FCC" w14:textId="30829D0F" w:rsidR="001A1A14" w:rsidRDefault="001A1A14" w:rsidP="002D6895">
      <w:pPr>
        <w:pStyle w:val="Titrepartie"/>
        <w:numPr>
          <w:ilvl w:val="0"/>
          <w:numId w:val="0"/>
        </w:numPr>
        <w:ind w:left="720" w:hanging="360"/>
        <w:rPr>
          <w:b w:val="0"/>
          <w:bCs w:val="0"/>
          <w:color w:val="auto"/>
          <w:sz w:val="20"/>
          <w:lang/>
        </w:rPr>
      </w:pPr>
      <w:r w:rsidRPr="001A1A14">
        <w:rPr>
          <w:b w:val="0"/>
          <w:bCs w:val="0"/>
          <w:color w:val="auto"/>
          <w:sz w:val="20"/>
          <w:lang/>
        </w:rPr>
        <w:t xml:space="preserve">Le </w:t>
      </w:r>
      <w:r w:rsidR="002D6895">
        <w:rPr>
          <w:b w:val="0"/>
          <w:bCs w:val="0"/>
          <w:color w:val="auto"/>
          <w:sz w:val="20"/>
        </w:rPr>
        <w:t>C</w:t>
      </w:r>
      <w:r w:rsidRPr="001A1A14">
        <w:rPr>
          <w:b w:val="0"/>
          <w:bCs w:val="0"/>
          <w:color w:val="auto"/>
          <w:sz w:val="20"/>
          <w:lang/>
        </w:rPr>
        <w:t>omit</w:t>
      </w:r>
      <w:r>
        <w:rPr>
          <w:b w:val="0"/>
          <w:bCs w:val="0"/>
          <w:color w:val="auto"/>
          <w:sz w:val="20"/>
          <w:lang/>
        </w:rPr>
        <w:t>é</w:t>
      </w:r>
      <w:r w:rsidRPr="001A1A14">
        <w:rPr>
          <w:b w:val="0"/>
          <w:bCs w:val="0"/>
          <w:color w:val="auto"/>
          <w:sz w:val="20"/>
          <w:lang/>
        </w:rPr>
        <w:t xml:space="preserve"> de</w:t>
      </w:r>
      <w:r>
        <w:rPr>
          <w:b w:val="0"/>
          <w:bCs w:val="0"/>
          <w:color w:val="auto"/>
          <w:sz w:val="20"/>
          <w:lang/>
        </w:rPr>
        <w:t>s</w:t>
      </w:r>
      <w:r w:rsidRPr="001A1A14">
        <w:rPr>
          <w:b w:val="0"/>
          <w:bCs w:val="0"/>
          <w:color w:val="auto"/>
          <w:sz w:val="20"/>
          <w:lang/>
        </w:rPr>
        <w:t xml:space="preserve"> OPL</w:t>
      </w:r>
      <w:r>
        <w:rPr>
          <w:b w:val="0"/>
          <w:bCs w:val="0"/>
          <w:color w:val="auto"/>
          <w:sz w:val="20"/>
          <w:lang/>
        </w:rPr>
        <w:t xml:space="preserve"> :</w:t>
      </w:r>
    </w:p>
    <w:p w14:paraId="2620934D" w14:textId="5EDDF0C9" w:rsidR="001A1A14" w:rsidRDefault="001A1A14" w:rsidP="002D6895">
      <w:pPr>
        <w:pStyle w:val="Titrepartie"/>
        <w:numPr>
          <w:ilvl w:val="2"/>
          <w:numId w:val="16"/>
        </w:numPr>
        <w:ind w:left="993"/>
        <w:rPr>
          <w:b w:val="0"/>
          <w:bCs w:val="0"/>
          <w:color w:val="auto"/>
          <w:sz w:val="20"/>
          <w:lang/>
        </w:rPr>
      </w:pPr>
      <w:r w:rsidRPr="001A1A14">
        <w:rPr>
          <w:b w:val="0"/>
          <w:bCs w:val="0"/>
          <w:color w:val="auto"/>
          <w:sz w:val="20"/>
          <w:lang/>
        </w:rPr>
        <w:t xml:space="preserve">Prends note </w:t>
      </w:r>
      <w:r>
        <w:rPr>
          <w:b w:val="0"/>
          <w:bCs w:val="0"/>
          <w:color w:val="auto"/>
          <w:sz w:val="20"/>
          <w:lang/>
        </w:rPr>
        <w:t>de l’état d’avancement de la</w:t>
      </w:r>
      <w:r w:rsidRPr="001A1A14">
        <w:rPr>
          <w:b w:val="0"/>
          <w:bCs w:val="0"/>
          <w:color w:val="auto"/>
          <w:sz w:val="20"/>
          <w:lang/>
        </w:rPr>
        <w:t xml:space="preserve"> </w:t>
      </w:r>
      <w:r>
        <w:rPr>
          <w:b w:val="0"/>
          <w:bCs w:val="0"/>
          <w:color w:val="auto"/>
          <w:sz w:val="20"/>
          <w:lang/>
        </w:rPr>
        <w:t>stratégie de mobilisation de ressources</w:t>
      </w:r>
      <w:r w:rsidR="002D6895">
        <w:rPr>
          <w:b w:val="0"/>
          <w:bCs w:val="0"/>
          <w:color w:val="auto"/>
          <w:sz w:val="20"/>
          <w:lang/>
        </w:rPr>
        <w:t> </w:t>
      </w:r>
      <w:r w:rsidR="002D6895">
        <w:rPr>
          <w:b w:val="0"/>
          <w:bCs w:val="0"/>
          <w:color w:val="auto"/>
          <w:sz w:val="20"/>
        </w:rPr>
        <w:t>;</w:t>
      </w:r>
      <w:r>
        <w:rPr>
          <w:b w:val="0"/>
          <w:bCs w:val="0"/>
          <w:color w:val="auto"/>
          <w:sz w:val="20"/>
          <w:lang/>
        </w:rPr>
        <w:t xml:space="preserve">  </w:t>
      </w:r>
    </w:p>
    <w:p w14:paraId="5B71C9ED" w14:textId="34B814E2" w:rsidR="009D05C5" w:rsidRDefault="001A1A14" w:rsidP="002D6895">
      <w:pPr>
        <w:pStyle w:val="Titrepartie"/>
        <w:numPr>
          <w:ilvl w:val="2"/>
          <w:numId w:val="16"/>
        </w:numPr>
        <w:ind w:left="993"/>
        <w:rPr>
          <w:b w:val="0"/>
          <w:bCs w:val="0"/>
          <w:color w:val="auto"/>
          <w:sz w:val="20"/>
          <w:lang/>
        </w:rPr>
      </w:pPr>
      <w:r>
        <w:rPr>
          <w:b w:val="0"/>
          <w:bCs w:val="0"/>
          <w:color w:val="auto"/>
          <w:sz w:val="20"/>
          <w:lang/>
        </w:rPr>
        <w:t>De</w:t>
      </w:r>
      <w:r w:rsidR="009D05C5">
        <w:rPr>
          <w:b w:val="0"/>
          <w:bCs w:val="0"/>
          <w:color w:val="auto"/>
          <w:sz w:val="20"/>
          <w:lang/>
        </w:rPr>
        <w:t xml:space="preserve">mande au Secretariat général de finaliser </w:t>
      </w:r>
      <w:r w:rsidR="002D6895">
        <w:rPr>
          <w:b w:val="0"/>
          <w:bCs w:val="0"/>
          <w:color w:val="auto"/>
          <w:sz w:val="20"/>
        </w:rPr>
        <w:t>l’élaboration</w:t>
      </w:r>
      <w:r w:rsidR="009D05C5">
        <w:rPr>
          <w:b w:val="0"/>
          <w:bCs w:val="0"/>
          <w:color w:val="auto"/>
          <w:sz w:val="20"/>
          <w:lang/>
        </w:rPr>
        <w:t xml:space="preserve"> de la stratégie </w:t>
      </w:r>
      <w:r w:rsidR="002D6895">
        <w:rPr>
          <w:b w:val="0"/>
          <w:bCs w:val="0"/>
          <w:color w:val="auto"/>
          <w:sz w:val="20"/>
        </w:rPr>
        <w:t xml:space="preserve">de mobilisation des ressources, en capitalisant sur les ressources </w:t>
      </w:r>
      <w:r w:rsidR="009D05C5">
        <w:rPr>
          <w:b w:val="0"/>
          <w:bCs w:val="0"/>
          <w:color w:val="auto"/>
          <w:sz w:val="20"/>
          <w:lang/>
        </w:rPr>
        <w:t>du programme Horizon 2030</w:t>
      </w:r>
      <w:r w:rsidR="002D6895">
        <w:rPr>
          <w:b w:val="0"/>
          <w:bCs w:val="0"/>
          <w:color w:val="auto"/>
          <w:sz w:val="20"/>
          <w:lang/>
        </w:rPr>
        <w:t> </w:t>
      </w:r>
      <w:r w:rsidR="002D6895">
        <w:rPr>
          <w:b w:val="0"/>
          <w:bCs w:val="0"/>
          <w:color w:val="auto"/>
          <w:sz w:val="20"/>
        </w:rPr>
        <w:t>;</w:t>
      </w:r>
    </w:p>
    <w:p w14:paraId="748A4E6C" w14:textId="1399CC0A" w:rsidR="001A1A14" w:rsidRPr="001A1A14" w:rsidRDefault="009D05C5" w:rsidP="002D6895">
      <w:pPr>
        <w:pStyle w:val="Titrepartie"/>
        <w:numPr>
          <w:ilvl w:val="2"/>
          <w:numId w:val="16"/>
        </w:numPr>
        <w:ind w:left="993"/>
        <w:rPr>
          <w:b w:val="0"/>
          <w:bCs w:val="0"/>
          <w:color w:val="auto"/>
          <w:sz w:val="20"/>
          <w:lang/>
        </w:rPr>
      </w:pPr>
      <w:r>
        <w:rPr>
          <w:b w:val="0"/>
          <w:bCs w:val="0"/>
          <w:color w:val="auto"/>
          <w:sz w:val="20"/>
          <w:lang/>
        </w:rPr>
        <w:t xml:space="preserve">Demande au </w:t>
      </w:r>
      <w:r w:rsidR="002D6895">
        <w:rPr>
          <w:b w:val="0"/>
          <w:bCs w:val="0"/>
          <w:color w:val="auto"/>
          <w:sz w:val="20"/>
        </w:rPr>
        <w:t>S</w:t>
      </w:r>
      <w:r>
        <w:rPr>
          <w:b w:val="0"/>
          <w:bCs w:val="0"/>
          <w:color w:val="auto"/>
          <w:sz w:val="20"/>
          <w:lang/>
        </w:rPr>
        <w:t xml:space="preserve">ecrétariat général de capitaliser sur </w:t>
      </w:r>
      <w:r w:rsidR="002D6895">
        <w:rPr>
          <w:b w:val="0"/>
          <w:bCs w:val="0"/>
          <w:color w:val="auto"/>
          <w:sz w:val="20"/>
        </w:rPr>
        <w:t xml:space="preserve">les </w:t>
      </w:r>
      <w:r>
        <w:rPr>
          <w:b w:val="0"/>
          <w:bCs w:val="0"/>
          <w:color w:val="auto"/>
          <w:sz w:val="20"/>
          <w:lang/>
        </w:rPr>
        <w:t xml:space="preserve">accréditations auprès des </w:t>
      </w:r>
      <w:r w:rsidR="002D6895">
        <w:rPr>
          <w:b w:val="0"/>
          <w:bCs w:val="0"/>
          <w:color w:val="auto"/>
          <w:sz w:val="20"/>
        </w:rPr>
        <w:t>F</w:t>
      </w:r>
      <w:r>
        <w:rPr>
          <w:b w:val="0"/>
          <w:bCs w:val="0"/>
          <w:color w:val="auto"/>
          <w:sz w:val="20"/>
          <w:lang/>
        </w:rPr>
        <w:t xml:space="preserve">onds </w:t>
      </w:r>
      <w:r w:rsidR="002D6895">
        <w:rPr>
          <w:b w:val="0"/>
          <w:bCs w:val="0"/>
          <w:color w:val="auto"/>
          <w:sz w:val="20"/>
        </w:rPr>
        <w:t xml:space="preserve">climatiques </w:t>
      </w:r>
      <w:r>
        <w:rPr>
          <w:b w:val="0"/>
          <w:bCs w:val="0"/>
          <w:color w:val="auto"/>
          <w:sz w:val="20"/>
          <w:lang/>
        </w:rPr>
        <w:t xml:space="preserve">pour </w:t>
      </w:r>
      <w:r w:rsidR="00AD13EF">
        <w:rPr>
          <w:b w:val="0"/>
          <w:bCs w:val="0"/>
          <w:color w:val="auto"/>
          <w:sz w:val="20"/>
          <w:lang/>
        </w:rPr>
        <w:t>la formulation</w:t>
      </w:r>
      <w:r>
        <w:rPr>
          <w:b w:val="0"/>
          <w:bCs w:val="0"/>
          <w:color w:val="auto"/>
          <w:sz w:val="20"/>
          <w:lang/>
        </w:rPr>
        <w:t xml:space="preserve"> des programme sur la résilience climatique</w:t>
      </w:r>
      <w:r w:rsidR="002D6895">
        <w:rPr>
          <w:b w:val="0"/>
          <w:bCs w:val="0"/>
          <w:color w:val="auto"/>
          <w:sz w:val="20"/>
        </w:rPr>
        <w:t>.</w:t>
      </w:r>
      <w:r>
        <w:rPr>
          <w:b w:val="0"/>
          <w:bCs w:val="0"/>
          <w:color w:val="auto"/>
          <w:sz w:val="20"/>
          <w:lang/>
        </w:rPr>
        <w:t xml:space="preserve">    </w:t>
      </w:r>
    </w:p>
    <w:sectPr w:rsidR="001A1A14" w:rsidRPr="001A1A14" w:rsidSect="0096704B">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A8C6" w14:textId="77777777" w:rsidR="00285008" w:rsidRDefault="00285008" w:rsidP="0096704B">
      <w:pPr>
        <w:spacing w:after="0" w:line="240" w:lineRule="auto"/>
      </w:pPr>
      <w:r>
        <w:separator/>
      </w:r>
    </w:p>
  </w:endnote>
  <w:endnote w:type="continuationSeparator" w:id="0">
    <w:p w14:paraId="108BA2D3" w14:textId="77777777" w:rsidR="00285008" w:rsidRDefault="00285008" w:rsidP="0096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058A0C82" w14:textId="77777777" w:rsidR="0096704B" w:rsidRDefault="0096704B" w:rsidP="000F4728">
        <w:pPr>
          <w:pStyle w:val="Pieddepage"/>
          <w:pBdr>
            <w:top w:val="single" w:sz="4" w:space="1" w:color="E97132" w:themeColor="accent2"/>
          </w:pBdr>
          <w:jc w:val="right"/>
        </w:pPr>
        <w:r>
          <w:fldChar w:fldCharType="begin"/>
        </w:r>
        <w:r>
          <w:instrText>PAGE   \* MERGEFORMAT</w:instrText>
        </w:r>
        <w:r>
          <w:fldChar w:fldCharType="separate"/>
        </w:r>
        <w:r>
          <w:t>2</w:t>
        </w:r>
        <w:r>
          <w:fldChar w:fldCharType="end"/>
        </w:r>
      </w:p>
    </w:sdtContent>
  </w:sdt>
  <w:p w14:paraId="1C0E80D0" w14:textId="77777777" w:rsidR="0096704B" w:rsidRDefault="009670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1265" w14:textId="77777777" w:rsidR="00285008" w:rsidRDefault="00285008" w:rsidP="0096704B">
      <w:pPr>
        <w:spacing w:after="0" w:line="240" w:lineRule="auto"/>
      </w:pPr>
      <w:r>
        <w:separator/>
      </w:r>
    </w:p>
  </w:footnote>
  <w:footnote w:type="continuationSeparator" w:id="0">
    <w:p w14:paraId="7AF0BBA9" w14:textId="77777777" w:rsidR="00285008" w:rsidRDefault="00285008" w:rsidP="00967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5F39" w14:textId="63792517" w:rsidR="0096704B" w:rsidRDefault="0096704B" w:rsidP="00063A26">
    <w:pPr>
      <w:pStyle w:val="En-tte"/>
      <w:tabs>
        <w:tab w:val="clear" w:pos="4536"/>
        <w:tab w:val="clear" w:pos="9072"/>
        <w:tab w:val="center" w:pos="0"/>
      </w:tabs>
      <w:rPr>
        <w:b/>
        <w:bCs/>
      </w:rPr>
    </w:pPr>
    <w:r>
      <w:rPr>
        <w:i/>
        <w:iCs/>
        <w:noProof/>
      </w:rPr>
      <w:drawing>
        <wp:inline distT="0" distB="0" distL="0" distR="0" wp14:anchorId="2CBD74B9" wp14:editId="7B339939">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 xml:space="preserve">Point. </w:t>
    </w:r>
    <w:r w:rsidR="00782616">
      <w:rPr>
        <w:rFonts w:ascii="Verdana" w:hAnsi="Verdana"/>
        <w:b/>
        <w:bCs/>
        <w:sz w:val="20"/>
        <w:szCs w:val="20"/>
      </w:rPr>
      <w:t>1.3</w:t>
    </w:r>
  </w:p>
  <w:p w14:paraId="45F8CCDF" w14:textId="77777777" w:rsidR="0096704B" w:rsidRDefault="0096704B"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72D"/>
    <w:multiLevelType w:val="hybridMultilevel"/>
    <w:tmpl w:val="82EC250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D882A76"/>
    <w:multiLevelType w:val="multilevel"/>
    <w:tmpl w:val="B04CD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3266A"/>
    <w:multiLevelType w:val="hybridMultilevel"/>
    <w:tmpl w:val="986CE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33711A"/>
    <w:multiLevelType w:val="multilevel"/>
    <w:tmpl w:val="7ED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861A7"/>
    <w:multiLevelType w:val="hybridMultilevel"/>
    <w:tmpl w:val="0FB866EA"/>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B86B6D"/>
    <w:multiLevelType w:val="multilevel"/>
    <w:tmpl w:val="F1F4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D30BE"/>
    <w:multiLevelType w:val="multilevel"/>
    <w:tmpl w:val="59F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47F32"/>
    <w:multiLevelType w:val="multilevel"/>
    <w:tmpl w:val="91F4C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2716E"/>
    <w:multiLevelType w:val="hybridMultilevel"/>
    <w:tmpl w:val="B204CEE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7DDB0FC2"/>
    <w:multiLevelType w:val="multilevel"/>
    <w:tmpl w:val="5622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218489">
    <w:abstractNumId w:val="1"/>
  </w:num>
  <w:num w:numId="2" w16cid:durableId="1356728711">
    <w:abstractNumId w:val="3"/>
  </w:num>
  <w:num w:numId="3" w16cid:durableId="1895433528">
    <w:abstractNumId w:val="5"/>
  </w:num>
  <w:num w:numId="4" w16cid:durableId="1955937056">
    <w:abstractNumId w:val="1"/>
  </w:num>
  <w:num w:numId="5" w16cid:durableId="887490329">
    <w:abstractNumId w:val="2"/>
  </w:num>
  <w:num w:numId="6" w16cid:durableId="1236473300">
    <w:abstractNumId w:val="1"/>
  </w:num>
  <w:num w:numId="7" w16cid:durableId="1549757694">
    <w:abstractNumId w:val="0"/>
  </w:num>
  <w:num w:numId="8" w16cid:durableId="993485513">
    <w:abstractNumId w:val="6"/>
  </w:num>
  <w:num w:numId="9" w16cid:durableId="1055422736">
    <w:abstractNumId w:val="10"/>
  </w:num>
  <w:num w:numId="10" w16cid:durableId="1174610610">
    <w:abstractNumId w:val="1"/>
  </w:num>
  <w:num w:numId="11" w16cid:durableId="1030647481">
    <w:abstractNumId w:val="9"/>
  </w:num>
  <w:num w:numId="12" w16cid:durableId="1421220407">
    <w:abstractNumId w:val="1"/>
  </w:num>
  <w:num w:numId="13" w16cid:durableId="1498304333">
    <w:abstractNumId w:val="7"/>
  </w:num>
  <w:num w:numId="14" w16cid:durableId="1836991769">
    <w:abstractNumId w:val="4"/>
  </w:num>
  <w:num w:numId="15" w16cid:durableId="1437673045">
    <w:abstractNumId w:val="1"/>
  </w:num>
  <w:num w:numId="16" w16cid:durableId="95295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4B"/>
    <w:rsid w:val="00041CC5"/>
    <w:rsid w:val="00043BB2"/>
    <w:rsid w:val="00066F58"/>
    <w:rsid w:val="0011781B"/>
    <w:rsid w:val="00130468"/>
    <w:rsid w:val="00155400"/>
    <w:rsid w:val="001568F2"/>
    <w:rsid w:val="001711F4"/>
    <w:rsid w:val="001916B6"/>
    <w:rsid w:val="001A1A14"/>
    <w:rsid w:val="001F48D5"/>
    <w:rsid w:val="001F56AD"/>
    <w:rsid w:val="00233AF0"/>
    <w:rsid w:val="00234699"/>
    <w:rsid w:val="00271D26"/>
    <w:rsid w:val="00285008"/>
    <w:rsid w:val="002D6895"/>
    <w:rsid w:val="00301F3C"/>
    <w:rsid w:val="003868AF"/>
    <w:rsid w:val="003A32C7"/>
    <w:rsid w:val="003B73F5"/>
    <w:rsid w:val="003C041B"/>
    <w:rsid w:val="003C0548"/>
    <w:rsid w:val="003C48FF"/>
    <w:rsid w:val="003D04B8"/>
    <w:rsid w:val="00456ED3"/>
    <w:rsid w:val="00457B9E"/>
    <w:rsid w:val="004843EC"/>
    <w:rsid w:val="004B1F77"/>
    <w:rsid w:val="00504331"/>
    <w:rsid w:val="00551345"/>
    <w:rsid w:val="005844A3"/>
    <w:rsid w:val="005956F8"/>
    <w:rsid w:val="005B732A"/>
    <w:rsid w:val="005D3E00"/>
    <w:rsid w:val="00600B21"/>
    <w:rsid w:val="00605C3A"/>
    <w:rsid w:val="00616A9E"/>
    <w:rsid w:val="00641DB9"/>
    <w:rsid w:val="006830E2"/>
    <w:rsid w:val="00695E0C"/>
    <w:rsid w:val="006B53EC"/>
    <w:rsid w:val="00711F9B"/>
    <w:rsid w:val="00782616"/>
    <w:rsid w:val="007C55FD"/>
    <w:rsid w:val="007F4CD3"/>
    <w:rsid w:val="00802C8C"/>
    <w:rsid w:val="00806507"/>
    <w:rsid w:val="008119FE"/>
    <w:rsid w:val="008577C2"/>
    <w:rsid w:val="00883B40"/>
    <w:rsid w:val="008B200B"/>
    <w:rsid w:val="008B70A8"/>
    <w:rsid w:val="009165E6"/>
    <w:rsid w:val="0096704B"/>
    <w:rsid w:val="00980D00"/>
    <w:rsid w:val="009D05C5"/>
    <w:rsid w:val="009D50CB"/>
    <w:rsid w:val="00A13177"/>
    <w:rsid w:val="00A67BF4"/>
    <w:rsid w:val="00A87AF5"/>
    <w:rsid w:val="00AD13EF"/>
    <w:rsid w:val="00AE250B"/>
    <w:rsid w:val="00AE3EF4"/>
    <w:rsid w:val="00B31E11"/>
    <w:rsid w:val="00B57F5E"/>
    <w:rsid w:val="00BA01D7"/>
    <w:rsid w:val="00BA65C7"/>
    <w:rsid w:val="00BD52C5"/>
    <w:rsid w:val="00BD6CC2"/>
    <w:rsid w:val="00BE7DF4"/>
    <w:rsid w:val="00C01D08"/>
    <w:rsid w:val="00C70DAF"/>
    <w:rsid w:val="00C7115D"/>
    <w:rsid w:val="00CC6FFF"/>
    <w:rsid w:val="00CD022D"/>
    <w:rsid w:val="00CD0A94"/>
    <w:rsid w:val="00D03F36"/>
    <w:rsid w:val="00D1508B"/>
    <w:rsid w:val="00D5541A"/>
    <w:rsid w:val="00D73367"/>
    <w:rsid w:val="00DE6AC7"/>
    <w:rsid w:val="00E31738"/>
    <w:rsid w:val="00E42129"/>
    <w:rsid w:val="00EA0B5F"/>
    <w:rsid w:val="00EC659F"/>
    <w:rsid w:val="00EE34A8"/>
    <w:rsid w:val="00F125F8"/>
    <w:rsid w:val="00F36CF7"/>
    <w:rsid w:val="00F41608"/>
    <w:rsid w:val="00FA509E"/>
    <w:rsid w:val="00FB2F8B"/>
    <w:rsid w:val="00FF125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EF23"/>
  <w15:chartTrackingRefBased/>
  <w15:docId w15:val="{814FD5E0-1FD5-430E-B348-0CD0311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4B"/>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967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7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70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70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70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70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70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70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70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70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70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70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70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70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70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70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70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704B"/>
    <w:rPr>
      <w:rFonts w:eastAsiaTheme="majorEastAsia" w:cstheme="majorBidi"/>
      <w:color w:val="272727" w:themeColor="text1" w:themeTint="D8"/>
    </w:rPr>
  </w:style>
  <w:style w:type="paragraph" w:styleId="Titre">
    <w:name w:val="Title"/>
    <w:basedOn w:val="Normal"/>
    <w:next w:val="Normal"/>
    <w:link w:val="TitreCar"/>
    <w:uiPriority w:val="10"/>
    <w:qFormat/>
    <w:rsid w:val="00967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70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70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70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704B"/>
    <w:pPr>
      <w:spacing w:before="160"/>
      <w:jc w:val="center"/>
    </w:pPr>
    <w:rPr>
      <w:i/>
      <w:iCs/>
      <w:color w:val="404040" w:themeColor="text1" w:themeTint="BF"/>
    </w:rPr>
  </w:style>
  <w:style w:type="character" w:customStyle="1" w:styleId="CitationCar">
    <w:name w:val="Citation Car"/>
    <w:basedOn w:val="Policepardfaut"/>
    <w:link w:val="Citation"/>
    <w:uiPriority w:val="29"/>
    <w:rsid w:val="0096704B"/>
    <w:rPr>
      <w:i/>
      <w:iCs/>
      <w:color w:val="404040" w:themeColor="text1" w:themeTint="BF"/>
    </w:rPr>
  </w:style>
  <w:style w:type="paragraph" w:styleId="Paragraphedeliste">
    <w:name w:val="List Paragraph"/>
    <w:basedOn w:val="Normal"/>
    <w:link w:val="ParagraphedelisteCar"/>
    <w:uiPriority w:val="34"/>
    <w:qFormat/>
    <w:rsid w:val="0096704B"/>
    <w:pPr>
      <w:ind w:left="720"/>
      <w:contextualSpacing/>
    </w:pPr>
  </w:style>
  <w:style w:type="character" w:styleId="Accentuationintense">
    <w:name w:val="Intense Emphasis"/>
    <w:basedOn w:val="Policepardfaut"/>
    <w:uiPriority w:val="21"/>
    <w:qFormat/>
    <w:rsid w:val="0096704B"/>
    <w:rPr>
      <w:i/>
      <w:iCs/>
      <w:color w:val="0F4761" w:themeColor="accent1" w:themeShade="BF"/>
    </w:rPr>
  </w:style>
  <w:style w:type="paragraph" w:styleId="Citationintense">
    <w:name w:val="Intense Quote"/>
    <w:basedOn w:val="Normal"/>
    <w:next w:val="Normal"/>
    <w:link w:val="CitationintenseCar"/>
    <w:uiPriority w:val="30"/>
    <w:qFormat/>
    <w:rsid w:val="00967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704B"/>
    <w:rPr>
      <w:i/>
      <w:iCs/>
      <w:color w:val="0F4761" w:themeColor="accent1" w:themeShade="BF"/>
    </w:rPr>
  </w:style>
  <w:style w:type="character" w:styleId="Rfrenceintense">
    <w:name w:val="Intense Reference"/>
    <w:basedOn w:val="Policepardfaut"/>
    <w:uiPriority w:val="32"/>
    <w:qFormat/>
    <w:rsid w:val="0096704B"/>
    <w:rPr>
      <w:b/>
      <w:bCs/>
      <w:smallCaps/>
      <w:color w:val="0F4761" w:themeColor="accent1" w:themeShade="BF"/>
      <w:spacing w:val="5"/>
    </w:rPr>
  </w:style>
  <w:style w:type="paragraph" w:styleId="En-tte">
    <w:name w:val="header"/>
    <w:basedOn w:val="Normal"/>
    <w:link w:val="En-tteCar"/>
    <w:uiPriority w:val="99"/>
    <w:unhideWhenUsed/>
    <w:rsid w:val="0096704B"/>
    <w:pPr>
      <w:tabs>
        <w:tab w:val="center" w:pos="4536"/>
        <w:tab w:val="right" w:pos="9072"/>
      </w:tabs>
      <w:spacing w:after="0" w:line="240" w:lineRule="auto"/>
    </w:pPr>
  </w:style>
  <w:style w:type="character" w:customStyle="1" w:styleId="En-tteCar">
    <w:name w:val="En-tête Car"/>
    <w:basedOn w:val="Policepardfaut"/>
    <w:link w:val="En-tte"/>
    <w:uiPriority w:val="99"/>
    <w:rsid w:val="0096704B"/>
    <w:rPr>
      <w:kern w:val="0"/>
      <w:sz w:val="22"/>
      <w:szCs w:val="22"/>
      <w:lang w:val="fr-FR"/>
      <w14:ligatures w14:val="none"/>
    </w:rPr>
  </w:style>
  <w:style w:type="paragraph" w:styleId="Pieddepage">
    <w:name w:val="footer"/>
    <w:basedOn w:val="Normal"/>
    <w:link w:val="PieddepageCar"/>
    <w:uiPriority w:val="99"/>
    <w:unhideWhenUsed/>
    <w:rsid w:val="00967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04B"/>
    <w:rPr>
      <w:kern w:val="0"/>
      <w:sz w:val="22"/>
      <w:szCs w:val="22"/>
      <w:lang w:val="fr-FR"/>
      <w14:ligatures w14:val="none"/>
    </w:rPr>
  </w:style>
  <w:style w:type="table" w:styleId="Grilledutableau">
    <w:name w:val="Table Grid"/>
    <w:basedOn w:val="TableauNormal"/>
    <w:uiPriority w:val="39"/>
    <w:rsid w:val="0096704B"/>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96704B"/>
    <w:pPr>
      <w:jc w:val="both"/>
    </w:pPr>
    <w:rPr>
      <w:rFonts w:ascii="Verdana" w:hAnsi="Verdana" w:cs="Calibri"/>
      <w:sz w:val="20"/>
      <w:szCs w:val="20"/>
    </w:rPr>
  </w:style>
  <w:style w:type="paragraph" w:customStyle="1" w:styleId="Titrepartie">
    <w:name w:val="Titre partie"/>
    <w:basedOn w:val="Paragraphedeliste"/>
    <w:link w:val="TitrepartieCar"/>
    <w:qFormat/>
    <w:rsid w:val="0096704B"/>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96704B"/>
    <w:rPr>
      <w:rFonts w:ascii="Verdana" w:hAnsi="Verdana" w:cs="Calibri"/>
      <w:kern w:val="0"/>
      <w:sz w:val="20"/>
      <w:szCs w:val="20"/>
      <w:lang w:val="fr-FR"/>
      <w14:ligatures w14:val="none"/>
    </w:rPr>
  </w:style>
  <w:style w:type="character" w:customStyle="1" w:styleId="ParagraphedelisteCar">
    <w:name w:val="Paragraphe de liste Car"/>
    <w:basedOn w:val="Policepardfaut"/>
    <w:link w:val="Paragraphedeliste"/>
    <w:uiPriority w:val="34"/>
    <w:rsid w:val="0096704B"/>
  </w:style>
  <w:style w:type="character" w:customStyle="1" w:styleId="TitrepartieCar">
    <w:name w:val="Titre partie Car"/>
    <w:basedOn w:val="ParagraphedelisteCar"/>
    <w:link w:val="Titrepartie"/>
    <w:rsid w:val="0096704B"/>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96704B"/>
    <w:pPr>
      <w:numPr>
        <w:ilvl w:val="1"/>
        <w:numId w:val="1"/>
      </w:numPr>
      <w:jc w:val="both"/>
    </w:pPr>
    <w:rPr>
      <w:rFonts w:ascii="Verdana" w:hAnsi="Verdana" w:cs="Calibri"/>
      <w:color w:val="0070C0"/>
      <w:sz w:val="20"/>
      <w:szCs w:val="20"/>
    </w:rPr>
  </w:style>
  <w:style w:type="character" w:customStyle="1" w:styleId="Sous-partie2Car">
    <w:name w:val="Sous-partie 2 Car"/>
    <w:basedOn w:val="ParagraphedelisteCar"/>
    <w:link w:val="Sous-partie2"/>
    <w:rsid w:val="0096704B"/>
    <w:rPr>
      <w:rFonts w:ascii="Verdana" w:hAnsi="Verdana" w:cs="Calibri"/>
      <w:color w:val="0070C0"/>
      <w:kern w:val="0"/>
      <w:sz w:val="20"/>
      <w:szCs w:val="20"/>
      <w:lang w:val="fr-FR"/>
      <w14:ligatures w14:val="none"/>
    </w:rPr>
  </w:style>
  <w:style w:type="character" w:styleId="Lienhypertexte">
    <w:name w:val="Hyperlink"/>
    <w:basedOn w:val="Policepardfaut"/>
    <w:uiPriority w:val="99"/>
    <w:unhideWhenUsed/>
    <w:rsid w:val="0096704B"/>
    <w:rPr>
      <w:color w:val="467886" w:themeColor="hyperlink"/>
      <w:u w:val="single"/>
    </w:rPr>
  </w:style>
  <w:style w:type="paragraph" w:styleId="Notedebasdepage">
    <w:name w:val="footnote text"/>
    <w:basedOn w:val="Normal"/>
    <w:link w:val="NotedebasdepageCar"/>
    <w:uiPriority w:val="99"/>
    <w:semiHidden/>
    <w:unhideWhenUsed/>
    <w:rsid w:val="0096704B"/>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96704B"/>
    <w:rPr>
      <w:sz w:val="20"/>
      <w:szCs w:val="20"/>
      <w:lang w:val="fr-FR"/>
    </w:rPr>
  </w:style>
  <w:style w:type="character" w:styleId="Appelnotedebasdep">
    <w:name w:val="footnote reference"/>
    <w:basedOn w:val="Policepardfaut"/>
    <w:uiPriority w:val="99"/>
    <w:semiHidden/>
    <w:unhideWhenUsed/>
    <w:rsid w:val="0096704B"/>
    <w:rPr>
      <w:vertAlign w:val="superscript"/>
    </w:rPr>
  </w:style>
  <w:style w:type="character" w:styleId="Marquedecommentaire">
    <w:name w:val="annotation reference"/>
    <w:basedOn w:val="Policepardfaut"/>
    <w:uiPriority w:val="99"/>
    <w:semiHidden/>
    <w:unhideWhenUsed/>
    <w:rsid w:val="00041CC5"/>
    <w:rPr>
      <w:sz w:val="16"/>
      <w:szCs w:val="16"/>
    </w:rPr>
  </w:style>
  <w:style w:type="paragraph" w:styleId="Commentaire">
    <w:name w:val="annotation text"/>
    <w:basedOn w:val="Normal"/>
    <w:link w:val="CommentaireCar"/>
    <w:uiPriority w:val="99"/>
    <w:unhideWhenUsed/>
    <w:rsid w:val="00041CC5"/>
    <w:pPr>
      <w:spacing w:line="240" w:lineRule="auto"/>
    </w:pPr>
    <w:rPr>
      <w:sz w:val="20"/>
      <w:szCs w:val="20"/>
    </w:rPr>
  </w:style>
  <w:style w:type="character" w:customStyle="1" w:styleId="CommentaireCar">
    <w:name w:val="Commentaire Car"/>
    <w:basedOn w:val="Policepardfaut"/>
    <w:link w:val="Commentaire"/>
    <w:uiPriority w:val="99"/>
    <w:rsid w:val="00041CC5"/>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041CC5"/>
    <w:rPr>
      <w:b/>
      <w:bCs/>
    </w:rPr>
  </w:style>
  <w:style w:type="character" w:customStyle="1" w:styleId="ObjetducommentaireCar">
    <w:name w:val="Objet du commentaire Car"/>
    <w:basedOn w:val="CommentaireCar"/>
    <w:link w:val="Objetducommentaire"/>
    <w:uiPriority w:val="99"/>
    <w:semiHidden/>
    <w:rsid w:val="00041CC5"/>
    <w:rPr>
      <w:b/>
      <w:bCs/>
      <w:kern w:val="0"/>
      <w:sz w:val="20"/>
      <w:szCs w:val="20"/>
      <w:lang w:val="fr-FR"/>
      <w14:ligatures w14:val="none"/>
    </w:rPr>
  </w:style>
  <w:style w:type="paragraph" w:customStyle="1" w:styleId="ds-markdown-paragraph">
    <w:name w:val="ds-markdown-paragraph"/>
    <w:basedOn w:val="Normal"/>
    <w:rsid w:val="00A13177"/>
    <w:pPr>
      <w:spacing w:before="100" w:beforeAutospacing="1" w:after="100" w:afterAutospacing="1" w:line="240" w:lineRule="auto"/>
    </w:pPr>
    <w:rPr>
      <w:rFonts w:ascii="Times New Roman" w:eastAsia="Times New Roman" w:hAnsi="Times New Roman" w:cs="Times New Roman"/>
      <w:sz w:val="24"/>
      <w:szCs w:val="24"/>
      <w:lang/>
    </w:rPr>
  </w:style>
  <w:style w:type="character" w:styleId="lev">
    <w:name w:val="Strong"/>
    <w:basedOn w:val="Policepardfaut"/>
    <w:uiPriority w:val="22"/>
    <w:qFormat/>
    <w:rsid w:val="00A13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3659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Alihasina RAKOTONDRAMANANA</dc:creator>
  <cp:keywords/>
  <dc:description/>
  <cp:lastModifiedBy>Gilles RIBOUET</cp:lastModifiedBy>
  <cp:revision>2</cp:revision>
  <dcterms:created xsi:type="dcterms:W3CDTF">2026-04-29T05:32:00Z</dcterms:created>
  <dcterms:modified xsi:type="dcterms:W3CDTF">2026-04-29T05:32:00Z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f655f0e1-9fa3-4657-9eb9-95ce994a0843</vt:lpwstr>
  </property>
</Properties>
</file>