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983B" w14:textId="3C4CA605" w:rsidR="00577ECD" w:rsidRPr="00D70A41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D70A41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7F3207" w:rsidRPr="00D70A41">
        <w:rPr>
          <w:rFonts w:ascii="Verdana" w:hAnsi="Verdana"/>
          <w:b/>
          <w:bCs/>
          <w:sz w:val="20"/>
          <w:szCs w:val="20"/>
        </w:rPr>
        <w:t>n°</w:t>
      </w:r>
      <w:r w:rsidR="00AC2D79" w:rsidRPr="00D70A41">
        <w:rPr>
          <w:rFonts w:ascii="Verdana" w:hAnsi="Verdana"/>
          <w:b/>
          <w:bCs/>
          <w:sz w:val="20"/>
          <w:szCs w:val="20"/>
        </w:rPr>
        <w:t>02</w:t>
      </w:r>
      <w:r w:rsidR="007F3207" w:rsidRPr="00D70A41">
        <w:rPr>
          <w:rFonts w:ascii="Verdana" w:hAnsi="Verdana"/>
          <w:b/>
          <w:bCs/>
          <w:sz w:val="20"/>
          <w:szCs w:val="20"/>
        </w:rPr>
        <w:t>/2</w:t>
      </w:r>
      <w:r w:rsidR="00D73A6C">
        <w:rPr>
          <w:rFonts w:ascii="Verdana" w:hAnsi="Verdana"/>
          <w:b/>
          <w:bCs/>
          <w:sz w:val="20"/>
          <w:szCs w:val="20"/>
        </w:rPr>
        <w:t>6</w:t>
      </w:r>
      <w:r w:rsidR="00E37D3B" w:rsidRPr="00D70A41">
        <w:rPr>
          <w:rFonts w:ascii="Verdana" w:hAnsi="Verdana"/>
          <w:b/>
          <w:bCs/>
          <w:sz w:val="20"/>
          <w:szCs w:val="20"/>
        </w:rPr>
        <w:t xml:space="preserve"> </w:t>
      </w:r>
      <w:r w:rsidR="00B8285A" w:rsidRPr="00D70A41">
        <w:rPr>
          <w:rFonts w:ascii="Verdana" w:hAnsi="Verdana"/>
          <w:b/>
          <w:bCs/>
          <w:sz w:val="20"/>
          <w:szCs w:val="20"/>
        </w:rPr>
        <w:t xml:space="preserve">de la </w:t>
      </w:r>
      <w:r w:rsidR="00690836" w:rsidRPr="00D70A41">
        <w:rPr>
          <w:rFonts w:ascii="Verdana" w:hAnsi="Verdana"/>
          <w:b/>
          <w:bCs/>
          <w:sz w:val="20"/>
          <w:szCs w:val="20"/>
        </w:rPr>
        <w:t>COI</w:t>
      </w:r>
    </w:p>
    <w:p w14:paraId="3AD133D1" w14:textId="18E65A46" w:rsidR="00EB38B7" w:rsidRPr="00D70A41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D70A41">
        <w:rPr>
          <w:rFonts w:ascii="Verdana" w:hAnsi="Verdana"/>
          <w:sz w:val="20"/>
          <w:szCs w:val="20"/>
        </w:rPr>
        <w:t>Projet d’ordre du jour</w:t>
      </w:r>
      <w:r w:rsidR="00F52B26" w:rsidRPr="00D70A41">
        <w:rPr>
          <w:rFonts w:ascii="Verdana" w:hAnsi="Verdana"/>
          <w:sz w:val="20"/>
          <w:szCs w:val="20"/>
        </w:rPr>
        <w:t xml:space="preserve"> | </w:t>
      </w:r>
      <w:r w:rsidR="001E2833">
        <w:rPr>
          <w:rFonts w:ascii="Verdana" w:hAnsi="Verdana"/>
          <w:sz w:val="20"/>
          <w:szCs w:val="20"/>
        </w:rPr>
        <w:t>05-07</w:t>
      </w:r>
      <w:r w:rsidR="00D73A6C">
        <w:rPr>
          <w:rFonts w:ascii="Verdana" w:hAnsi="Verdana"/>
          <w:sz w:val="20"/>
          <w:szCs w:val="20"/>
        </w:rPr>
        <w:t xml:space="preserve"> mai</w:t>
      </w:r>
      <w:r w:rsidR="007F3207" w:rsidRPr="00D70A41">
        <w:rPr>
          <w:rFonts w:ascii="Verdana" w:hAnsi="Verdana"/>
          <w:sz w:val="20"/>
          <w:szCs w:val="20"/>
        </w:rPr>
        <w:t xml:space="preserve"> 202</w:t>
      </w:r>
      <w:r w:rsidR="00D73A6C">
        <w:rPr>
          <w:rFonts w:ascii="Verdana" w:hAnsi="Verdana"/>
          <w:sz w:val="20"/>
          <w:szCs w:val="20"/>
        </w:rPr>
        <w:t>6</w:t>
      </w:r>
      <w:r w:rsidR="008C6C0E" w:rsidRPr="00D70A41">
        <w:rPr>
          <w:rFonts w:ascii="Verdana" w:hAnsi="Verdana"/>
          <w:sz w:val="20"/>
          <w:szCs w:val="20"/>
        </w:rPr>
        <w:t xml:space="preserve"> | Ebène - Maurice</w:t>
      </w:r>
    </w:p>
    <w:p w14:paraId="4F06C3AB" w14:textId="77777777" w:rsidR="001F07E3" w:rsidRPr="00733305" w:rsidRDefault="001F07E3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2"/>
          <w:szCs w:val="2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8608"/>
      </w:tblGrid>
      <w:tr w:rsidR="00C502D9" w:rsidRPr="00D70A41" w14:paraId="32DD6C5D" w14:textId="77777777" w:rsidTr="00EB7D1A">
        <w:trPr>
          <w:tblHeader/>
        </w:trPr>
        <w:tc>
          <w:tcPr>
            <w:tcW w:w="1321" w:type="dxa"/>
          </w:tcPr>
          <w:p w14:paraId="09CEDFE2" w14:textId="77777777" w:rsidR="00C502D9" w:rsidRPr="00D70A41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608" w:type="dxa"/>
          </w:tcPr>
          <w:p w14:paraId="606F8F68" w14:textId="77777777" w:rsidR="00C502D9" w:rsidRPr="00D70A41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D70A41" w14:paraId="22D00959" w14:textId="77777777" w:rsidTr="00CD485A">
        <w:tc>
          <w:tcPr>
            <w:tcW w:w="9929" w:type="dxa"/>
            <w:gridSpan w:val="2"/>
            <w:shd w:val="clear" w:color="auto" w:fill="E7E6E6" w:themeFill="background2"/>
          </w:tcPr>
          <w:p w14:paraId="335A1B24" w14:textId="02B09F83" w:rsidR="004474FF" w:rsidRPr="00D70A41" w:rsidRDefault="001E2833" w:rsidP="007C75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MARDI 05 MAI</w:t>
            </w:r>
            <w:r w:rsidR="00D73A6C">
              <w:rPr>
                <w:rFonts w:ascii="Verdana" w:hAnsi="Verdana"/>
                <w:b/>
                <w:bCs/>
              </w:rPr>
              <w:t xml:space="preserve"> 2026</w:t>
            </w:r>
          </w:p>
        </w:tc>
      </w:tr>
      <w:tr w:rsidR="00C502D9" w:rsidRPr="00D70A41" w14:paraId="7803BE0D" w14:textId="77777777" w:rsidTr="00F2298E">
        <w:tc>
          <w:tcPr>
            <w:tcW w:w="9929" w:type="dxa"/>
            <w:gridSpan w:val="2"/>
            <w:shd w:val="clear" w:color="auto" w:fill="002060"/>
          </w:tcPr>
          <w:p w14:paraId="220369EF" w14:textId="77777777" w:rsidR="00C502D9" w:rsidRPr="00D70A41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D70A41" w14:paraId="237C06EB" w14:textId="77777777" w:rsidTr="00EB7D1A">
        <w:tc>
          <w:tcPr>
            <w:tcW w:w="1321" w:type="dxa"/>
            <w:vAlign w:val="center"/>
          </w:tcPr>
          <w:p w14:paraId="429EFCD2" w14:textId="22555C97" w:rsidR="000818E0" w:rsidRPr="00D70A41" w:rsidRDefault="006C51DC" w:rsidP="001D50D8">
            <w:p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18"/>
                <w:szCs w:val="18"/>
              </w:rPr>
              <w:t>9h</w:t>
            </w:r>
            <w:r w:rsidR="00D10D9E" w:rsidRPr="00D70A41">
              <w:rPr>
                <w:rFonts w:ascii="Verdana" w:hAnsi="Verdana"/>
                <w:sz w:val="18"/>
                <w:szCs w:val="18"/>
              </w:rPr>
              <w:t>15</w:t>
            </w:r>
            <w:r w:rsidRPr="00D70A4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589E" w:rsidRPr="00D70A41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EF1BA6" w:rsidRPr="00D70A41">
              <w:rPr>
                <w:rFonts w:ascii="Verdana" w:hAnsi="Verdana"/>
                <w:sz w:val="18"/>
                <w:szCs w:val="18"/>
              </w:rPr>
              <w:t>10h</w:t>
            </w:r>
          </w:p>
        </w:tc>
        <w:tc>
          <w:tcPr>
            <w:tcW w:w="8608" w:type="dxa"/>
          </w:tcPr>
          <w:p w14:paraId="6855E71E" w14:textId="77777777" w:rsidR="000818E0" w:rsidRPr="00D70A41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51D1AEAF" w:rsidR="000818E0" w:rsidRPr="00D70A41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 w:rsidR="006A3295" w:rsidRPr="00D70A41">
              <w:rPr>
                <w:rFonts w:ascii="Verdana" w:hAnsi="Verdana"/>
                <w:sz w:val="20"/>
                <w:szCs w:val="20"/>
              </w:rPr>
              <w:t>d</w:t>
            </w:r>
            <w:r w:rsidR="00C34DCA" w:rsidRPr="00D70A41">
              <w:rPr>
                <w:rFonts w:ascii="Verdana" w:hAnsi="Verdana"/>
                <w:sz w:val="20"/>
                <w:szCs w:val="20"/>
              </w:rPr>
              <w:t>e la</w:t>
            </w:r>
            <w:r w:rsidR="006A3295" w:rsidRPr="00D70A41">
              <w:rPr>
                <w:rFonts w:ascii="Verdana" w:hAnsi="Verdana"/>
                <w:sz w:val="20"/>
                <w:szCs w:val="20"/>
              </w:rPr>
              <w:t xml:space="preserve"> président</w:t>
            </w:r>
            <w:r w:rsidR="00C34DCA" w:rsidRPr="00D70A41">
              <w:rPr>
                <w:rFonts w:ascii="Verdana" w:hAnsi="Verdana"/>
                <w:sz w:val="20"/>
                <w:szCs w:val="20"/>
              </w:rPr>
              <w:t>e</w:t>
            </w:r>
            <w:r w:rsidRPr="00D70A41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D70A41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51D66549" w:rsidR="000818E0" w:rsidRPr="00D70A41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 xml:space="preserve">Union des Comores </w:t>
            </w:r>
          </w:p>
          <w:p w14:paraId="62D2E2EB" w14:textId="77777777" w:rsidR="000818E0" w:rsidRPr="00D70A41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143958BD" w14:textId="77777777" w:rsidR="00FE0163" w:rsidRPr="00D70A41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5F9FE5A2" w:rsidR="000818E0" w:rsidRPr="00D70A41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Pr="00D70A41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176A72DA" w14:textId="4135A52A" w:rsidR="00244BB6" w:rsidRPr="00D70A41" w:rsidRDefault="005A7BB1" w:rsidP="005A7BB1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hAnsi="Verdana"/>
                <w:sz w:val="20"/>
                <w:szCs w:val="20"/>
              </w:rPr>
              <w:t>Lecture et adoption de l’ordre du jour du Comité des OPL n°0</w:t>
            </w:r>
            <w:r w:rsidR="00C34DCA" w:rsidRPr="00D70A41">
              <w:rPr>
                <w:rFonts w:ascii="Verdana" w:hAnsi="Verdana"/>
                <w:sz w:val="20"/>
                <w:szCs w:val="20"/>
              </w:rPr>
              <w:t>2</w:t>
            </w:r>
            <w:r w:rsidRPr="00D70A41">
              <w:rPr>
                <w:rFonts w:ascii="Verdana" w:hAnsi="Verdana"/>
                <w:sz w:val="20"/>
                <w:szCs w:val="20"/>
              </w:rPr>
              <w:t>-2</w:t>
            </w:r>
            <w:r w:rsidR="00CF23AF">
              <w:rPr>
                <w:rFonts w:ascii="Verdana" w:hAnsi="Verdana"/>
                <w:sz w:val="20"/>
                <w:szCs w:val="20"/>
              </w:rPr>
              <w:t>6</w:t>
            </w:r>
          </w:p>
          <w:p w14:paraId="7160A3E2" w14:textId="3EDAF435" w:rsidR="00EE6F05" w:rsidRPr="00D70A41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012F75" w:rsidRPr="00D70A41" w14:paraId="2ACDA150" w14:textId="77777777" w:rsidTr="00EB7D1A">
        <w:tc>
          <w:tcPr>
            <w:tcW w:w="1321" w:type="dxa"/>
            <w:shd w:val="clear" w:color="auto" w:fill="FFF2CC" w:themeFill="accent4" w:themeFillTint="33"/>
            <w:vAlign w:val="center"/>
          </w:tcPr>
          <w:p w14:paraId="1906466A" w14:textId="28535F4F" w:rsidR="00012F75" w:rsidRPr="00D70A41" w:rsidRDefault="00EF1BA6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70A41">
              <w:rPr>
                <w:rFonts w:ascii="Verdana" w:hAnsi="Verdana"/>
                <w:i/>
                <w:iCs/>
                <w:sz w:val="18"/>
                <w:szCs w:val="18"/>
              </w:rPr>
              <w:t>10h – 10h20</w:t>
            </w:r>
          </w:p>
        </w:tc>
        <w:tc>
          <w:tcPr>
            <w:tcW w:w="8608" w:type="dxa"/>
            <w:shd w:val="clear" w:color="auto" w:fill="FFF2CC" w:themeFill="accent4" w:themeFillTint="33"/>
          </w:tcPr>
          <w:p w14:paraId="33BB12D1" w14:textId="3123313A" w:rsidR="00012F75" w:rsidRPr="00D70A41" w:rsidRDefault="00EF1BA6" w:rsidP="00A7616E">
            <w:pPr>
              <w:tabs>
                <w:tab w:val="left" w:pos="622"/>
              </w:tabs>
              <w:ind w:left="-21"/>
              <w:rPr>
                <w:rFonts w:ascii="Verdana" w:hAnsi="Verdana"/>
                <w:sz w:val="18"/>
                <w:szCs w:val="18"/>
              </w:rPr>
            </w:pPr>
            <w:r w:rsidRPr="00D70A41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</w:t>
            </w:r>
            <w:r w:rsidR="00012F75" w:rsidRPr="00D70A41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-café</w:t>
            </w:r>
          </w:p>
        </w:tc>
      </w:tr>
      <w:tr w:rsidR="00E43A26" w:rsidRPr="00D70A41" w14:paraId="0A45175A" w14:textId="77777777" w:rsidTr="009D606B">
        <w:tc>
          <w:tcPr>
            <w:tcW w:w="1321" w:type="dxa"/>
            <w:vMerge w:val="restart"/>
            <w:vAlign w:val="center"/>
          </w:tcPr>
          <w:p w14:paraId="43F7BA3E" w14:textId="42DDAC08" w:rsidR="00E43A26" w:rsidRPr="00E43A26" w:rsidRDefault="00E43A26" w:rsidP="009D606B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E43A26">
              <w:rPr>
                <w:rFonts w:ascii="Verdana" w:eastAsia="Times New Roman" w:hAnsi="Verdana"/>
                <w:sz w:val="18"/>
                <w:szCs w:val="18"/>
              </w:rPr>
              <w:t>10h20-12h30</w:t>
            </w:r>
          </w:p>
        </w:tc>
        <w:tc>
          <w:tcPr>
            <w:tcW w:w="8608" w:type="dxa"/>
            <w:shd w:val="clear" w:color="auto" w:fill="C45911" w:themeFill="accent2" w:themeFillShade="BF"/>
          </w:tcPr>
          <w:p w14:paraId="6003BBB6" w14:textId="32973087" w:rsidR="00E43A26" w:rsidRPr="00D70A41" w:rsidRDefault="00E43A26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b/>
                <w:bCs/>
                <w:i/>
                <w:iCs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>Point 1 | Affaires institutionnelles</w:t>
            </w:r>
          </w:p>
        </w:tc>
      </w:tr>
      <w:tr w:rsidR="00E43A26" w:rsidRPr="00D70A41" w14:paraId="4066FD0A" w14:textId="77777777" w:rsidTr="009F4E65">
        <w:tc>
          <w:tcPr>
            <w:tcW w:w="1321" w:type="dxa"/>
            <w:vMerge/>
            <w:vAlign w:val="center"/>
          </w:tcPr>
          <w:p w14:paraId="00613E18" w14:textId="77777777" w:rsidR="00E43A26" w:rsidRPr="00D70A41" w:rsidRDefault="00E43A26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35956C42" w14:textId="0EBD867A" w:rsidR="00E43A26" w:rsidRPr="00681527" w:rsidRDefault="00E43A26" w:rsidP="00681527">
            <w:pPr>
              <w:pStyle w:val="Paragraphedeliste"/>
              <w:numPr>
                <w:ilvl w:val="1"/>
                <w:numId w:val="2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8152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Tableau de suivi des décisions des instances</w:t>
            </w:r>
          </w:p>
        </w:tc>
      </w:tr>
      <w:tr w:rsidR="00E43A26" w:rsidRPr="00D70A41" w14:paraId="0E51B392" w14:textId="77777777" w:rsidTr="00F721C6">
        <w:tc>
          <w:tcPr>
            <w:tcW w:w="1321" w:type="dxa"/>
            <w:vMerge/>
            <w:vAlign w:val="center"/>
          </w:tcPr>
          <w:p w14:paraId="70D63447" w14:textId="34522BBD" w:rsidR="00E43A26" w:rsidRPr="00D70A41" w:rsidRDefault="00E43A26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78F94825" w14:textId="1C87725E" w:rsidR="00E43A26" w:rsidRPr="00681527" w:rsidRDefault="00E43A26" w:rsidP="00681527">
            <w:pPr>
              <w:pStyle w:val="Paragraphedeliste"/>
              <w:numPr>
                <w:ilvl w:val="1"/>
                <w:numId w:val="2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8152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Plan d’actions prioritaires du PDS 2023-33</w:t>
            </w:r>
          </w:p>
        </w:tc>
      </w:tr>
      <w:tr w:rsidR="00E43A26" w:rsidRPr="00D70A41" w14:paraId="370EBA84" w14:textId="77777777" w:rsidTr="00564F24">
        <w:tc>
          <w:tcPr>
            <w:tcW w:w="1321" w:type="dxa"/>
            <w:vMerge/>
          </w:tcPr>
          <w:p w14:paraId="7645C7D8" w14:textId="77777777" w:rsidR="00E43A26" w:rsidRPr="00D70A41" w:rsidRDefault="00E43A26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0E10D6D7" w14:textId="59CADE21" w:rsidR="00E43A26" w:rsidRPr="005B472F" w:rsidRDefault="00E43A26" w:rsidP="00681527">
            <w:pPr>
              <w:pStyle w:val="Paragraphedeliste"/>
              <w:numPr>
                <w:ilvl w:val="1"/>
                <w:numId w:val="2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B472F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Stratégie de mobilisation des ressources </w:t>
            </w:r>
          </w:p>
        </w:tc>
      </w:tr>
      <w:tr w:rsidR="00E43A26" w:rsidRPr="00D70A41" w14:paraId="6F6CE42E" w14:textId="77777777" w:rsidTr="00584B6D">
        <w:tc>
          <w:tcPr>
            <w:tcW w:w="1321" w:type="dxa"/>
            <w:vMerge/>
          </w:tcPr>
          <w:p w14:paraId="6F62B2E4" w14:textId="77777777" w:rsidR="00E43A26" w:rsidRPr="00D70A41" w:rsidRDefault="00E43A26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185E298E" w14:textId="238B2EB8" w:rsidR="00E43A26" w:rsidRPr="005B472F" w:rsidRDefault="00E43A26" w:rsidP="00681527">
            <w:pPr>
              <w:pStyle w:val="Paragraphedeliste"/>
              <w:numPr>
                <w:ilvl w:val="1"/>
                <w:numId w:val="2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B472F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COI Horizon 2030 </w:t>
            </w:r>
          </w:p>
        </w:tc>
      </w:tr>
      <w:tr w:rsidR="00E43A26" w:rsidRPr="00D70A41" w14:paraId="576FA631" w14:textId="77777777" w:rsidTr="002C5B88">
        <w:tc>
          <w:tcPr>
            <w:tcW w:w="1321" w:type="dxa"/>
            <w:vMerge/>
          </w:tcPr>
          <w:p w14:paraId="268A55C8" w14:textId="77777777" w:rsidR="00E43A26" w:rsidRPr="00D70A41" w:rsidRDefault="00E43A26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216915A2" w14:textId="65BEDC4C" w:rsidR="00E43A26" w:rsidRPr="00681527" w:rsidRDefault="00E43A26" w:rsidP="00681527">
            <w:pPr>
              <w:pStyle w:val="Paragraphedeliste"/>
              <w:numPr>
                <w:ilvl w:val="1"/>
                <w:numId w:val="2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8152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Partenariats </w:t>
            </w:r>
          </w:p>
        </w:tc>
      </w:tr>
      <w:tr w:rsidR="00D70A41" w:rsidRPr="00D70A41" w14:paraId="3C3FCA70" w14:textId="77777777" w:rsidTr="00D70A41">
        <w:tc>
          <w:tcPr>
            <w:tcW w:w="1321" w:type="dxa"/>
            <w:shd w:val="clear" w:color="auto" w:fill="FFF2CC" w:themeFill="accent4" w:themeFillTint="33"/>
          </w:tcPr>
          <w:p w14:paraId="31D723BF" w14:textId="6BCB89E4" w:rsidR="00D70A41" w:rsidRPr="00D70A41" w:rsidRDefault="00D70A41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12h30 – 13h30</w:t>
            </w:r>
          </w:p>
        </w:tc>
        <w:tc>
          <w:tcPr>
            <w:tcW w:w="8608" w:type="dxa"/>
            <w:shd w:val="clear" w:color="auto" w:fill="FFF2CC" w:themeFill="accent4" w:themeFillTint="33"/>
          </w:tcPr>
          <w:p w14:paraId="3231D186" w14:textId="4A12C93A" w:rsidR="00D70A41" w:rsidRPr="00D70A41" w:rsidRDefault="00D70A41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Déjeuner</w:t>
            </w:r>
          </w:p>
        </w:tc>
      </w:tr>
      <w:tr w:rsidR="000F7DAA" w:rsidRPr="00D70A41" w14:paraId="2E7D3D5A" w14:textId="77777777" w:rsidTr="009D606B">
        <w:tc>
          <w:tcPr>
            <w:tcW w:w="1321" w:type="dxa"/>
            <w:vMerge w:val="restart"/>
            <w:vAlign w:val="center"/>
          </w:tcPr>
          <w:p w14:paraId="335DEE74" w14:textId="40E39333" w:rsidR="000F7DAA" w:rsidRPr="00E43A26" w:rsidRDefault="000F7DAA" w:rsidP="001D50D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r w:rsidRPr="00E43A26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13h30 – 15h30</w:t>
            </w:r>
          </w:p>
        </w:tc>
        <w:tc>
          <w:tcPr>
            <w:tcW w:w="8608" w:type="dxa"/>
            <w:shd w:val="clear" w:color="auto" w:fill="C45911" w:themeFill="accent2" w:themeFillShade="BF"/>
          </w:tcPr>
          <w:p w14:paraId="35919E93" w14:textId="433A0277" w:rsidR="000F7DAA" w:rsidRPr="00D70A41" w:rsidRDefault="000F7DAA" w:rsidP="00D10D9E">
            <w:pPr>
              <w:rPr>
                <w:rFonts w:ascii="Verdana" w:eastAsia="Times New Roman" w:hAnsi="Verdana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 xml:space="preserve">Point 2 | Domaines d’intervention </w:t>
            </w:r>
          </w:p>
        </w:tc>
      </w:tr>
      <w:tr w:rsidR="000F7DAA" w:rsidRPr="00D70A41" w14:paraId="52EBEF5F" w14:textId="77777777" w:rsidTr="00D005FA">
        <w:tc>
          <w:tcPr>
            <w:tcW w:w="1321" w:type="dxa"/>
            <w:vMerge/>
            <w:vAlign w:val="center"/>
          </w:tcPr>
          <w:p w14:paraId="69305698" w14:textId="401C39FE" w:rsidR="000F7DAA" w:rsidRPr="00D70A41" w:rsidRDefault="000F7DA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16804BE3" w14:textId="6ACF173B" w:rsidR="000F7DAA" w:rsidRPr="00D70A41" w:rsidRDefault="000F7DAA" w:rsidP="008A6EE5">
            <w:pPr>
              <w:spacing w:after="80"/>
              <w:contextualSpacing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caps/>
                <w:sz w:val="18"/>
                <w:szCs w:val="18"/>
              </w:rPr>
              <w:t>DI-1 – Transition écologique et énergétique, tourisme et migrations</w:t>
            </w:r>
          </w:p>
        </w:tc>
      </w:tr>
      <w:tr w:rsidR="001A24FA" w:rsidRPr="00D70A41" w14:paraId="482BC96F" w14:textId="77777777" w:rsidTr="00B20900">
        <w:tc>
          <w:tcPr>
            <w:tcW w:w="1321" w:type="dxa"/>
            <w:vMerge/>
            <w:vAlign w:val="center"/>
          </w:tcPr>
          <w:p w14:paraId="460D80D4" w14:textId="0AB5737E" w:rsidR="001A24FA" w:rsidRPr="00D70A41" w:rsidRDefault="001A24F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617B0997" w14:textId="7B1F67ED" w:rsidR="001A24FA" w:rsidRPr="00D70A41" w:rsidRDefault="001A24FA" w:rsidP="006950F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2.1. </w:t>
            </w:r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Projet </w:t>
            </w:r>
            <w:proofErr w:type="spellStart"/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ExPLOI</w:t>
            </w:r>
            <w:proofErr w:type="spellEnd"/>
          </w:p>
        </w:tc>
      </w:tr>
      <w:tr w:rsidR="001A24FA" w:rsidRPr="00D70A41" w14:paraId="75C2E840" w14:textId="77777777" w:rsidTr="00621B36">
        <w:tc>
          <w:tcPr>
            <w:tcW w:w="1321" w:type="dxa"/>
            <w:vMerge/>
          </w:tcPr>
          <w:p w14:paraId="4A316197" w14:textId="36533015" w:rsidR="001A24FA" w:rsidRPr="00D70A41" w:rsidRDefault="001A24F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52C1F438" w14:textId="1F2DCE99" w:rsidR="001A24FA" w:rsidRPr="00D70A41" w:rsidRDefault="001A24FA" w:rsidP="00CA769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2.2. </w:t>
            </w:r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Projet RECOS </w:t>
            </w:r>
          </w:p>
        </w:tc>
      </w:tr>
      <w:tr w:rsidR="000F7DAA" w:rsidRPr="00D70A41" w14:paraId="263BBB2F" w14:textId="77777777" w:rsidTr="00123D2D">
        <w:tc>
          <w:tcPr>
            <w:tcW w:w="1321" w:type="dxa"/>
            <w:vMerge/>
            <w:vAlign w:val="center"/>
          </w:tcPr>
          <w:p w14:paraId="0A0F19F0" w14:textId="1C99E331" w:rsidR="000F7DAA" w:rsidRPr="00D70A41" w:rsidRDefault="000F7DA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7402B08B" w14:textId="45D94D47" w:rsidR="000F7DAA" w:rsidRPr="00D70A41" w:rsidRDefault="000F7DAA" w:rsidP="00C84DF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caps/>
                <w:sz w:val="18"/>
                <w:szCs w:val="18"/>
              </w:rPr>
              <w:t>DI-2 – economie, intérêts insulaires, connectivité et securité maritime</w:t>
            </w:r>
          </w:p>
        </w:tc>
      </w:tr>
      <w:tr w:rsidR="001A24FA" w:rsidRPr="00D70A41" w14:paraId="7A150E3D" w14:textId="77777777" w:rsidTr="00950600">
        <w:tc>
          <w:tcPr>
            <w:tcW w:w="1321" w:type="dxa"/>
            <w:vMerge/>
            <w:vAlign w:val="center"/>
          </w:tcPr>
          <w:p w14:paraId="1981BF6F" w14:textId="77777777" w:rsidR="001A24FA" w:rsidRPr="00D70A41" w:rsidRDefault="001A24FA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2A2C21AF" w14:textId="0EFEB3E4" w:rsidR="001A24FA" w:rsidRPr="001A24FA" w:rsidRDefault="001A24FA" w:rsidP="006950F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2.3. </w:t>
            </w:r>
            <w:r w:rsidRPr="00D70A41">
              <w:rPr>
                <w:rFonts w:ascii="Verdana" w:eastAsia="Times New Roman" w:hAnsi="Verdana"/>
                <w:sz w:val="20"/>
                <w:szCs w:val="20"/>
              </w:rPr>
              <w:t>Sécurité maritime</w:t>
            </w:r>
          </w:p>
        </w:tc>
      </w:tr>
      <w:tr w:rsidR="001A24FA" w:rsidRPr="00D70A41" w14:paraId="6A6BAD62" w14:textId="77777777" w:rsidTr="000C1F6D">
        <w:tc>
          <w:tcPr>
            <w:tcW w:w="1321" w:type="dxa"/>
            <w:vMerge/>
            <w:vAlign w:val="center"/>
          </w:tcPr>
          <w:p w14:paraId="449F1637" w14:textId="77777777" w:rsidR="001A24FA" w:rsidRPr="00D70A41" w:rsidRDefault="001A24F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3E01E99B" w14:textId="0C1A8827" w:rsidR="001A24FA" w:rsidRPr="00D70A41" w:rsidRDefault="001A24FA" w:rsidP="003E3E9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2.4. Coopération économique et connectivité</w:t>
            </w:r>
          </w:p>
        </w:tc>
      </w:tr>
      <w:tr w:rsidR="00286307" w:rsidRPr="00D70A41" w14:paraId="4848CF62" w14:textId="77777777" w:rsidTr="007E2794">
        <w:tc>
          <w:tcPr>
            <w:tcW w:w="1321" w:type="dxa"/>
            <w:shd w:val="clear" w:color="auto" w:fill="FFF2CC" w:themeFill="accent4" w:themeFillTint="33"/>
            <w:vAlign w:val="center"/>
          </w:tcPr>
          <w:p w14:paraId="3391007F" w14:textId="53F0D4F8" w:rsidR="00286307" w:rsidRPr="00D70A41" w:rsidRDefault="00591A01" w:rsidP="00286307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15h</w:t>
            </w:r>
            <w:r w:rsidR="00AF30DC"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15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 – 15h</w:t>
            </w:r>
            <w:r w:rsidR="00AF30DC"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608" w:type="dxa"/>
            <w:shd w:val="clear" w:color="auto" w:fill="FFF2CC" w:themeFill="accent4" w:themeFillTint="33"/>
          </w:tcPr>
          <w:p w14:paraId="7D127614" w14:textId="60E5A190" w:rsidR="00286307" w:rsidRPr="00D70A41" w:rsidRDefault="00286307" w:rsidP="00286307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Pause-café </w:t>
            </w:r>
          </w:p>
        </w:tc>
      </w:tr>
      <w:tr w:rsidR="00187E26" w:rsidRPr="00D70A41" w14:paraId="58133AA7" w14:textId="77777777" w:rsidTr="009412FA">
        <w:tc>
          <w:tcPr>
            <w:tcW w:w="1321" w:type="dxa"/>
            <w:vMerge w:val="restart"/>
            <w:vAlign w:val="center"/>
          </w:tcPr>
          <w:p w14:paraId="76D16EF5" w14:textId="6C71C6F0" w:rsidR="00187E26" w:rsidRPr="00FA7A52" w:rsidRDefault="00187E26" w:rsidP="00032B3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A7A52">
              <w:rPr>
                <w:rFonts w:ascii="Verdana" w:hAnsi="Verdana"/>
                <w:color w:val="000000" w:themeColor="text1"/>
                <w:sz w:val="18"/>
                <w:szCs w:val="18"/>
              </w:rPr>
              <w:t>15h45 – 17h</w:t>
            </w:r>
          </w:p>
        </w:tc>
        <w:tc>
          <w:tcPr>
            <w:tcW w:w="8608" w:type="dxa"/>
          </w:tcPr>
          <w:p w14:paraId="5B9AAE07" w14:textId="46AE283E" w:rsidR="00187E26" w:rsidRPr="00D70A41" w:rsidRDefault="00187E26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S</w:t>
            </w:r>
            <w:r w:rsidRPr="000F7DAA">
              <w:rPr>
                <w:rFonts w:ascii="Verdana" w:hAnsi="Verdana"/>
                <w:b/>
                <w:i/>
                <w:iCs/>
                <w:sz w:val="18"/>
                <w:szCs w:val="18"/>
              </w:rPr>
              <w:t xml:space="preserve">uite </w:t>
            </w: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DI</w:t>
            </w:r>
            <w:r w:rsidRPr="000F7DAA">
              <w:rPr>
                <w:rFonts w:ascii="Verdana" w:hAnsi="Verdana"/>
                <w:b/>
                <w:i/>
                <w:iCs/>
                <w:sz w:val="18"/>
                <w:szCs w:val="18"/>
              </w:rPr>
              <w:t>-2</w:t>
            </w:r>
          </w:p>
        </w:tc>
      </w:tr>
      <w:tr w:rsidR="00187E26" w:rsidRPr="00D70A41" w14:paraId="60D11B29" w14:textId="77777777" w:rsidTr="00ED11B4">
        <w:tc>
          <w:tcPr>
            <w:tcW w:w="1321" w:type="dxa"/>
            <w:vMerge/>
            <w:vAlign w:val="center"/>
          </w:tcPr>
          <w:p w14:paraId="50AD43D2" w14:textId="275236F3" w:rsidR="00187E26" w:rsidRPr="00D70A41" w:rsidRDefault="00187E26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4ED51D47" w14:textId="0ABF1448" w:rsidR="00187E26" w:rsidRPr="00D70A41" w:rsidRDefault="00187E26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2.5. </w:t>
            </w:r>
            <w:r w:rsidRPr="000F7DAA">
              <w:rPr>
                <w:rFonts w:ascii="Verdana" w:eastAsia="Times New Roman" w:hAnsi="Verdana"/>
                <w:sz w:val="20"/>
                <w:szCs w:val="20"/>
              </w:rPr>
              <w:t>Economie bleue et circulaire</w:t>
            </w:r>
          </w:p>
        </w:tc>
      </w:tr>
      <w:tr w:rsidR="00187E26" w:rsidRPr="00D70A41" w14:paraId="19FCFEBA" w14:textId="77777777" w:rsidTr="00AD41F9">
        <w:tc>
          <w:tcPr>
            <w:tcW w:w="1321" w:type="dxa"/>
            <w:vMerge/>
            <w:vAlign w:val="center"/>
          </w:tcPr>
          <w:p w14:paraId="53C73CB0" w14:textId="4663140B" w:rsidR="00187E26" w:rsidRPr="00D70A41" w:rsidRDefault="00187E26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70B99102" w14:textId="262EF0A2" w:rsidR="00187E26" w:rsidRPr="00D70A41" w:rsidRDefault="00187E26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2.6. Jeunesse et entrepreneuriat</w:t>
            </w:r>
            <w:r w:rsidRPr="000F7DAA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7E26" w:rsidRPr="00D70A41" w14:paraId="74A0DBDE" w14:textId="77777777" w:rsidTr="00952BCF">
        <w:tc>
          <w:tcPr>
            <w:tcW w:w="1321" w:type="dxa"/>
            <w:vMerge/>
            <w:vAlign w:val="center"/>
          </w:tcPr>
          <w:p w14:paraId="332384D8" w14:textId="1D52EE5F" w:rsidR="00187E26" w:rsidRPr="00D70A41" w:rsidRDefault="00187E26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43DF9D43" w14:textId="683FB738" w:rsidR="00187E26" w:rsidRPr="00D70A41" w:rsidRDefault="00187E26" w:rsidP="00CD6702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caps/>
                <w:sz w:val="18"/>
                <w:szCs w:val="18"/>
              </w:rPr>
              <w:t>DI-3 – Gouvernance et diplomatie parlementaire, agriculture durable et Pêches</w:t>
            </w:r>
          </w:p>
        </w:tc>
      </w:tr>
      <w:tr w:rsidR="00187E26" w:rsidRPr="00D70A41" w14:paraId="3EEC0F8F" w14:textId="77777777" w:rsidTr="00E667BE">
        <w:tc>
          <w:tcPr>
            <w:tcW w:w="1321" w:type="dxa"/>
            <w:vMerge/>
            <w:vAlign w:val="center"/>
          </w:tcPr>
          <w:p w14:paraId="0E6AE956" w14:textId="77777777" w:rsidR="00187E26" w:rsidRPr="00D70A41" w:rsidRDefault="00187E26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45B4AA0A" w14:textId="44AB7C2A" w:rsidR="00187E26" w:rsidRPr="00D70A41" w:rsidRDefault="00187E26" w:rsidP="006950F6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2.7. </w:t>
            </w:r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GPS</w:t>
            </w: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– Unité de gouvernance</w:t>
            </w:r>
          </w:p>
        </w:tc>
      </w:tr>
      <w:tr w:rsidR="00195D00" w:rsidRPr="00D70A41" w14:paraId="05C50D31" w14:textId="77777777" w:rsidTr="007E2794">
        <w:tc>
          <w:tcPr>
            <w:tcW w:w="9929" w:type="dxa"/>
            <w:gridSpan w:val="2"/>
            <w:shd w:val="clear" w:color="auto" w:fill="FFF2CC" w:themeFill="accent4" w:themeFillTint="33"/>
            <w:vAlign w:val="center"/>
          </w:tcPr>
          <w:p w14:paraId="27EBC761" w14:textId="77777777" w:rsidR="00D151E5" w:rsidRPr="00D70A41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67EFE4BD" w14:textId="77777777" w:rsidR="00195D00" w:rsidRPr="00D70A41" w:rsidRDefault="00195D00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FIN DE LA 1ere JOURNEE </w:t>
            </w:r>
          </w:p>
          <w:p w14:paraId="4378A0FE" w14:textId="17580CB2" w:rsidR="00D151E5" w:rsidRPr="00D70A41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C60B82" w14:textId="77777777" w:rsidR="00D151E5" w:rsidRDefault="00D151E5">
      <w:r w:rsidRPr="00D70A41">
        <w:br w:type="page"/>
      </w: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794"/>
      </w:tblGrid>
      <w:tr w:rsidR="00195D00" w:rsidRPr="00D70A41" w14:paraId="733739DB" w14:textId="77777777" w:rsidTr="000F7DAA">
        <w:trPr>
          <w:trHeight w:val="265"/>
        </w:trPr>
        <w:tc>
          <w:tcPr>
            <w:tcW w:w="9929" w:type="dxa"/>
            <w:gridSpan w:val="2"/>
            <w:shd w:val="clear" w:color="auto" w:fill="E7E6E6" w:themeFill="background2"/>
            <w:vAlign w:val="center"/>
          </w:tcPr>
          <w:p w14:paraId="10CBBDA6" w14:textId="054A4CB9" w:rsidR="00195D00" w:rsidRPr="00D70A41" w:rsidRDefault="001E2833" w:rsidP="007C75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MERCREDI 06 MAI</w:t>
            </w:r>
            <w:r w:rsidR="000A4B67">
              <w:rPr>
                <w:rFonts w:ascii="Verdana" w:hAnsi="Verdana"/>
                <w:b/>
                <w:bCs/>
              </w:rPr>
              <w:t xml:space="preserve"> 2026</w:t>
            </w:r>
          </w:p>
        </w:tc>
      </w:tr>
      <w:tr w:rsidR="00FA7A52" w:rsidRPr="00D70A41" w14:paraId="07CF28A0" w14:textId="77777777" w:rsidTr="00203F91">
        <w:trPr>
          <w:trHeight w:val="265"/>
        </w:trPr>
        <w:tc>
          <w:tcPr>
            <w:tcW w:w="1135" w:type="dxa"/>
            <w:vMerge w:val="restart"/>
            <w:vAlign w:val="center"/>
          </w:tcPr>
          <w:p w14:paraId="090232B2" w14:textId="1340A37B" w:rsidR="00FA7A52" w:rsidRPr="000F7DAA" w:rsidRDefault="00FA7A52" w:rsidP="00F9564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03F91">
              <w:rPr>
                <w:rFonts w:ascii="Verdana" w:hAnsi="Verdana"/>
                <w:color w:val="000000" w:themeColor="text1"/>
                <w:sz w:val="18"/>
                <w:szCs w:val="18"/>
              </w:rPr>
              <w:t>9h – 10h30</w:t>
            </w:r>
          </w:p>
        </w:tc>
        <w:tc>
          <w:tcPr>
            <w:tcW w:w="8794" w:type="dxa"/>
          </w:tcPr>
          <w:p w14:paraId="4F158654" w14:textId="20E60514" w:rsidR="00FA7A52" w:rsidRPr="00D70A41" w:rsidRDefault="00FA7A52" w:rsidP="0011794D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 xml:space="preserve">Reprise des travaux </w:t>
            </w:r>
            <w:r w:rsidRPr="000F7DAA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>S</w:t>
            </w:r>
            <w:r w:rsidRPr="000F7DAA">
              <w:rPr>
                <w:rFonts w:ascii="Verdana" w:hAnsi="Verdana"/>
                <w:b/>
                <w:i/>
                <w:iCs/>
                <w:sz w:val="18"/>
                <w:szCs w:val="18"/>
              </w:rPr>
              <w:t>uite</w:t>
            </w:r>
            <w:r w:rsidRPr="000F7DAA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 xml:space="preserve"> DI-3</w:t>
            </w:r>
          </w:p>
        </w:tc>
      </w:tr>
      <w:tr w:rsidR="00FA7A52" w:rsidRPr="00D70A41" w14:paraId="7D64955E" w14:textId="77777777" w:rsidTr="00203F91">
        <w:trPr>
          <w:trHeight w:val="265"/>
        </w:trPr>
        <w:tc>
          <w:tcPr>
            <w:tcW w:w="1135" w:type="dxa"/>
            <w:vMerge/>
            <w:vAlign w:val="center"/>
          </w:tcPr>
          <w:p w14:paraId="132589D1" w14:textId="77777777" w:rsidR="00FA7A52" w:rsidRPr="00D70A41" w:rsidRDefault="00FA7A52" w:rsidP="000F7DA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794" w:type="dxa"/>
          </w:tcPr>
          <w:p w14:paraId="7830A631" w14:textId="40BCF265" w:rsidR="00FA7A52" w:rsidRPr="00D70A41" w:rsidRDefault="00FA7A52" w:rsidP="000F7DAA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2.8. </w:t>
            </w:r>
            <w:r w:rsidRPr="005450F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Pêches </w:t>
            </w:r>
          </w:p>
        </w:tc>
      </w:tr>
      <w:tr w:rsidR="00FA7A52" w:rsidRPr="00D70A41" w14:paraId="6E9C48EC" w14:textId="77777777" w:rsidTr="00203F91">
        <w:trPr>
          <w:trHeight w:val="265"/>
        </w:trPr>
        <w:tc>
          <w:tcPr>
            <w:tcW w:w="1135" w:type="dxa"/>
            <w:vMerge/>
            <w:vAlign w:val="center"/>
          </w:tcPr>
          <w:p w14:paraId="4979428C" w14:textId="77777777" w:rsidR="00FA7A52" w:rsidRPr="00D70A41" w:rsidRDefault="00FA7A52" w:rsidP="000F7DA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794" w:type="dxa"/>
          </w:tcPr>
          <w:p w14:paraId="4BFAC675" w14:textId="517CD154" w:rsidR="00FA7A52" w:rsidRPr="00192A68" w:rsidRDefault="00FA7A52" w:rsidP="000F7DAA">
            <w:pPr>
              <w:spacing w:after="80"/>
              <w:contextualSpacing/>
              <w:rPr>
                <w:rFonts w:ascii="Verdana" w:hAnsi="Verdana"/>
                <w:bCs/>
                <w:caps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2.9. </w:t>
            </w:r>
            <w:r w:rsidRPr="007346DE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Sécurité alimentaire</w:t>
            </w:r>
          </w:p>
        </w:tc>
      </w:tr>
      <w:tr w:rsidR="00FA7A52" w:rsidRPr="00D70A41" w14:paraId="64F2477D" w14:textId="77777777" w:rsidTr="00203F91">
        <w:trPr>
          <w:trHeight w:val="265"/>
        </w:trPr>
        <w:tc>
          <w:tcPr>
            <w:tcW w:w="1135" w:type="dxa"/>
            <w:vMerge/>
            <w:vAlign w:val="center"/>
          </w:tcPr>
          <w:p w14:paraId="144007FD" w14:textId="77777777" w:rsidR="00FA7A52" w:rsidRPr="00D70A41" w:rsidRDefault="00FA7A52" w:rsidP="00C4735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794" w:type="dxa"/>
          </w:tcPr>
          <w:p w14:paraId="777F2D1A" w14:textId="347E16F8" w:rsidR="00FA7A52" w:rsidRDefault="00FA7A52" w:rsidP="00C47356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caps/>
                <w:sz w:val="18"/>
                <w:szCs w:val="18"/>
              </w:rPr>
              <w:t>DI-4 – Environnement durable et climat</w:t>
            </w:r>
          </w:p>
        </w:tc>
      </w:tr>
      <w:tr w:rsidR="00FA7A52" w:rsidRPr="00D70A41" w14:paraId="58398B29" w14:textId="77777777" w:rsidTr="00203F91">
        <w:trPr>
          <w:trHeight w:val="265"/>
        </w:trPr>
        <w:tc>
          <w:tcPr>
            <w:tcW w:w="1135" w:type="dxa"/>
            <w:vMerge/>
            <w:vAlign w:val="center"/>
          </w:tcPr>
          <w:p w14:paraId="6E1F86A8" w14:textId="77777777" w:rsidR="00FA7A52" w:rsidRPr="00D70A41" w:rsidRDefault="00FA7A52" w:rsidP="00C4735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794" w:type="dxa"/>
          </w:tcPr>
          <w:p w14:paraId="4A7DD3F7" w14:textId="6444047A" w:rsidR="00FA7A52" w:rsidRDefault="00FA7A52" w:rsidP="00C47356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2.10. </w:t>
            </w:r>
            <w:r w:rsidRPr="00FF034B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Changement climatique  </w:t>
            </w:r>
          </w:p>
        </w:tc>
      </w:tr>
      <w:tr w:rsidR="00FA7A52" w:rsidRPr="00D70A41" w14:paraId="213378B2" w14:textId="77777777" w:rsidTr="00203F91">
        <w:trPr>
          <w:trHeight w:val="265"/>
        </w:trPr>
        <w:tc>
          <w:tcPr>
            <w:tcW w:w="1135" w:type="dxa"/>
            <w:vMerge/>
            <w:vAlign w:val="center"/>
          </w:tcPr>
          <w:p w14:paraId="20FAEDD7" w14:textId="77777777" w:rsidR="00FA7A52" w:rsidRPr="00D70A41" w:rsidRDefault="00FA7A52" w:rsidP="003938C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794" w:type="dxa"/>
          </w:tcPr>
          <w:p w14:paraId="558317C3" w14:textId="28CE80C9" w:rsidR="00FA7A52" w:rsidRDefault="00FA7A52" w:rsidP="003938CA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2.11. </w:t>
            </w:r>
            <w:r w:rsidRPr="00FF034B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Environnement </w:t>
            </w:r>
          </w:p>
        </w:tc>
      </w:tr>
      <w:tr w:rsidR="003938CA" w:rsidRPr="00D70A41" w14:paraId="38B3A15A" w14:textId="77777777" w:rsidTr="00203F91">
        <w:trPr>
          <w:trHeight w:val="265"/>
        </w:trPr>
        <w:tc>
          <w:tcPr>
            <w:tcW w:w="1135" w:type="dxa"/>
            <w:shd w:val="clear" w:color="auto" w:fill="FFF2CC" w:themeFill="accent4" w:themeFillTint="33"/>
          </w:tcPr>
          <w:p w14:paraId="1DED4B21" w14:textId="088D9A9C" w:rsidR="003938CA" w:rsidRPr="00D70A41" w:rsidRDefault="003938CA" w:rsidP="003938C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F7DAA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10h</w:t>
            </w: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30</w:t>
            </w:r>
            <w:r w:rsidRPr="000F7DAA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 – 10h45</w:t>
            </w:r>
          </w:p>
        </w:tc>
        <w:tc>
          <w:tcPr>
            <w:tcW w:w="8794" w:type="dxa"/>
            <w:shd w:val="clear" w:color="auto" w:fill="FFF2CC" w:themeFill="accent4" w:themeFillTint="33"/>
          </w:tcPr>
          <w:p w14:paraId="336805CF" w14:textId="0D37871F" w:rsidR="003938CA" w:rsidRPr="00D70A41" w:rsidRDefault="003938CA" w:rsidP="003938CA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D70A41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FA7A52" w:rsidRPr="00D70A41" w14:paraId="5B9BE991" w14:textId="77777777" w:rsidTr="00FA7A52">
        <w:trPr>
          <w:trHeight w:val="265"/>
        </w:trPr>
        <w:tc>
          <w:tcPr>
            <w:tcW w:w="1135" w:type="dxa"/>
            <w:vMerge w:val="restart"/>
            <w:vAlign w:val="center"/>
          </w:tcPr>
          <w:p w14:paraId="3344C9F7" w14:textId="1D67862D" w:rsidR="00FA7A52" w:rsidRPr="004447AF" w:rsidRDefault="00FA7A52" w:rsidP="00FA7A5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447AF">
              <w:rPr>
                <w:rFonts w:ascii="Verdana" w:hAnsi="Verdana"/>
                <w:color w:val="000000" w:themeColor="text1"/>
                <w:sz w:val="18"/>
                <w:szCs w:val="18"/>
              </w:rPr>
              <w:t>10h45 – 12h30</w:t>
            </w:r>
          </w:p>
        </w:tc>
        <w:tc>
          <w:tcPr>
            <w:tcW w:w="8794" w:type="dxa"/>
          </w:tcPr>
          <w:p w14:paraId="642E345E" w14:textId="2F82F8D5" w:rsidR="00FA7A52" w:rsidRPr="00D70A41" w:rsidRDefault="00FA7A52" w:rsidP="003938C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2.12. </w:t>
            </w:r>
            <w:r w:rsidRPr="00FF034B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Réduction des risques de catastrophes</w:t>
            </w:r>
          </w:p>
        </w:tc>
      </w:tr>
      <w:tr w:rsidR="00FA7A52" w:rsidRPr="00D70A41" w14:paraId="10194AFA" w14:textId="77777777" w:rsidTr="00203F91">
        <w:trPr>
          <w:trHeight w:val="265"/>
        </w:trPr>
        <w:tc>
          <w:tcPr>
            <w:tcW w:w="1135" w:type="dxa"/>
            <w:vMerge/>
          </w:tcPr>
          <w:p w14:paraId="3C9B172C" w14:textId="77777777" w:rsidR="00FA7A52" w:rsidRPr="004447AF" w:rsidRDefault="00FA7A52" w:rsidP="00203F9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24D4BB11" w14:textId="05AD9DCF" w:rsidR="00FA7A52" w:rsidRDefault="00FA7A52" w:rsidP="00203F91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caps/>
                <w:sz w:val="18"/>
                <w:szCs w:val="18"/>
              </w:rPr>
              <w:t>DI-5 – Education et formation, Culture, santé, genre et entrepreneuriat</w:t>
            </w:r>
          </w:p>
        </w:tc>
      </w:tr>
      <w:tr w:rsidR="00FA7A52" w:rsidRPr="00D70A41" w14:paraId="46755410" w14:textId="77777777" w:rsidTr="00203F91">
        <w:trPr>
          <w:trHeight w:val="265"/>
        </w:trPr>
        <w:tc>
          <w:tcPr>
            <w:tcW w:w="1135" w:type="dxa"/>
            <w:vMerge/>
          </w:tcPr>
          <w:p w14:paraId="79710981" w14:textId="77777777" w:rsidR="00FA7A52" w:rsidRPr="004447AF" w:rsidRDefault="00FA7A52" w:rsidP="00203F9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008697AC" w14:textId="708BCB90" w:rsidR="00FA7A52" w:rsidRDefault="00FA7A52" w:rsidP="00203F91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2.13. </w:t>
            </w:r>
            <w:r w:rsidRPr="00807DC3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Santé</w:t>
            </w:r>
          </w:p>
        </w:tc>
      </w:tr>
      <w:tr w:rsidR="00FA7A52" w:rsidRPr="00D70A41" w14:paraId="0B6510E5" w14:textId="77777777" w:rsidTr="00203F91">
        <w:trPr>
          <w:trHeight w:val="265"/>
        </w:trPr>
        <w:tc>
          <w:tcPr>
            <w:tcW w:w="1135" w:type="dxa"/>
            <w:vMerge/>
          </w:tcPr>
          <w:p w14:paraId="49BE1E2F" w14:textId="77777777" w:rsidR="00FA7A52" w:rsidRPr="004447AF" w:rsidRDefault="00FA7A52" w:rsidP="00203F9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1D98D661" w14:textId="3E0D4A73" w:rsidR="00FA7A52" w:rsidRDefault="00FA7A52" w:rsidP="00203F91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2.14. </w:t>
            </w:r>
            <w:r w:rsidRPr="00807DC3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Recherche et innovation</w:t>
            </w:r>
          </w:p>
        </w:tc>
      </w:tr>
      <w:tr w:rsidR="00FA7A52" w:rsidRPr="00D70A41" w14:paraId="2795D0CE" w14:textId="77777777" w:rsidTr="00203F91">
        <w:trPr>
          <w:trHeight w:val="265"/>
        </w:trPr>
        <w:tc>
          <w:tcPr>
            <w:tcW w:w="1135" w:type="dxa"/>
            <w:vMerge/>
          </w:tcPr>
          <w:p w14:paraId="7C16D531" w14:textId="77777777" w:rsidR="00FA7A52" w:rsidRPr="004447AF" w:rsidRDefault="00FA7A52" w:rsidP="00203F9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12FDA453" w14:textId="1EEDF06D" w:rsidR="00FA7A52" w:rsidRDefault="00FA7A52" w:rsidP="00203F91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2.15. Culture</w:t>
            </w:r>
          </w:p>
        </w:tc>
      </w:tr>
      <w:tr w:rsidR="003938CA" w:rsidRPr="00D70A41" w14:paraId="6D19C440" w14:textId="77777777" w:rsidTr="00203F91">
        <w:trPr>
          <w:trHeight w:val="265"/>
        </w:trPr>
        <w:tc>
          <w:tcPr>
            <w:tcW w:w="1135" w:type="dxa"/>
            <w:shd w:val="clear" w:color="auto" w:fill="FFF2CC" w:themeFill="accent4" w:themeFillTint="33"/>
            <w:vAlign w:val="center"/>
          </w:tcPr>
          <w:p w14:paraId="201E16D4" w14:textId="75DA9810" w:rsidR="003938CA" w:rsidRPr="000F7DAA" w:rsidRDefault="003938CA" w:rsidP="003938CA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0F7DAA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12h</w:t>
            </w:r>
            <w:r w:rsidR="004447AF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30</w:t>
            </w:r>
            <w:r w:rsidRPr="000F7DAA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 xml:space="preserve"> – 13h30</w:t>
            </w:r>
          </w:p>
        </w:tc>
        <w:tc>
          <w:tcPr>
            <w:tcW w:w="8794" w:type="dxa"/>
            <w:shd w:val="clear" w:color="auto" w:fill="FFF2CC" w:themeFill="accent4" w:themeFillTint="33"/>
          </w:tcPr>
          <w:p w14:paraId="3D5E7E22" w14:textId="14AA6263" w:rsidR="003938CA" w:rsidRPr="00D70A41" w:rsidRDefault="003938CA" w:rsidP="003938CA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D70A41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146395" w:rsidRPr="00D70A41" w14:paraId="30BFBB21" w14:textId="77777777" w:rsidTr="00203F91">
        <w:trPr>
          <w:trHeight w:val="265"/>
        </w:trPr>
        <w:tc>
          <w:tcPr>
            <w:tcW w:w="1135" w:type="dxa"/>
            <w:vMerge w:val="restart"/>
            <w:vAlign w:val="center"/>
          </w:tcPr>
          <w:p w14:paraId="1BF23AEF" w14:textId="2FF0487E" w:rsidR="00146395" w:rsidRPr="00D70A41" w:rsidRDefault="00146395" w:rsidP="003938C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D09A5">
              <w:rPr>
                <w:rFonts w:ascii="Verdana" w:hAnsi="Verdana"/>
                <w:color w:val="000000" w:themeColor="text1"/>
                <w:sz w:val="18"/>
                <w:szCs w:val="18"/>
              </w:rPr>
              <w:t>13h30 – 15h</w:t>
            </w:r>
          </w:p>
        </w:tc>
        <w:tc>
          <w:tcPr>
            <w:tcW w:w="8794" w:type="dxa"/>
            <w:shd w:val="clear" w:color="auto" w:fill="C45911" w:themeFill="accent2" w:themeFillShade="BF"/>
          </w:tcPr>
          <w:p w14:paraId="622B433F" w14:textId="69B6F381" w:rsidR="00146395" w:rsidRPr="00D70A41" w:rsidRDefault="00146395" w:rsidP="003938CA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3 | Administration et finances</w:t>
            </w:r>
          </w:p>
        </w:tc>
      </w:tr>
      <w:tr w:rsidR="00146395" w:rsidRPr="00D70A41" w14:paraId="668250C0" w14:textId="77777777" w:rsidTr="009F0BCE">
        <w:trPr>
          <w:trHeight w:val="265"/>
        </w:trPr>
        <w:tc>
          <w:tcPr>
            <w:tcW w:w="1135" w:type="dxa"/>
            <w:vMerge/>
            <w:vAlign w:val="center"/>
          </w:tcPr>
          <w:p w14:paraId="2A2B7C25" w14:textId="77777777" w:rsidR="00146395" w:rsidRPr="00D70A41" w:rsidRDefault="00146395" w:rsidP="003938CA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7F61D055" w14:textId="1317F71E" w:rsidR="00146395" w:rsidRPr="00D70A41" w:rsidRDefault="00146395" w:rsidP="003938C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3.1. </w:t>
            </w:r>
            <w:r w:rsidRPr="00D70A41">
              <w:rPr>
                <w:rFonts w:ascii="Verdana" w:hAnsi="Verdana"/>
                <w:bCs/>
                <w:sz w:val="20"/>
                <w:szCs w:val="20"/>
              </w:rPr>
              <w:t xml:space="preserve">Administration des Ressources Humaines </w:t>
            </w:r>
          </w:p>
        </w:tc>
      </w:tr>
      <w:tr w:rsidR="00146395" w:rsidRPr="00D70A41" w14:paraId="6B7E4306" w14:textId="77777777" w:rsidTr="00EB78E5">
        <w:trPr>
          <w:trHeight w:val="265"/>
        </w:trPr>
        <w:tc>
          <w:tcPr>
            <w:tcW w:w="1135" w:type="dxa"/>
            <w:vMerge/>
            <w:vAlign w:val="center"/>
          </w:tcPr>
          <w:p w14:paraId="21362F62" w14:textId="77777777" w:rsidR="00146395" w:rsidRPr="00D70A41" w:rsidRDefault="00146395" w:rsidP="00A3146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2CC70E59" w14:textId="546E24A3" w:rsidR="00146395" w:rsidRDefault="00146395" w:rsidP="00A3146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3.2. </w:t>
            </w:r>
            <w:r w:rsidRPr="00D70A41">
              <w:rPr>
                <w:rFonts w:ascii="Verdana" w:hAnsi="Verdana"/>
                <w:bCs/>
                <w:sz w:val="20"/>
                <w:szCs w:val="20"/>
              </w:rPr>
              <w:t>Cadre de mise à disposition</w:t>
            </w:r>
          </w:p>
        </w:tc>
      </w:tr>
      <w:tr w:rsidR="00A31468" w:rsidRPr="00D70A41" w14:paraId="2310C622" w14:textId="77777777" w:rsidTr="00203F91">
        <w:trPr>
          <w:trHeight w:val="265"/>
        </w:trPr>
        <w:tc>
          <w:tcPr>
            <w:tcW w:w="1135" w:type="dxa"/>
            <w:shd w:val="clear" w:color="auto" w:fill="FFF2CC" w:themeFill="accent4" w:themeFillTint="33"/>
          </w:tcPr>
          <w:p w14:paraId="1E8FB4A1" w14:textId="78C1B699" w:rsidR="00A31468" w:rsidRPr="00D70A41" w:rsidRDefault="00A31468" w:rsidP="00A3146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15h – 15h15</w:t>
            </w:r>
          </w:p>
        </w:tc>
        <w:tc>
          <w:tcPr>
            <w:tcW w:w="8794" w:type="dxa"/>
            <w:shd w:val="clear" w:color="auto" w:fill="FFF2CC" w:themeFill="accent4" w:themeFillTint="33"/>
          </w:tcPr>
          <w:p w14:paraId="545A30D9" w14:textId="2CCD58F6" w:rsidR="00A31468" w:rsidRPr="00D70A41" w:rsidRDefault="00A31468" w:rsidP="00A3146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BD09A5" w:rsidRPr="00D70A41" w14:paraId="7F5C4F97" w14:textId="77777777" w:rsidTr="00F9292A">
        <w:trPr>
          <w:trHeight w:val="265"/>
        </w:trPr>
        <w:tc>
          <w:tcPr>
            <w:tcW w:w="1135" w:type="dxa"/>
            <w:vMerge w:val="restart"/>
            <w:vAlign w:val="center"/>
          </w:tcPr>
          <w:p w14:paraId="50F08179" w14:textId="1DA7152E" w:rsidR="00BD09A5" w:rsidRDefault="00BD09A5" w:rsidP="00A3146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15h15 – 17h</w:t>
            </w:r>
          </w:p>
        </w:tc>
        <w:tc>
          <w:tcPr>
            <w:tcW w:w="8794" w:type="dxa"/>
          </w:tcPr>
          <w:p w14:paraId="69B27C6D" w14:textId="15D4C90D" w:rsidR="00BD09A5" w:rsidRPr="00D70A41" w:rsidRDefault="00BD09A5" w:rsidP="00A3146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3.3. Termes de référence d</w:t>
            </w:r>
            <w:r w:rsidR="0052509B">
              <w:rPr>
                <w:rFonts w:ascii="Verdana" w:hAnsi="Verdana"/>
                <w:bCs/>
                <w:sz w:val="20"/>
                <w:szCs w:val="20"/>
              </w:rPr>
              <w:t>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D70A41">
              <w:rPr>
                <w:rFonts w:ascii="Verdana" w:hAnsi="Verdana"/>
                <w:bCs/>
                <w:sz w:val="20"/>
                <w:szCs w:val="20"/>
              </w:rPr>
              <w:t xml:space="preserve">poste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de directeur </w:t>
            </w:r>
          </w:p>
        </w:tc>
      </w:tr>
      <w:tr w:rsidR="00BD09A5" w:rsidRPr="00D70A41" w14:paraId="513E0F56" w14:textId="77777777" w:rsidTr="00402BD1">
        <w:trPr>
          <w:trHeight w:val="265"/>
        </w:trPr>
        <w:tc>
          <w:tcPr>
            <w:tcW w:w="1135" w:type="dxa"/>
            <w:vMerge/>
            <w:vAlign w:val="center"/>
          </w:tcPr>
          <w:p w14:paraId="096EF56E" w14:textId="77777777" w:rsidR="00BD09A5" w:rsidRPr="00D70A41" w:rsidRDefault="00BD09A5" w:rsidP="00A3146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6560E500" w14:textId="4E04FF75" w:rsidR="00BD09A5" w:rsidRPr="00D70A41" w:rsidRDefault="00BD09A5" w:rsidP="00A3146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3.4. Statut du personnel</w:t>
            </w:r>
          </w:p>
        </w:tc>
      </w:tr>
      <w:tr w:rsidR="00BD09A5" w:rsidRPr="00D70A41" w14:paraId="058C7ECE" w14:textId="77777777" w:rsidTr="00402BD1">
        <w:trPr>
          <w:trHeight w:val="265"/>
        </w:trPr>
        <w:tc>
          <w:tcPr>
            <w:tcW w:w="1135" w:type="dxa"/>
            <w:vMerge/>
            <w:vAlign w:val="center"/>
          </w:tcPr>
          <w:p w14:paraId="08973D92" w14:textId="77777777" w:rsidR="00BD09A5" w:rsidRPr="00D70A41" w:rsidRDefault="00BD09A5" w:rsidP="00A31468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794" w:type="dxa"/>
          </w:tcPr>
          <w:p w14:paraId="2D21D245" w14:textId="436BF1E2" w:rsidR="00BD09A5" w:rsidRDefault="00BD09A5" w:rsidP="00A3146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3.5. Accord de siège</w:t>
            </w:r>
          </w:p>
        </w:tc>
      </w:tr>
      <w:tr w:rsidR="00A31468" w:rsidRPr="00D70A41" w14:paraId="2A954B61" w14:textId="77777777" w:rsidTr="000F7DAA">
        <w:trPr>
          <w:trHeight w:val="265"/>
        </w:trPr>
        <w:tc>
          <w:tcPr>
            <w:tcW w:w="9929" w:type="dxa"/>
            <w:gridSpan w:val="2"/>
            <w:shd w:val="clear" w:color="auto" w:fill="FFF2CC" w:themeFill="accent4" w:themeFillTint="33"/>
            <w:vAlign w:val="center"/>
          </w:tcPr>
          <w:p w14:paraId="2A8E27B0" w14:textId="6B5A5583" w:rsidR="00A31468" w:rsidRPr="00A35A97" w:rsidRDefault="00A31468" w:rsidP="00A31468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FIN DE LA 2</w:t>
            </w:r>
            <w:r w:rsidRPr="00D70A4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D70A41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</w:tbl>
    <w:p w14:paraId="11B72E6D" w14:textId="6A7778EB" w:rsidR="00460EE0" w:rsidRDefault="00460EE0">
      <w:pPr>
        <w:rPr>
          <w:sz w:val="8"/>
          <w:szCs w:val="8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8608"/>
      </w:tblGrid>
      <w:tr w:rsidR="004456F3" w:rsidRPr="00D70A41" w14:paraId="27155073" w14:textId="77777777" w:rsidTr="00CD485A">
        <w:trPr>
          <w:trHeight w:val="265"/>
        </w:trPr>
        <w:tc>
          <w:tcPr>
            <w:tcW w:w="9929" w:type="dxa"/>
            <w:gridSpan w:val="2"/>
            <w:shd w:val="clear" w:color="auto" w:fill="E7E6E6" w:themeFill="background2"/>
            <w:vAlign w:val="center"/>
          </w:tcPr>
          <w:p w14:paraId="622B02BF" w14:textId="5EC16E65" w:rsidR="00222237" w:rsidRPr="00D70A41" w:rsidRDefault="00733305" w:rsidP="007C75C5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8"/>
                <w:szCs w:val="8"/>
              </w:rPr>
              <w:br w:type="page"/>
            </w:r>
            <w:r w:rsidR="001E2833">
              <w:rPr>
                <w:rFonts w:ascii="Verdana" w:eastAsia="Times New Roman" w:hAnsi="Verdana"/>
                <w:b/>
                <w:bCs/>
                <w:color w:val="000000" w:themeColor="text1"/>
              </w:rPr>
              <w:t>JEUDI 07</w:t>
            </w:r>
            <w:r w:rsidR="000A4B67">
              <w:rPr>
                <w:rFonts w:ascii="Verdana" w:eastAsia="Times New Roman" w:hAnsi="Verdana"/>
                <w:b/>
                <w:bCs/>
                <w:color w:val="000000" w:themeColor="text1"/>
              </w:rPr>
              <w:t xml:space="preserve"> MAI 2026</w:t>
            </w:r>
          </w:p>
        </w:tc>
      </w:tr>
      <w:tr w:rsidR="004456F3" w:rsidRPr="00D70A41" w14:paraId="442CD697" w14:textId="77777777" w:rsidTr="00C04D66">
        <w:trPr>
          <w:trHeight w:val="265"/>
        </w:trPr>
        <w:tc>
          <w:tcPr>
            <w:tcW w:w="1321" w:type="dxa"/>
            <w:vMerge w:val="restart"/>
            <w:vAlign w:val="center"/>
          </w:tcPr>
          <w:p w14:paraId="669D8C4D" w14:textId="77777777" w:rsidR="00CD485A" w:rsidRPr="00B40A94" w:rsidRDefault="00633CF9" w:rsidP="00C04D6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40A9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9h30 </w:t>
            </w:r>
            <w:r w:rsidR="00CD485A" w:rsidRPr="00B40A9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– </w:t>
            </w:r>
            <w:r w:rsidR="00733305" w:rsidRPr="00B40A94">
              <w:rPr>
                <w:rFonts w:ascii="Verdana" w:hAnsi="Verdana"/>
                <w:color w:val="000000" w:themeColor="text1"/>
                <w:sz w:val="18"/>
                <w:szCs w:val="18"/>
              </w:rPr>
              <w:t>12h30</w:t>
            </w:r>
          </w:p>
          <w:p w14:paraId="69B18A3F" w14:textId="77777777" w:rsidR="00733305" w:rsidRDefault="00733305" w:rsidP="00C04D6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544DC9F2" w14:textId="642C814D" w:rsidR="00733305" w:rsidRPr="00733305" w:rsidRDefault="00733305" w:rsidP="00C04D66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pause</w:t>
            </w:r>
            <w:proofErr w:type="gramEnd"/>
            <w:r w:rsidRP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-café disponible en salle)</w:t>
            </w:r>
          </w:p>
        </w:tc>
        <w:tc>
          <w:tcPr>
            <w:tcW w:w="8608" w:type="dxa"/>
            <w:shd w:val="clear" w:color="auto" w:fill="C45911" w:themeFill="accent2" w:themeFillShade="BF"/>
          </w:tcPr>
          <w:p w14:paraId="15F71D54" w14:textId="3711BFA9" w:rsidR="00CD485A" w:rsidRPr="00D70A41" w:rsidRDefault="00CD485A" w:rsidP="001F07E3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Point </w:t>
            </w:r>
            <w:r w:rsidR="00C10D1B"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| </w:t>
            </w:r>
            <w:r w:rsidR="00C10D1B"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suite</w:t>
            </w: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74A60" w:rsidRPr="00D70A41" w14:paraId="0F65F2CA" w14:textId="77777777" w:rsidTr="0016558A">
        <w:trPr>
          <w:trHeight w:val="265"/>
        </w:trPr>
        <w:tc>
          <w:tcPr>
            <w:tcW w:w="1321" w:type="dxa"/>
            <w:vMerge/>
            <w:vAlign w:val="center"/>
          </w:tcPr>
          <w:p w14:paraId="26075DE9" w14:textId="77777777" w:rsidR="00C74A60" w:rsidRPr="00D70A41" w:rsidRDefault="00C74A6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3E2E404F" w14:textId="30B6B1C7" w:rsidR="00C74A60" w:rsidRPr="00DB5AED" w:rsidRDefault="00C74A60" w:rsidP="001B5F90">
            <w:pPr>
              <w:pStyle w:val="Paragraphedeliste"/>
              <w:numPr>
                <w:ilvl w:val="1"/>
                <w:numId w:val="2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B5AED">
              <w:rPr>
                <w:rFonts w:ascii="Verdana" w:hAnsi="Verdana"/>
                <w:bCs/>
                <w:sz w:val="20"/>
                <w:szCs w:val="20"/>
              </w:rPr>
              <w:t xml:space="preserve">Rapport du Comité d’audit et des risques et demande de quitus </w:t>
            </w:r>
          </w:p>
        </w:tc>
      </w:tr>
      <w:tr w:rsidR="00C74A60" w:rsidRPr="00D70A41" w14:paraId="6B8F8116" w14:textId="77777777" w:rsidTr="00F558CD">
        <w:trPr>
          <w:trHeight w:val="265"/>
        </w:trPr>
        <w:tc>
          <w:tcPr>
            <w:tcW w:w="1321" w:type="dxa"/>
            <w:vMerge/>
            <w:vAlign w:val="center"/>
          </w:tcPr>
          <w:p w14:paraId="6B4250D8" w14:textId="77777777" w:rsidR="00C74A60" w:rsidRPr="00D70A41" w:rsidRDefault="00C74A6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0E444173" w14:textId="7946F2D2" w:rsidR="00C74A60" w:rsidRPr="00DB5AED" w:rsidRDefault="00C74A60" w:rsidP="00DB5AED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5AED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Situation de l’exécution financière des projets au 31 mars 2026 </w:t>
            </w:r>
          </w:p>
        </w:tc>
      </w:tr>
      <w:tr w:rsidR="00C74A60" w:rsidRPr="00D70A41" w14:paraId="0EFF73A2" w14:textId="77777777" w:rsidTr="002A091B">
        <w:trPr>
          <w:trHeight w:val="265"/>
        </w:trPr>
        <w:tc>
          <w:tcPr>
            <w:tcW w:w="1321" w:type="dxa"/>
            <w:vMerge/>
            <w:vAlign w:val="center"/>
          </w:tcPr>
          <w:p w14:paraId="4A476044" w14:textId="77777777" w:rsidR="00C74A60" w:rsidRPr="00D70A41" w:rsidRDefault="00C74A6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0031BBD4" w14:textId="0D827A94" w:rsidR="00C74A60" w:rsidRPr="00DB5AED" w:rsidRDefault="00C74A60" w:rsidP="00DB5AED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5AED">
              <w:rPr>
                <w:rFonts w:ascii="Verdana" w:hAnsi="Verdana"/>
                <w:bCs/>
                <w:sz w:val="20"/>
                <w:szCs w:val="20"/>
              </w:rPr>
              <w:t xml:space="preserve">Situation sur l’exécution du budget 2025 </w:t>
            </w:r>
          </w:p>
        </w:tc>
      </w:tr>
      <w:tr w:rsidR="00A31468" w:rsidRPr="00D70A41" w14:paraId="76CB7616" w14:textId="77777777" w:rsidTr="00C515AC">
        <w:trPr>
          <w:trHeight w:val="265"/>
        </w:trPr>
        <w:tc>
          <w:tcPr>
            <w:tcW w:w="1321" w:type="dxa"/>
            <w:vMerge/>
            <w:vAlign w:val="center"/>
          </w:tcPr>
          <w:p w14:paraId="0FDCD8B8" w14:textId="77777777" w:rsidR="00A31468" w:rsidRPr="00D70A41" w:rsidRDefault="00A31468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1CBF6D29" w14:textId="2EE0D489" w:rsidR="00A31468" w:rsidRPr="00DB5AED" w:rsidRDefault="00A31468" w:rsidP="00DB5AED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5AED">
              <w:rPr>
                <w:rFonts w:ascii="Verdana" w:hAnsi="Verdana"/>
                <w:bCs/>
                <w:sz w:val="20"/>
                <w:szCs w:val="20"/>
              </w:rPr>
              <w:t>Point de situation sur les Inéligibilités</w:t>
            </w:r>
          </w:p>
        </w:tc>
      </w:tr>
      <w:tr w:rsidR="00A31468" w:rsidRPr="00D70A41" w14:paraId="75D37FC0" w14:textId="77777777" w:rsidTr="002C5F85">
        <w:trPr>
          <w:trHeight w:val="265"/>
        </w:trPr>
        <w:tc>
          <w:tcPr>
            <w:tcW w:w="1321" w:type="dxa"/>
            <w:vMerge/>
            <w:vAlign w:val="center"/>
          </w:tcPr>
          <w:p w14:paraId="0012C146" w14:textId="77777777" w:rsidR="00A31468" w:rsidRPr="00D70A41" w:rsidRDefault="00A31468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</w:tcPr>
          <w:p w14:paraId="47ADE914" w14:textId="02FA5905" w:rsidR="00A31468" w:rsidRPr="00DB5AED" w:rsidRDefault="00A31468" w:rsidP="00DB5AED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5AED">
              <w:rPr>
                <w:rFonts w:ascii="Verdana" w:hAnsi="Verdana"/>
                <w:bCs/>
                <w:sz w:val="20"/>
                <w:szCs w:val="20"/>
              </w:rPr>
              <w:t xml:space="preserve">Modalités pour l’exemption de la TVA et des taxes à l’importation </w:t>
            </w:r>
          </w:p>
        </w:tc>
      </w:tr>
      <w:tr w:rsidR="004456F3" w:rsidRPr="00D70A41" w14:paraId="38BF091E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10544A6A" w14:textId="2D3F4F17" w:rsidR="001F07E3" w:rsidRPr="00D70A41" w:rsidRDefault="00CD485A" w:rsidP="001F07E3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h</w:t>
            </w:r>
            <w:r w:rsid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30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 – 1</w:t>
            </w:r>
            <w:r w:rsid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h</w:t>
            </w:r>
            <w:r w:rsidR="0073330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45</w:t>
            </w:r>
            <w:r w:rsidR="00C04D66"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608" w:type="dxa"/>
            <w:shd w:val="clear" w:color="auto" w:fill="FFF2CC" w:themeFill="accent4" w:themeFillTint="33"/>
          </w:tcPr>
          <w:p w14:paraId="73B9C4C7" w14:textId="50A28B6E" w:rsidR="001F07E3" w:rsidRPr="00D70A41" w:rsidRDefault="003E2AB0" w:rsidP="001F07E3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Déjeuner</w:t>
            </w:r>
          </w:p>
        </w:tc>
      </w:tr>
      <w:tr w:rsidR="00183405" w:rsidRPr="00D70A41" w14:paraId="0EDB7F0A" w14:textId="77777777" w:rsidTr="00183405">
        <w:trPr>
          <w:trHeight w:val="265"/>
        </w:trPr>
        <w:tc>
          <w:tcPr>
            <w:tcW w:w="1321" w:type="dxa"/>
            <w:vMerge w:val="restart"/>
            <w:vAlign w:val="center"/>
          </w:tcPr>
          <w:p w14:paraId="0C59DEE1" w14:textId="04215A1E" w:rsidR="00183405" w:rsidRPr="00D70A41" w:rsidRDefault="00183405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h</w:t>
            </w: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45</w:t>
            </w: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 xml:space="preserve"> – 15h</w:t>
            </w:r>
          </w:p>
        </w:tc>
        <w:tc>
          <w:tcPr>
            <w:tcW w:w="8608" w:type="dxa"/>
          </w:tcPr>
          <w:p w14:paraId="6EC8225F" w14:textId="6AC54835" w:rsidR="00183405" w:rsidRPr="00183405" w:rsidRDefault="00183405" w:rsidP="00183405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183405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Situation des marchés pour l’année 2025</w:t>
            </w:r>
          </w:p>
        </w:tc>
      </w:tr>
      <w:tr w:rsidR="00183405" w:rsidRPr="00D70A41" w14:paraId="4B4D7DC5" w14:textId="77777777" w:rsidTr="00183405">
        <w:trPr>
          <w:trHeight w:val="265"/>
        </w:trPr>
        <w:tc>
          <w:tcPr>
            <w:tcW w:w="1321" w:type="dxa"/>
            <w:vMerge/>
            <w:vAlign w:val="center"/>
          </w:tcPr>
          <w:p w14:paraId="70A938A8" w14:textId="099B4B4B" w:rsidR="00183405" w:rsidRPr="00D70A41" w:rsidRDefault="00183405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26EF744D" w14:textId="76F84196" w:rsidR="00183405" w:rsidRPr="00183405" w:rsidRDefault="00183405" w:rsidP="00183405">
            <w:pPr>
              <w:pStyle w:val="Paragraphedeliste"/>
              <w:numPr>
                <w:ilvl w:val="1"/>
                <w:numId w:val="25"/>
              </w:num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183405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Unité communication</w:t>
            </w:r>
          </w:p>
        </w:tc>
      </w:tr>
      <w:tr w:rsidR="00183405" w:rsidRPr="00D70A41" w14:paraId="26846653" w14:textId="77777777" w:rsidTr="00AF4353">
        <w:trPr>
          <w:trHeight w:val="265"/>
        </w:trPr>
        <w:tc>
          <w:tcPr>
            <w:tcW w:w="1321" w:type="dxa"/>
            <w:vMerge/>
            <w:vAlign w:val="center"/>
          </w:tcPr>
          <w:p w14:paraId="774EF8A8" w14:textId="7FD88E51" w:rsidR="00183405" w:rsidRPr="00D70A41" w:rsidRDefault="00183405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  <w:shd w:val="clear" w:color="auto" w:fill="C45911" w:themeFill="accent2" w:themeFillShade="BF"/>
          </w:tcPr>
          <w:p w14:paraId="242B2703" w14:textId="2B3D8C79" w:rsidR="00183405" w:rsidRPr="00D70A41" w:rsidRDefault="00183405" w:rsidP="001F07E3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4 | préparation des prochaines instances</w:t>
            </w:r>
          </w:p>
        </w:tc>
      </w:tr>
      <w:tr w:rsidR="00183405" w:rsidRPr="00D70A41" w14:paraId="22E69C41" w14:textId="77777777" w:rsidTr="00C40025">
        <w:trPr>
          <w:trHeight w:val="265"/>
        </w:trPr>
        <w:tc>
          <w:tcPr>
            <w:tcW w:w="1321" w:type="dxa"/>
            <w:vMerge/>
            <w:vAlign w:val="center"/>
          </w:tcPr>
          <w:p w14:paraId="2D3C1200" w14:textId="76D254FB" w:rsidR="00183405" w:rsidRPr="00D70A41" w:rsidRDefault="00183405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08" w:type="dxa"/>
          </w:tcPr>
          <w:p w14:paraId="3A704350" w14:textId="77777777" w:rsidR="00183405" w:rsidRPr="00D70A41" w:rsidRDefault="00183405" w:rsidP="00AF4353">
            <w:pPr>
              <w:pStyle w:val="Paragraphedeliste"/>
              <w:numPr>
                <w:ilvl w:val="1"/>
                <w:numId w:val="22"/>
              </w:numPr>
              <w:tabs>
                <w:tab w:val="left" w:pos="835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Adoption des recommandations du Ve Sommet des chefs d’Etat et de gouvernement par les instances de la COI</w:t>
            </w:r>
          </w:p>
          <w:p w14:paraId="7FD31A1E" w14:textId="77777777" w:rsidR="00183405" w:rsidRPr="00D70A41" w:rsidRDefault="00183405" w:rsidP="00AF4353">
            <w:pPr>
              <w:pStyle w:val="Paragraphedeliste"/>
              <w:tabs>
                <w:tab w:val="left" w:pos="598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609DF91E" w14:textId="77777777" w:rsidR="00183405" w:rsidRPr="00D70A41" w:rsidRDefault="00183405" w:rsidP="00AF4353">
            <w:pPr>
              <w:pStyle w:val="Paragraphedeliste"/>
              <w:numPr>
                <w:ilvl w:val="1"/>
                <w:numId w:val="22"/>
              </w:numPr>
              <w:tabs>
                <w:tab w:val="left" w:pos="835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d’ordre du jour du 40</w:t>
            </w:r>
            <w:r w:rsidRPr="00266F10">
              <w:rPr>
                <w:rFonts w:ascii="Verdana" w:eastAsia="Times New Roman" w:hAnsi="Verdana"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 </w:t>
            </w:r>
            <w:r w:rsidRPr="00D70A41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Conseil des ministres aux Comores</w:t>
            </w:r>
          </w:p>
          <w:p w14:paraId="748B6675" w14:textId="16E6497C" w:rsidR="00183405" w:rsidRPr="00D70A41" w:rsidRDefault="00183405" w:rsidP="001F07E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A35A97" w:rsidRPr="00D70A41" w14:paraId="7A413C5F" w14:textId="77777777" w:rsidTr="009C7E69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2A8C4580" w14:textId="259C2423" w:rsidR="00A35A97" w:rsidRPr="00D70A41" w:rsidRDefault="00A35A97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D70A41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15h – 15h</w:t>
            </w:r>
            <w: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608" w:type="dxa"/>
            <w:shd w:val="clear" w:color="auto" w:fill="FFF2CC" w:themeFill="accent4" w:themeFillTint="33"/>
          </w:tcPr>
          <w:p w14:paraId="260072CF" w14:textId="106A965B" w:rsidR="00A35A97" w:rsidRPr="00A35A97" w:rsidRDefault="00A35A97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A35A97">
              <w:rPr>
                <w:rFonts w:ascii="Verdana" w:eastAsia="Times New Roman" w:hAnsi="Verdana"/>
                <w:i/>
                <w:iCs/>
                <w:color w:val="000000" w:themeColor="text1"/>
                <w:sz w:val="18"/>
                <w:szCs w:val="18"/>
              </w:rPr>
              <w:t>Pause-café</w:t>
            </w:r>
          </w:p>
        </w:tc>
      </w:tr>
      <w:tr w:rsidR="004456F3" w:rsidRPr="00D70A41" w14:paraId="0DB4D031" w14:textId="77777777" w:rsidTr="00D151E5">
        <w:trPr>
          <w:trHeight w:val="265"/>
        </w:trPr>
        <w:tc>
          <w:tcPr>
            <w:tcW w:w="1321" w:type="dxa"/>
            <w:vMerge w:val="restart"/>
          </w:tcPr>
          <w:p w14:paraId="39439453" w14:textId="4E1A6D9B" w:rsidR="00CD485A" w:rsidRPr="00D70A41" w:rsidRDefault="00CD485A" w:rsidP="001F07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sz w:val="18"/>
                <w:szCs w:val="18"/>
                <w:lang w:val="en-US"/>
              </w:rPr>
              <w:t>15h</w:t>
            </w:r>
            <w:r w:rsidR="00733305">
              <w:rPr>
                <w:rFonts w:ascii="Verdana" w:eastAsia="Times New Roman" w:hAnsi="Verdana"/>
                <w:sz w:val="18"/>
                <w:szCs w:val="18"/>
                <w:lang w:val="en-US"/>
              </w:rPr>
              <w:t>30</w:t>
            </w:r>
            <w:r w:rsidRPr="00D70A41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– 16h15</w:t>
            </w:r>
          </w:p>
        </w:tc>
        <w:tc>
          <w:tcPr>
            <w:tcW w:w="8608" w:type="dxa"/>
            <w:shd w:val="clear" w:color="auto" w:fill="C45911" w:themeFill="accent2" w:themeFillShade="BF"/>
          </w:tcPr>
          <w:p w14:paraId="0F99789D" w14:textId="09505DA8" w:rsidR="00CD485A" w:rsidRPr="00D70A41" w:rsidRDefault="00CD485A" w:rsidP="001F07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0A4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4456F3" w:rsidRPr="00D70A41" w14:paraId="7551AB08" w14:textId="77777777" w:rsidTr="00EB7D1A">
        <w:trPr>
          <w:trHeight w:val="265"/>
        </w:trPr>
        <w:tc>
          <w:tcPr>
            <w:tcW w:w="1321" w:type="dxa"/>
            <w:vMerge/>
            <w:vAlign w:val="center"/>
          </w:tcPr>
          <w:p w14:paraId="5A4BAE11" w14:textId="5A335169" w:rsidR="00CD485A" w:rsidRPr="00D70A41" w:rsidRDefault="00CD485A" w:rsidP="001F07E3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</w:p>
        </w:tc>
        <w:tc>
          <w:tcPr>
            <w:tcW w:w="8608" w:type="dxa"/>
          </w:tcPr>
          <w:p w14:paraId="5134E568" w14:textId="10E99099" w:rsidR="00CD485A" w:rsidRPr="00D70A41" w:rsidRDefault="00CD485A" w:rsidP="001F07E3">
            <w:pPr>
              <w:rPr>
                <w:rFonts w:ascii="Verdana" w:hAnsi="Verdana"/>
                <w:sz w:val="20"/>
                <w:szCs w:val="20"/>
              </w:rPr>
            </w:pPr>
            <w:r w:rsidRPr="00D70A41">
              <w:rPr>
                <w:rFonts w:ascii="Verdana" w:eastAsia="Times New Roman" w:hAnsi="Verdana"/>
                <w:sz w:val="20"/>
                <w:szCs w:val="20"/>
              </w:rPr>
              <w:t xml:space="preserve">Lecture et approbation </w:t>
            </w:r>
            <w:r w:rsidR="00733305">
              <w:rPr>
                <w:rFonts w:ascii="Verdana" w:eastAsia="Times New Roman" w:hAnsi="Verdana"/>
                <w:sz w:val="20"/>
                <w:szCs w:val="20"/>
              </w:rPr>
              <w:t xml:space="preserve">/ signature </w:t>
            </w:r>
            <w:r w:rsidRPr="00D70A41">
              <w:rPr>
                <w:rFonts w:ascii="Verdana" w:eastAsia="Times New Roman" w:hAnsi="Verdana"/>
                <w:sz w:val="20"/>
                <w:szCs w:val="20"/>
              </w:rPr>
              <w:t>du relevé des décisions</w:t>
            </w:r>
          </w:p>
        </w:tc>
      </w:tr>
      <w:tr w:rsidR="004456F3" w:rsidRPr="00D70A41" w14:paraId="1C773927" w14:textId="77777777" w:rsidTr="00EB7D1A">
        <w:trPr>
          <w:trHeight w:val="265"/>
        </w:trPr>
        <w:tc>
          <w:tcPr>
            <w:tcW w:w="1321" w:type="dxa"/>
            <w:vMerge/>
          </w:tcPr>
          <w:p w14:paraId="197B3AB3" w14:textId="77777777" w:rsidR="00CD485A" w:rsidRPr="00D70A41" w:rsidRDefault="00CD485A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</w:tcPr>
          <w:p w14:paraId="1A0066DF" w14:textId="1F31C5BA" w:rsidR="00CD485A" w:rsidRPr="00D70A41" w:rsidRDefault="00211079" w:rsidP="00AF435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Clôture </w:t>
            </w:r>
          </w:p>
        </w:tc>
      </w:tr>
      <w:tr w:rsidR="004456F3" w:rsidRPr="002F21B3" w14:paraId="25F9D045" w14:textId="77777777" w:rsidTr="00D626BB">
        <w:tc>
          <w:tcPr>
            <w:tcW w:w="9929" w:type="dxa"/>
            <w:gridSpan w:val="2"/>
            <w:shd w:val="clear" w:color="auto" w:fill="FBE4D5" w:themeFill="accent2" w:themeFillTint="33"/>
            <w:vAlign w:val="center"/>
          </w:tcPr>
          <w:p w14:paraId="154C2A27" w14:textId="3B3A5A7B" w:rsidR="00CD485A" w:rsidRPr="00CD485A" w:rsidRDefault="00CD485A" w:rsidP="001F07E3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70A41">
              <w:rPr>
                <w:rFonts w:ascii="Verdana" w:hAnsi="Verdana"/>
                <w:b/>
                <w:bCs/>
                <w:i/>
                <w:iCs/>
              </w:rPr>
              <w:t>Fin du COPL</w:t>
            </w:r>
            <w:r w:rsidRPr="00CD485A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</w:p>
        </w:tc>
      </w:tr>
    </w:tbl>
    <w:p w14:paraId="65CE2EC7" w14:textId="0EF89911" w:rsidR="001E2833" w:rsidRPr="00CB0E1A" w:rsidRDefault="001E2833" w:rsidP="00825E83">
      <w:pPr>
        <w:pStyle w:val="Paragraphedeliste"/>
        <w:jc w:val="both"/>
        <w:rPr>
          <w:b/>
          <w:bCs/>
          <w:sz w:val="24"/>
          <w:szCs w:val="24"/>
        </w:rPr>
      </w:pPr>
      <w:r w:rsidRPr="00CB0E1A">
        <w:rPr>
          <w:b/>
          <w:bCs/>
          <w:sz w:val="24"/>
          <w:szCs w:val="24"/>
        </w:rPr>
        <w:t xml:space="preserve">*Il pourra être nécessaire de tenir une courte session le vendredi 08 mai dans la matinée pour </w:t>
      </w:r>
      <w:r w:rsidR="00CB0E1A" w:rsidRPr="00CB0E1A">
        <w:rPr>
          <w:b/>
          <w:bCs/>
          <w:sz w:val="24"/>
          <w:szCs w:val="24"/>
        </w:rPr>
        <w:t xml:space="preserve">prendre connaissance du rapport du président du Comité d’audit et des risques et intégrer, le cas échéant, une décision dans le relevé final. </w:t>
      </w:r>
    </w:p>
    <w:sectPr w:rsidR="001E2833" w:rsidRPr="00CB0E1A" w:rsidSect="007C75C5">
      <w:headerReference w:type="default" r:id="rId8"/>
      <w:footerReference w:type="default" r:id="rId9"/>
      <w:pgSz w:w="11906" w:h="16838"/>
      <w:pgMar w:top="1560" w:right="991" w:bottom="567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AFED" w14:textId="77777777" w:rsidR="001E75A1" w:rsidRDefault="001E75A1" w:rsidP="000D0326">
      <w:pPr>
        <w:spacing w:after="0" w:line="240" w:lineRule="auto"/>
      </w:pPr>
      <w:r>
        <w:separator/>
      </w:r>
    </w:p>
  </w:endnote>
  <w:endnote w:type="continuationSeparator" w:id="0">
    <w:p w14:paraId="7F39F18F" w14:textId="77777777" w:rsidR="001E75A1" w:rsidRDefault="001E75A1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EndPr/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FB37" w14:textId="77777777" w:rsidR="001E75A1" w:rsidRDefault="001E75A1" w:rsidP="000D0326">
      <w:pPr>
        <w:spacing w:after="0" w:line="240" w:lineRule="auto"/>
      </w:pPr>
      <w:r>
        <w:separator/>
      </w:r>
    </w:p>
  </w:footnote>
  <w:footnote w:type="continuationSeparator" w:id="0">
    <w:p w14:paraId="45F0A884" w14:textId="77777777" w:rsidR="001E75A1" w:rsidRDefault="001E75A1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92412590" name="Image 9241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2DD"/>
    <w:multiLevelType w:val="multilevel"/>
    <w:tmpl w:val="A0E0549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B4559F"/>
    <w:multiLevelType w:val="multilevel"/>
    <w:tmpl w:val="F154EA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0FA"/>
    <w:multiLevelType w:val="multilevel"/>
    <w:tmpl w:val="61BA83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0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E771CA6"/>
    <w:multiLevelType w:val="multilevel"/>
    <w:tmpl w:val="929E1C3C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13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5" w15:restartNumberingAfterBreak="0">
    <w:nsid w:val="4A2C2D50"/>
    <w:multiLevelType w:val="multilevel"/>
    <w:tmpl w:val="72FE14E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78665F"/>
    <w:multiLevelType w:val="multilevel"/>
    <w:tmpl w:val="1FBCDB7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 w15:restartNumberingAfterBreak="0">
    <w:nsid w:val="50BE554F"/>
    <w:multiLevelType w:val="multilevel"/>
    <w:tmpl w:val="DD78038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C93529"/>
    <w:multiLevelType w:val="hybridMultilevel"/>
    <w:tmpl w:val="45DEDA94"/>
    <w:lvl w:ilvl="0" w:tplc="9A0A0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BBC35DB"/>
    <w:multiLevelType w:val="multilevel"/>
    <w:tmpl w:val="7EE0F37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5"/>
  </w:num>
  <w:num w:numId="3" w16cid:durableId="493305140">
    <w:abstractNumId w:val="21"/>
  </w:num>
  <w:num w:numId="4" w16cid:durableId="856387956">
    <w:abstractNumId w:val="13"/>
  </w:num>
  <w:num w:numId="5" w16cid:durableId="1362245092">
    <w:abstractNumId w:val="19"/>
  </w:num>
  <w:num w:numId="6" w16cid:durableId="470175569">
    <w:abstractNumId w:val="22"/>
  </w:num>
  <w:num w:numId="7" w16cid:durableId="2033529303">
    <w:abstractNumId w:val="4"/>
  </w:num>
  <w:num w:numId="8" w16cid:durableId="1590650583">
    <w:abstractNumId w:val="10"/>
  </w:num>
  <w:num w:numId="9" w16cid:durableId="1492481661">
    <w:abstractNumId w:val="18"/>
  </w:num>
  <w:num w:numId="10" w16cid:durableId="1958676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8"/>
  </w:num>
  <w:num w:numId="12" w16cid:durableId="1292902279">
    <w:abstractNumId w:val="6"/>
  </w:num>
  <w:num w:numId="13" w16cid:durableId="286665063">
    <w:abstractNumId w:val="23"/>
  </w:num>
  <w:num w:numId="14" w16cid:durableId="1526360752">
    <w:abstractNumId w:val="11"/>
  </w:num>
  <w:num w:numId="15" w16cid:durableId="714622508">
    <w:abstractNumId w:val="14"/>
  </w:num>
  <w:num w:numId="16" w16cid:durableId="345910062">
    <w:abstractNumId w:val="3"/>
  </w:num>
  <w:num w:numId="17" w16cid:durableId="1716737915">
    <w:abstractNumId w:val="9"/>
  </w:num>
  <w:num w:numId="18" w16cid:durableId="1163282894">
    <w:abstractNumId w:val="15"/>
  </w:num>
  <w:num w:numId="19" w16cid:durableId="541988252">
    <w:abstractNumId w:val="7"/>
  </w:num>
  <w:num w:numId="20" w16cid:durableId="809008600">
    <w:abstractNumId w:val="2"/>
  </w:num>
  <w:num w:numId="21" w16cid:durableId="330643699">
    <w:abstractNumId w:val="1"/>
  </w:num>
  <w:num w:numId="22" w16cid:durableId="1310331664">
    <w:abstractNumId w:val="24"/>
  </w:num>
  <w:num w:numId="23" w16cid:durableId="83112534">
    <w:abstractNumId w:val="16"/>
  </w:num>
  <w:num w:numId="24" w16cid:durableId="284390743">
    <w:abstractNumId w:val="17"/>
  </w:num>
  <w:num w:numId="25" w16cid:durableId="1502812038">
    <w:abstractNumId w:val="12"/>
  </w:num>
  <w:num w:numId="26" w16cid:durableId="760223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7B6C"/>
    <w:rsid w:val="000115ED"/>
    <w:rsid w:val="00012F75"/>
    <w:rsid w:val="00013582"/>
    <w:rsid w:val="00014578"/>
    <w:rsid w:val="0001470F"/>
    <w:rsid w:val="0001692B"/>
    <w:rsid w:val="0001753A"/>
    <w:rsid w:val="0002214A"/>
    <w:rsid w:val="00022954"/>
    <w:rsid w:val="000268C2"/>
    <w:rsid w:val="00027593"/>
    <w:rsid w:val="00030671"/>
    <w:rsid w:val="000319D6"/>
    <w:rsid w:val="00032B3E"/>
    <w:rsid w:val="00042320"/>
    <w:rsid w:val="0004588E"/>
    <w:rsid w:val="0005010D"/>
    <w:rsid w:val="00055CCC"/>
    <w:rsid w:val="00055F99"/>
    <w:rsid w:val="00056F68"/>
    <w:rsid w:val="00057688"/>
    <w:rsid w:val="00060D68"/>
    <w:rsid w:val="00065423"/>
    <w:rsid w:val="00065A84"/>
    <w:rsid w:val="0006619B"/>
    <w:rsid w:val="00067552"/>
    <w:rsid w:val="00072971"/>
    <w:rsid w:val="00073AA5"/>
    <w:rsid w:val="00075F61"/>
    <w:rsid w:val="000818E0"/>
    <w:rsid w:val="000831DA"/>
    <w:rsid w:val="000934C2"/>
    <w:rsid w:val="000A0443"/>
    <w:rsid w:val="000A4B67"/>
    <w:rsid w:val="000B0EE5"/>
    <w:rsid w:val="000B2A78"/>
    <w:rsid w:val="000C3128"/>
    <w:rsid w:val="000C49C0"/>
    <w:rsid w:val="000C49F9"/>
    <w:rsid w:val="000C5404"/>
    <w:rsid w:val="000C5914"/>
    <w:rsid w:val="000C7C62"/>
    <w:rsid w:val="000D0326"/>
    <w:rsid w:val="000D28CE"/>
    <w:rsid w:val="000D45CE"/>
    <w:rsid w:val="000D4B75"/>
    <w:rsid w:val="000E56E3"/>
    <w:rsid w:val="000F09CB"/>
    <w:rsid w:val="000F7DAA"/>
    <w:rsid w:val="001006BE"/>
    <w:rsid w:val="00101F1F"/>
    <w:rsid w:val="001023A5"/>
    <w:rsid w:val="0010327B"/>
    <w:rsid w:val="00103C7A"/>
    <w:rsid w:val="00103CFF"/>
    <w:rsid w:val="00104B57"/>
    <w:rsid w:val="00106181"/>
    <w:rsid w:val="0010654F"/>
    <w:rsid w:val="00114646"/>
    <w:rsid w:val="00115CFC"/>
    <w:rsid w:val="0011794D"/>
    <w:rsid w:val="0012142F"/>
    <w:rsid w:val="00123C9C"/>
    <w:rsid w:val="0012537E"/>
    <w:rsid w:val="001300EE"/>
    <w:rsid w:val="001418CB"/>
    <w:rsid w:val="00144857"/>
    <w:rsid w:val="00146395"/>
    <w:rsid w:val="00152FD3"/>
    <w:rsid w:val="001564A8"/>
    <w:rsid w:val="00165B3F"/>
    <w:rsid w:val="0017028D"/>
    <w:rsid w:val="001749E8"/>
    <w:rsid w:val="0018216D"/>
    <w:rsid w:val="00183405"/>
    <w:rsid w:val="00185076"/>
    <w:rsid w:val="00185CE6"/>
    <w:rsid w:val="00186F5E"/>
    <w:rsid w:val="00187E26"/>
    <w:rsid w:val="001924F1"/>
    <w:rsid w:val="00192A68"/>
    <w:rsid w:val="0019376C"/>
    <w:rsid w:val="00195D00"/>
    <w:rsid w:val="001A07D8"/>
    <w:rsid w:val="001A24FA"/>
    <w:rsid w:val="001A6581"/>
    <w:rsid w:val="001B3C29"/>
    <w:rsid w:val="001B5F90"/>
    <w:rsid w:val="001B6583"/>
    <w:rsid w:val="001B6749"/>
    <w:rsid w:val="001B6851"/>
    <w:rsid w:val="001C1C31"/>
    <w:rsid w:val="001C3F3A"/>
    <w:rsid w:val="001C6EA1"/>
    <w:rsid w:val="001D040B"/>
    <w:rsid w:val="001D4A75"/>
    <w:rsid w:val="001D50D8"/>
    <w:rsid w:val="001D72AB"/>
    <w:rsid w:val="001E2833"/>
    <w:rsid w:val="001E5B81"/>
    <w:rsid w:val="001E70C6"/>
    <w:rsid w:val="001E75A1"/>
    <w:rsid w:val="001F07E3"/>
    <w:rsid w:val="001F1CD2"/>
    <w:rsid w:val="00203753"/>
    <w:rsid w:val="00203F91"/>
    <w:rsid w:val="002107D6"/>
    <w:rsid w:val="00211079"/>
    <w:rsid w:val="00215283"/>
    <w:rsid w:val="0021622B"/>
    <w:rsid w:val="00222237"/>
    <w:rsid w:val="00224E82"/>
    <w:rsid w:val="0022510F"/>
    <w:rsid w:val="00227D1F"/>
    <w:rsid w:val="0023451A"/>
    <w:rsid w:val="00236764"/>
    <w:rsid w:val="00237973"/>
    <w:rsid w:val="00244BB6"/>
    <w:rsid w:val="002470EB"/>
    <w:rsid w:val="00247B01"/>
    <w:rsid w:val="00251201"/>
    <w:rsid w:val="00252966"/>
    <w:rsid w:val="00253DE2"/>
    <w:rsid w:val="00255367"/>
    <w:rsid w:val="002601B1"/>
    <w:rsid w:val="00260C2E"/>
    <w:rsid w:val="002625FF"/>
    <w:rsid w:val="00262692"/>
    <w:rsid w:val="00265665"/>
    <w:rsid w:val="00266F10"/>
    <w:rsid w:val="0026732E"/>
    <w:rsid w:val="00270005"/>
    <w:rsid w:val="0027408E"/>
    <w:rsid w:val="00277288"/>
    <w:rsid w:val="00281799"/>
    <w:rsid w:val="002828AF"/>
    <w:rsid w:val="00286307"/>
    <w:rsid w:val="002A0368"/>
    <w:rsid w:val="002A4DBB"/>
    <w:rsid w:val="002A6D8C"/>
    <w:rsid w:val="002B2431"/>
    <w:rsid w:val="002B24FC"/>
    <w:rsid w:val="002B2A20"/>
    <w:rsid w:val="002B6796"/>
    <w:rsid w:val="002B7C8A"/>
    <w:rsid w:val="002C1A93"/>
    <w:rsid w:val="002C4D13"/>
    <w:rsid w:val="002C7E87"/>
    <w:rsid w:val="002D46F4"/>
    <w:rsid w:val="002D502F"/>
    <w:rsid w:val="002D507B"/>
    <w:rsid w:val="002E0816"/>
    <w:rsid w:val="002E16CA"/>
    <w:rsid w:val="002E26F8"/>
    <w:rsid w:val="002E3F58"/>
    <w:rsid w:val="002E419D"/>
    <w:rsid w:val="002F6315"/>
    <w:rsid w:val="002F71AD"/>
    <w:rsid w:val="0030207E"/>
    <w:rsid w:val="00303098"/>
    <w:rsid w:val="00320156"/>
    <w:rsid w:val="003222A9"/>
    <w:rsid w:val="00322C4B"/>
    <w:rsid w:val="00332230"/>
    <w:rsid w:val="00340432"/>
    <w:rsid w:val="0034353E"/>
    <w:rsid w:val="003443AC"/>
    <w:rsid w:val="003509E9"/>
    <w:rsid w:val="00351A33"/>
    <w:rsid w:val="00351ADB"/>
    <w:rsid w:val="003531CC"/>
    <w:rsid w:val="00356CF2"/>
    <w:rsid w:val="00356DAC"/>
    <w:rsid w:val="003605B2"/>
    <w:rsid w:val="00362020"/>
    <w:rsid w:val="0036332A"/>
    <w:rsid w:val="0036362A"/>
    <w:rsid w:val="003641C8"/>
    <w:rsid w:val="00365B98"/>
    <w:rsid w:val="00370155"/>
    <w:rsid w:val="00375B82"/>
    <w:rsid w:val="003772F8"/>
    <w:rsid w:val="00381BC8"/>
    <w:rsid w:val="00383488"/>
    <w:rsid w:val="00384C5B"/>
    <w:rsid w:val="003862FB"/>
    <w:rsid w:val="003871D2"/>
    <w:rsid w:val="003938CA"/>
    <w:rsid w:val="003A360E"/>
    <w:rsid w:val="003A4209"/>
    <w:rsid w:val="003A4699"/>
    <w:rsid w:val="003B0E64"/>
    <w:rsid w:val="003B32DA"/>
    <w:rsid w:val="003B7059"/>
    <w:rsid w:val="003C40C3"/>
    <w:rsid w:val="003C6A5F"/>
    <w:rsid w:val="003C6DFC"/>
    <w:rsid w:val="003D4D8C"/>
    <w:rsid w:val="003E12E4"/>
    <w:rsid w:val="003E2AB0"/>
    <w:rsid w:val="003E3E97"/>
    <w:rsid w:val="003E4DF9"/>
    <w:rsid w:val="003E5D2F"/>
    <w:rsid w:val="0040491A"/>
    <w:rsid w:val="00404EF2"/>
    <w:rsid w:val="0040550A"/>
    <w:rsid w:val="00407130"/>
    <w:rsid w:val="00415BE1"/>
    <w:rsid w:val="004160A1"/>
    <w:rsid w:val="004218EC"/>
    <w:rsid w:val="00436DBD"/>
    <w:rsid w:val="004447AF"/>
    <w:rsid w:val="004456F3"/>
    <w:rsid w:val="00446B50"/>
    <w:rsid w:val="004474FF"/>
    <w:rsid w:val="004512A1"/>
    <w:rsid w:val="0045256C"/>
    <w:rsid w:val="0045447E"/>
    <w:rsid w:val="0045705A"/>
    <w:rsid w:val="00457785"/>
    <w:rsid w:val="00457F5E"/>
    <w:rsid w:val="0046094C"/>
    <w:rsid w:val="00460EE0"/>
    <w:rsid w:val="00461545"/>
    <w:rsid w:val="00462281"/>
    <w:rsid w:val="00463336"/>
    <w:rsid w:val="00471383"/>
    <w:rsid w:val="00471FBD"/>
    <w:rsid w:val="00473407"/>
    <w:rsid w:val="004817A5"/>
    <w:rsid w:val="00486748"/>
    <w:rsid w:val="0049003A"/>
    <w:rsid w:val="00490582"/>
    <w:rsid w:val="004921E1"/>
    <w:rsid w:val="00496A22"/>
    <w:rsid w:val="00497DF0"/>
    <w:rsid w:val="004A06CF"/>
    <w:rsid w:val="004A1FF1"/>
    <w:rsid w:val="004A339A"/>
    <w:rsid w:val="004A62A2"/>
    <w:rsid w:val="004A76AD"/>
    <w:rsid w:val="004B1332"/>
    <w:rsid w:val="004B34DE"/>
    <w:rsid w:val="004B78D5"/>
    <w:rsid w:val="004D0B06"/>
    <w:rsid w:val="004D1F48"/>
    <w:rsid w:val="004D62E1"/>
    <w:rsid w:val="004D672D"/>
    <w:rsid w:val="004E19E4"/>
    <w:rsid w:val="004E1C36"/>
    <w:rsid w:val="004E4A4B"/>
    <w:rsid w:val="004E5984"/>
    <w:rsid w:val="004F41D9"/>
    <w:rsid w:val="00500A5C"/>
    <w:rsid w:val="005065B8"/>
    <w:rsid w:val="00512B7E"/>
    <w:rsid w:val="0051669F"/>
    <w:rsid w:val="00520B48"/>
    <w:rsid w:val="0052509B"/>
    <w:rsid w:val="00525D2A"/>
    <w:rsid w:val="005270B9"/>
    <w:rsid w:val="0053152A"/>
    <w:rsid w:val="00531B22"/>
    <w:rsid w:val="00532F23"/>
    <w:rsid w:val="005347C1"/>
    <w:rsid w:val="00534D81"/>
    <w:rsid w:val="005365C5"/>
    <w:rsid w:val="00536919"/>
    <w:rsid w:val="00540FCD"/>
    <w:rsid w:val="005410BA"/>
    <w:rsid w:val="00541D03"/>
    <w:rsid w:val="005450F1"/>
    <w:rsid w:val="005452DC"/>
    <w:rsid w:val="005475C0"/>
    <w:rsid w:val="005500F9"/>
    <w:rsid w:val="00550C06"/>
    <w:rsid w:val="005551DA"/>
    <w:rsid w:val="00556571"/>
    <w:rsid w:val="00561D58"/>
    <w:rsid w:val="00562793"/>
    <w:rsid w:val="005628D0"/>
    <w:rsid w:val="005712E9"/>
    <w:rsid w:val="005751B3"/>
    <w:rsid w:val="00576C7B"/>
    <w:rsid w:val="00577153"/>
    <w:rsid w:val="00577ECD"/>
    <w:rsid w:val="005876D7"/>
    <w:rsid w:val="00587E44"/>
    <w:rsid w:val="00591A01"/>
    <w:rsid w:val="005934CC"/>
    <w:rsid w:val="00593BA3"/>
    <w:rsid w:val="00594617"/>
    <w:rsid w:val="005A1CC6"/>
    <w:rsid w:val="005A2FF5"/>
    <w:rsid w:val="005A58BC"/>
    <w:rsid w:val="005A5F96"/>
    <w:rsid w:val="005A7BB1"/>
    <w:rsid w:val="005B472F"/>
    <w:rsid w:val="005B7EC0"/>
    <w:rsid w:val="005C02EC"/>
    <w:rsid w:val="005C5639"/>
    <w:rsid w:val="005D2A94"/>
    <w:rsid w:val="005D5C0E"/>
    <w:rsid w:val="005D6223"/>
    <w:rsid w:val="005D7295"/>
    <w:rsid w:val="005E10D2"/>
    <w:rsid w:val="005E5771"/>
    <w:rsid w:val="005E5C9D"/>
    <w:rsid w:val="005E690F"/>
    <w:rsid w:val="005E74DB"/>
    <w:rsid w:val="005F0C98"/>
    <w:rsid w:val="005F0E2C"/>
    <w:rsid w:val="005F2598"/>
    <w:rsid w:val="005F3E86"/>
    <w:rsid w:val="005F4BA6"/>
    <w:rsid w:val="005F5924"/>
    <w:rsid w:val="006049B6"/>
    <w:rsid w:val="00604E01"/>
    <w:rsid w:val="006056FD"/>
    <w:rsid w:val="006104B0"/>
    <w:rsid w:val="00614125"/>
    <w:rsid w:val="00615018"/>
    <w:rsid w:val="0062047D"/>
    <w:rsid w:val="00633CF9"/>
    <w:rsid w:val="00642775"/>
    <w:rsid w:val="00642A73"/>
    <w:rsid w:val="006432D6"/>
    <w:rsid w:val="00645D73"/>
    <w:rsid w:val="00650CB9"/>
    <w:rsid w:val="006562A6"/>
    <w:rsid w:val="0066242F"/>
    <w:rsid w:val="006626A0"/>
    <w:rsid w:val="00666215"/>
    <w:rsid w:val="0067039D"/>
    <w:rsid w:val="00671E8D"/>
    <w:rsid w:val="0067411A"/>
    <w:rsid w:val="00681527"/>
    <w:rsid w:val="006833A3"/>
    <w:rsid w:val="00683CBF"/>
    <w:rsid w:val="006845A4"/>
    <w:rsid w:val="006848F1"/>
    <w:rsid w:val="00690836"/>
    <w:rsid w:val="006950F6"/>
    <w:rsid w:val="006A1628"/>
    <w:rsid w:val="006A3295"/>
    <w:rsid w:val="006B1F47"/>
    <w:rsid w:val="006B60A9"/>
    <w:rsid w:val="006C06E9"/>
    <w:rsid w:val="006C1918"/>
    <w:rsid w:val="006C2AA5"/>
    <w:rsid w:val="006C497D"/>
    <w:rsid w:val="006C51DC"/>
    <w:rsid w:val="006D2D2E"/>
    <w:rsid w:val="006F0433"/>
    <w:rsid w:val="006F3908"/>
    <w:rsid w:val="006F4B0C"/>
    <w:rsid w:val="00700B1D"/>
    <w:rsid w:val="00704644"/>
    <w:rsid w:val="00704941"/>
    <w:rsid w:val="00705651"/>
    <w:rsid w:val="00706242"/>
    <w:rsid w:val="00712167"/>
    <w:rsid w:val="00714CF4"/>
    <w:rsid w:val="00724484"/>
    <w:rsid w:val="00733305"/>
    <w:rsid w:val="007346DE"/>
    <w:rsid w:val="00737448"/>
    <w:rsid w:val="0073777A"/>
    <w:rsid w:val="0074080B"/>
    <w:rsid w:val="00743926"/>
    <w:rsid w:val="00753063"/>
    <w:rsid w:val="00760AAD"/>
    <w:rsid w:val="007667C9"/>
    <w:rsid w:val="00774BC7"/>
    <w:rsid w:val="00775710"/>
    <w:rsid w:val="0078071C"/>
    <w:rsid w:val="00783302"/>
    <w:rsid w:val="00786469"/>
    <w:rsid w:val="00787138"/>
    <w:rsid w:val="007934A2"/>
    <w:rsid w:val="00796BF8"/>
    <w:rsid w:val="007A00B7"/>
    <w:rsid w:val="007A27D9"/>
    <w:rsid w:val="007A3869"/>
    <w:rsid w:val="007A66E5"/>
    <w:rsid w:val="007B030B"/>
    <w:rsid w:val="007B0953"/>
    <w:rsid w:val="007B44B3"/>
    <w:rsid w:val="007C75C5"/>
    <w:rsid w:val="007D440E"/>
    <w:rsid w:val="007E0137"/>
    <w:rsid w:val="007E0682"/>
    <w:rsid w:val="007E0EDB"/>
    <w:rsid w:val="007E186C"/>
    <w:rsid w:val="007E2794"/>
    <w:rsid w:val="007F1FD6"/>
    <w:rsid w:val="007F30E9"/>
    <w:rsid w:val="007F3207"/>
    <w:rsid w:val="007F5AAD"/>
    <w:rsid w:val="007F7BA3"/>
    <w:rsid w:val="00800DAE"/>
    <w:rsid w:val="00807DC3"/>
    <w:rsid w:val="008103D2"/>
    <w:rsid w:val="008109E3"/>
    <w:rsid w:val="00810F02"/>
    <w:rsid w:val="00815F46"/>
    <w:rsid w:val="008211F8"/>
    <w:rsid w:val="008221AE"/>
    <w:rsid w:val="00823E66"/>
    <w:rsid w:val="00825E83"/>
    <w:rsid w:val="00833309"/>
    <w:rsid w:val="0083383B"/>
    <w:rsid w:val="00833ACC"/>
    <w:rsid w:val="00841B17"/>
    <w:rsid w:val="00850BC3"/>
    <w:rsid w:val="008522A6"/>
    <w:rsid w:val="00856B1B"/>
    <w:rsid w:val="00863CA3"/>
    <w:rsid w:val="008740E9"/>
    <w:rsid w:val="00874E76"/>
    <w:rsid w:val="0087532E"/>
    <w:rsid w:val="00882862"/>
    <w:rsid w:val="008841FC"/>
    <w:rsid w:val="00885082"/>
    <w:rsid w:val="00886E66"/>
    <w:rsid w:val="00887DC2"/>
    <w:rsid w:val="008908F6"/>
    <w:rsid w:val="00896021"/>
    <w:rsid w:val="0089732E"/>
    <w:rsid w:val="008A5405"/>
    <w:rsid w:val="008A6EE5"/>
    <w:rsid w:val="008B1E90"/>
    <w:rsid w:val="008B4E21"/>
    <w:rsid w:val="008C10B6"/>
    <w:rsid w:val="008C4849"/>
    <w:rsid w:val="008C520C"/>
    <w:rsid w:val="008C5E47"/>
    <w:rsid w:val="008C6C0E"/>
    <w:rsid w:val="008D6706"/>
    <w:rsid w:val="008E0CA0"/>
    <w:rsid w:val="008E23B1"/>
    <w:rsid w:val="008F18F1"/>
    <w:rsid w:val="008F6005"/>
    <w:rsid w:val="00900172"/>
    <w:rsid w:val="009023F8"/>
    <w:rsid w:val="0090339B"/>
    <w:rsid w:val="00903858"/>
    <w:rsid w:val="00903A29"/>
    <w:rsid w:val="00906518"/>
    <w:rsid w:val="00914FE1"/>
    <w:rsid w:val="00915FA4"/>
    <w:rsid w:val="0091601B"/>
    <w:rsid w:val="00920E3E"/>
    <w:rsid w:val="00923D0E"/>
    <w:rsid w:val="00925B0F"/>
    <w:rsid w:val="00926E01"/>
    <w:rsid w:val="00930148"/>
    <w:rsid w:val="00932CEE"/>
    <w:rsid w:val="00936959"/>
    <w:rsid w:val="00946B78"/>
    <w:rsid w:val="00950DEF"/>
    <w:rsid w:val="00951F21"/>
    <w:rsid w:val="00952E9F"/>
    <w:rsid w:val="00965DDD"/>
    <w:rsid w:val="00966FC3"/>
    <w:rsid w:val="009673E5"/>
    <w:rsid w:val="0097405F"/>
    <w:rsid w:val="009757B3"/>
    <w:rsid w:val="00975A5B"/>
    <w:rsid w:val="00977B25"/>
    <w:rsid w:val="00980A56"/>
    <w:rsid w:val="00982F7F"/>
    <w:rsid w:val="00983D27"/>
    <w:rsid w:val="00984DF2"/>
    <w:rsid w:val="0099374A"/>
    <w:rsid w:val="00993EBE"/>
    <w:rsid w:val="0099569D"/>
    <w:rsid w:val="00996BE3"/>
    <w:rsid w:val="009A73D5"/>
    <w:rsid w:val="009A79D8"/>
    <w:rsid w:val="009B18C7"/>
    <w:rsid w:val="009C3B7D"/>
    <w:rsid w:val="009D256A"/>
    <w:rsid w:val="009D606B"/>
    <w:rsid w:val="009D60BC"/>
    <w:rsid w:val="009D6548"/>
    <w:rsid w:val="009D784F"/>
    <w:rsid w:val="009E1A98"/>
    <w:rsid w:val="009E5DD1"/>
    <w:rsid w:val="009F23D4"/>
    <w:rsid w:val="009F5FE8"/>
    <w:rsid w:val="00A03961"/>
    <w:rsid w:val="00A051D6"/>
    <w:rsid w:val="00A11DEB"/>
    <w:rsid w:val="00A151DE"/>
    <w:rsid w:val="00A202B2"/>
    <w:rsid w:val="00A20B49"/>
    <w:rsid w:val="00A22C49"/>
    <w:rsid w:val="00A23A26"/>
    <w:rsid w:val="00A313D3"/>
    <w:rsid w:val="00A31468"/>
    <w:rsid w:val="00A33A82"/>
    <w:rsid w:val="00A35A97"/>
    <w:rsid w:val="00A40DE2"/>
    <w:rsid w:val="00A42650"/>
    <w:rsid w:val="00A42E55"/>
    <w:rsid w:val="00A44027"/>
    <w:rsid w:val="00A446DA"/>
    <w:rsid w:val="00A4485F"/>
    <w:rsid w:val="00A45184"/>
    <w:rsid w:val="00A6027F"/>
    <w:rsid w:val="00A63B0A"/>
    <w:rsid w:val="00A66233"/>
    <w:rsid w:val="00A664E2"/>
    <w:rsid w:val="00A67C73"/>
    <w:rsid w:val="00A726D3"/>
    <w:rsid w:val="00A7616E"/>
    <w:rsid w:val="00A766E8"/>
    <w:rsid w:val="00A8086A"/>
    <w:rsid w:val="00A85889"/>
    <w:rsid w:val="00A91AB2"/>
    <w:rsid w:val="00AA6DAC"/>
    <w:rsid w:val="00AA75A5"/>
    <w:rsid w:val="00AC2A59"/>
    <w:rsid w:val="00AC2D79"/>
    <w:rsid w:val="00AC3D54"/>
    <w:rsid w:val="00AD11B3"/>
    <w:rsid w:val="00AD5CC7"/>
    <w:rsid w:val="00AF0E52"/>
    <w:rsid w:val="00AF30DC"/>
    <w:rsid w:val="00AF4353"/>
    <w:rsid w:val="00AF4A84"/>
    <w:rsid w:val="00B0521C"/>
    <w:rsid w:val="00B11C29"/>
    <w:rsid w:val="00B14563"/>
    <w:rsid w:val="00B162E7"/>
    <w:rsid w:val="00B167BD"/>
    <w:rsid w:val="00B170F5"/>
    <w:rsid w:val="00B17277"/>
    <w:rsid w:val="00B17604"/>
    <w:rsid w:val="00B200E2"/>
    <w:rsid w:val="00B214BE"/>
    <w:rsid w:val="00B21CF6"/>
    <w:rsid w:val="00B24389"/>
    <w:rsid w:val="00B26549"/>
    <w:rsid w:val="00B27A31"/>
    <w:rsid w:val="00B328ED"/>
    <w:rsid w:val="00B37F81"/>
    <w:rsid w:val="00B40A94"/>
    <w:rsid w:val="00B40F75"/>
    <w:rsid w:val="00B41536"/>
    <w:rsid w:val="00B4598C"/>
    <w:rsid w:val="00B4708D"/>
    <w:rsid w:val="00B50B47"/>
    <w:rsid w:val="00B57D1B"/>
    <w:rsid w:val="00B61616"/>
    <w:rsid w:val="00B668E0"/>
    <w:rsid w:val="00B74E9D"/>
    <w:rsid w:val="00B8285A"/>
    <w:rsid w:val="00B86918"/>
    <w:rsid w:val="00B94230"/>
    <w:rsid w:val="00B95D3F"/>
    <w:rsid w:val="00BB0CAF"/>
    <w:rsid w:val="00BB2FDB"/>
    <w:rsid w:val="00BB52D0"/>
    <w:rsid w:val="00BB6E7D"/>
    <w:rsid w:val="00BC6C0B"/>
    <w:rsid w:val="00BD09A5"/>
    <w:rsid w:val="00BD19C3"/>
    <w:rsid w:val="00BD3695"/>
    <w:rsid w:val="00BE1417"/>
    <w:rsid w:val="00BF38BE"/>
    <w:rsid w:val="00BF3D18"/>
    <w:rsid w:val="00C04D66"/>
    <w:rsid w:val="00C05577"/>
    <w:rsid w:val="00C10C1F"/>
    <w:rsid w:val="00C10D1B"/>
    <w:rsid w:val="00C132BF"/>
    <w:rsid w:val="00C21239"/>
    <w:rsid w:val="00C24247"/>
    <w:rsid w:val="00C2715C"/>
    <w:rsid w:val="00C3032B"/>
    <w:rsid w:val="00C33545"/>
    <w:rsid w:val="00C34291"/>
    <w:rsid w:val="00C34DCA"/>
    <w:rsid w:val="00C429B3"/>
    <w:rsid w:val="00C4401D"/>
    <w:rsid w:val="00C45C20"/>
    <w:rsid w:val="00C47356"/>
    <w:rsid w:val="00C502D9"/>
    <w:rsid w:val="00C51ECF"/>
    <w:rsid w:val="00C53548"/>
    <w:rsid w:val="00C54A94"/>
    <w:rsid w:val="00C603E6"/>
    <w:rsid w:val="00C61493"/>
    <w:rsid w:val="00C61C1E"/>
    <w:rsid w:val="00C62E44"/>
    <w:rsid w:val="00C6443B"/>
    <w:rsid w:val="00C7286B"/>
    <w:rsid w:val="00C74102"/>
    <w:rsid w:val="00C74A60"/>
    <w:rsid w:val="00C75528"/>
    <w:rsid w:val="00C772D5"/>
    <w:rsid w:val="00C819FF"/>
    <w:rsid w:val="00C83D81"/>
    <w:rsid w:val="00C84DF6"/>
    <w:rsid w:val="00C86473"/>
    <w:rsid w:val="00C923AD"/>
    <w:rsid w:val="00C94446"/>
    <w:rsid w:val="00CA341F"/>
    <w:rsid w:val="00CA751C"/>
    <w:rsid w:val="00CA7692"/>
    <w:rsid w:val="00CB0E1A"/>
    <w:rsid w:val="00CB327E"/>
    <w:rsid w:val="00CB3ADE"/>
    <w:rsid w:val="00CB3E71"/>
    <w:rsid w:val="00CB68E2"/>
    <w:rsid w:val="00CB6E3A"/>
    <w:rsid w:val="00CC0C52"/>
    <w:rsid w:val="00CC1A0F"/>
    <w:rsid w:val="00CC231D"/>
    <w:rsid w:val="00CC2A20"/>
    <w:rsid w:val="00CC464A"/>
    <w:rsid w:val="00CC4D0A"/>
    <w:rsid w:val="00CD0AA9"/>
    <w:rsid w:val="00CD24F7"/>
    <w:rsid w:val="00CD37A2"/>
    <w:rsid w:val="00CD485A"/>
    <w:rsid w:val="00CD61F9"/>
    <w:rsid w:val="00CD6702"/>
    <w:rsid w:val="00CE08EB"/>
    <w:rsid w:val="00CF23AF"/>
    <w:rsid w:val="00CF28E4"/>
    <w:rsid w:val="00CF33D8"/>
    <w:rsid w:val="00CF474D"/>
    <w:rsid w:val="00CF4AFA"/>
    <w:rsid w:val="00D004A2"/>
    <w:rsid w:val="00D0182F"/>
    <w:rsid w:val="00D02C07"/>
    <w:rsid w:val="00D072EE"/>
    <w:rsid w:val="00D07524"/>
    <w:rsid w:val="00D07852"/>
    <w:rsid w:val="00D10D9E"/>
    <w:rsid w:val="00D114A6"/>
    <w:rsid w:val="00D151E5"/>
    <w:rsid w:val="00D22C9B"/>
    <w:rsid w:val="00D257BB"/>
    <w:rsid w:val="00D27CBB"/>
    <w:rsid w:val="00D361EF"/>
    <w:rsid w:val="00D40BB6"/>
    <w:rsid w:val="00D44BFA"/>
    <w:rsid w:val="00D45C89"/>
    <w:rsid w:val="00D47C1B"/>
    <w:rsid w:val="00D5010C"/>
    <w:rsid w:val="00D52E60"/>
    <w:rsid w:val="00D56237"/>
    <w:rsid w:val="00D57941"/>
    <w:rsid w:val="00D60A48"/>
    <w:rsid w:val="00D61641"/>
    <w:rsid w:val="00D61F56"/>
    <w:rsid w:val="00D63A3C"/>
    <w:rsid w:val="00D70A41"/>
    <w:rsid w:val="00D7259E"/>
    <w:rsid w:val="00D73A6C"/>
    <w:rsid w:val="00D80591"/>
    <w:rsid w:val="00D8450C"/>
    <w:rsid w:val="00D90784"/>
    <w:rsid w:val="00D95780"/>
    <w:rsid w:val="00D95B9B"/>
    <w:rsid w:val="00DA135E"/>
    <w:rsid w:val="00DA2063"/>
    <w:rsid w:val="00DA566C"/>
    <w:rsid w:val="00DA5F0C"/>
    <w:rsid w:val="00DB0E89"/>
    <w:rsid w:val="00DB1020"/>
    <w:rsid w:val="00DB5AED"/>
    <w:rsid w:val="00DC03C6"/>
    <w:rsid w:val="00DC7F1E"/>
    <w:rsid w:val="00DE5C62"/>
    <w:rsid w:val="00DE6FAF"/>
    <w:rsid w:val="00DE7060"/>
    <w:rsid w:val="00DF7EBE"/>
    <w:rsid w:val="00E0662B"/>
    <w:rsid w:val="00E17975"/>
    <w:rsid w:val="00E33687"/>
    <w:rsid w:val="00E33FAF"/>
    <w:rsid w:val="00E37D3B"/>
    <w:rsid w:val="00E41E26"/>
    <w:rsid w:val="00E41EC2"/>
    <w:rsid w:val="00E43A26"/>
    <w:rsid w:val="00E47F60"/>
    <w:rsid w:val="00E57175"/>
    <w:rsid w:val="00E6053E"/>
    <w:rsid w:val="00E60701"/>
    <w:rsid w:val="00E6094F"/>
    <w:rsid w:val="00E60A7D"/>
    <w:rsid w:val="00E65573"/>
    <w:rsid w:val="00E6730A"/>
    <w:rsid w:val="00E7156C"/>
    <w:rsid w:val="00E81C52"/>
    <w:rsid w:val="00E832D7"/>
    <w:rsid w:val="00E91058"/>
    <w:rsid w:val="00E94051"/>
    <w:rsid w:val="00EA0289"/>
    <w:rsid w:val="00EA6683"/>
    <w:rsid w:val="00EB1E0F"/>
    <w:rsid w:val="00EB38B7"/>
    <w:rsid w:val="00EB7D1A"/>
    <w:rsid w:val="00ED1B37"/>
    <w:rsid w:val="00ED2A27"/>
    <w:rsid w:val="00EE0233"/>
    <w:rsid w:val="00EE694E"/>
    <w:rsid w:val="00EE6F05"/>
    <w:rsid w:val="00EF1600"/>
    <w:rsid w:val="00EF1BA6"/>
    <w:rsid w:val="00EF6265"/>
    <w:rsid w:val="00F0181F"/>
    <w:rsid w:val="00F0638E"/>
    <w:rsid w:val="00F101EC"/>
    <w:rsid w:val="00F11827"/>
    <w:rsid w:val="00F144D0"/>
    <w:rsid w:val="00F1547D"/>
    <w:rsid w:val="00F17A77"/>
    <w:rsid w:val="00F17FF6"/>
    <w:rsid w:val="00F20183"/>
    <w:rsid w:val="00F2051A"/>
    <w:rsid w:val="00F20C7E"/>
    <w:rsid w:val="00F2298E"/>
    <w:rsid w:val="00F2504D"/>
    <w:rsid w:val="00F33FF4"/>
    <w:rsid w:val="00F36181"/>
    <w:rsid w:val="00F36982"/>
    <w:rsid w:val="00F376E6"/>
    <w:rsid w:val="00F461A1"/>
    <w:rsid w:val="00F4763F"/>
    <w:rsid w:val="00F52B26"/>
    <w:rsid w:val="00F6247D"/>
    <w:rsid w:val="00F641B8"/>
    <w:rsid w:val="00F67F29"/>
    <w:rsid w:val="00F703D6"/>
    <w:rsid w:val="00F715EA"/>
    <w:rsid w:val="00F75C41"/>
    <w:rsid w:val="00F803EE"/>
    <w:rsid w:val="00F80743"/>
    <w:rsid w:val="00F8096D"/>
    <w:rsid w:val="00F81AC9"/>
    <w:rsid w:val="00F82DBF"/>
    <w:rsid w:val="00F846DC"/>
    <w:rsid w:val="00F8475B"/>
    <w:rsid w:val="00F854C0"/>
    <w:rsid w:val="00F85593"/>
    <w:rsid w:val="00F85687"/>
    <w:rsid w:val="00F95640"/>
    <w:rsid w:val="00F95E50"/>
    <w:rsid w:val="00F96293"/>
    <w:rsid w:val="00FA7A52"/>
    <w:rsid w:val="00FB1D58"/>
    <w:rsid w:val="00FB3623"/>
    <w:rsid w:val="00FB3D00"/>
    <w:rsid w:val="00FB4B82"/>
    <w:rsid w:val="00FB589E"/>
    <w:rsid w:val="00FC1200"/>
    <w:rsid w:val="00FC2C4C"/>
    <w:rsid w:val="00FC3FBA"/>
    <w:rsid w:val="00FC4675"/>
    <w:rsid w:val="00FC5864"/>
    <w:rsid w:val="00FD0C3A"/>
    <w:rsid w:val="00FD3CCB"/>
    <w:rsid w:val="00FD5357"/>
    <w:rsid w:val="00FD70E2"/>
    <w:rsid w:val="00FE0163"/>
    <w:rsid w:val="00FE0ABD"/>
    <w:rsid w:val="00FE68D6"/>
    <w:rsid w:val="00FE699F"/>
    <w:rsid w:val="00FF034B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A858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5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5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51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2639</Characters>
  <Application>Microsoft Office Word</Application>
  <DocSecurity>0</DocSecurity>
  <Lines>175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2</cp:revision>
  <cp:lastPrinted>2026-04-21T05:35:00Z</cp:lastPrinted>
  <dcterms:created xsi:type="dcterms:W3CDTF">2026-04-24T09:44:00Z</dcterms:created>
  <dcterms:modified xsi:type="dcterms:W3CDTF">2026-04-24T09:44:00Z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6f7f8a2c-d68f-4b6f-b4c9-17d9c1014d89</vt:lpwstr>
  </property>
</Properties>
</file>