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ED1A85"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ED1A85" w14:paraId="51109D41" w14:textId="77777777" w:rsidTr="000E2E1E">
        <w:tc>
          <w:tcPr>
            <w:tcW w:w="9062" w:type="dxa"/>
            <w:gridSpan w:val="2"/>
          </w:tcPr>
          <w:p w14:paraId="6FC76F95" w14:textId="70F0DA25" w:rsidR="00EC22CC" w:rsidRPr="00ED1A85" w:rsidRDefault="000772A0" w:rsidP="00854EEA">
            <w:pPr>
              <w:jc w:val="center"/>
              <w:rPr>
                <w:rFonts w:ascii="Verdana" w:hAnsi="Verdana"/>
                <w:b/>
                <w:bCs/>
                <w:sz w:val="20"/>
                <w:szCs w:val="20"/>
              </w:rPr>
            </w:pPr>
            <w:r w:rsidRPr="00ED1A85">
              <w:rPr>
                <w:rFonts w:ascii="Verdana" w:hAnsi="Verdana"/>
                <w:b/>
                <w:bCs/>
              </w:rPr>
              <w:t>Au</w:t>
            </w:r>
            <w:r w:rsidR="00BA41E2" w:rsidRPr="00ED1A85">
              <w:rPr>
                <w:rFonts w:ascii="Verdana" w:hAnsi="Verdana"/>
                <w:b/>
                <w:bCs/>
              </w:rPr>
              <w:t xml:space="preserve">dit interne </w:t>
            </w:r>
            <w:r w:rsidR="00614752" w:rsidRPr="00ED1A85">
              <w:rPr>
                <w:rFonts w:ascii="Verdana" w:hAnsi="Verdana"/>
                <w:b/>
                <w:bCs/>
              </w:rPr>
              <w:t>-</w:t>
            </w:r>
            <w:r w:rsidR="00BA41E2" w:rsidRPr="00ED1A85">
              <w:rPr>
                <w:rFonts w:ascii="Verdana" w:hAnsi="Verdana"/>
                <w:b/>
                <w:bCs/>
              </w:rPr>
              <w:t xml:space="preserve"> Comité d’audit et des risques</w:t>
            </w:r>
          </w:p>
        </w:tc>
      </w:tr>
      <w:tr w:rsidR="00DE6EF2" w:rsidRPr="00ED1A85" w14:paraId="7F1B63D2" w14:textId="77777777" w:rsidTr="002A0933">
        <w:tc>
          <w:tcPr>
            <w:tcW w:w="7225" w:type="dxa"/>
          </w:tcPr>
          <w:p w14:paraId="056D9B10" w14:textId="08A55104" w:rsidR="00DE6EF2" w:rsidRPr="00ED1A85" w:rsidRDefault="00DE6EF2" w:rsidP="00DE6EF2">
            <w:pPr>
              <w:rPr>
                <w:rFonts w:ascii="Verdana" w:hAnsi="Verdana"/>
                <w:sz w:val="20"/>
                <w:szCs w:val="20"/>
              </w:rPr>
            </w:pPr>
            <w:r w:rsidRPr="00ED1A85">
              <w:rPr>
                <w:rFonts w:ascii="Verdana" w:hAnsi="Verdana"/>
                <w:sz w:val="20"/>
                <w:szCs w:val="20"/>
              </w:rPr>
              <w:t>Comité des OPL 0</w:t>
            </w:r>
            <w:r w:rsidR="009A7ED6" w:rsidRPr="00ED1A85">
              <w:rPr>
                <w:rFonts w:ascii="Verdana" w:hAnsi="Verdana"/>
                <w:sz w:val="20"/>
                <w:szCs w:val="20"/>
              </w:rPr>
              <w:t>2</w:t>
            </w:r>
            <w:r w:rsidRPr="00ED1A85">
              <w:rPr>
                <w:rFonts w:ascii="Verdana" w:hAnsi="Verdana"/>
                <w:sz w:val="20"/>
                <w:szCs w:val="20"/>
              </w:rPr>
              <w:t>/202</w:t>
            </w:r>
            <w:r w:rsidR="001B3C0D" w:rsidRPr="00ED1A85">
              <w:rPr>
                <w:rFonts w:ascii="Verdana" w:hAnsi="Verdana"/>
                <w:sz w:val="20"/>
                <w:szCs w:val="20"/>
              </w:rPr>
              <w:t>5</w:t>
            </w:r>
            <w:r w:rsidRPr="00ED1A85">
              <w:rPr>
                <w:rFonts w:ascii="Verdana" w:hAnsi="Verdana"/>
                <w:sz w:val="20"/>
                <w:szCs w:val="20"/>
              </w:rPr>
              <w:t xml:space="preserve"> | </w:t>
            </w:r>
            <w:r w:rsidR="009A7ED6" w:rsidRPr="00ED1A85">
              <w:rPr>
                <w:rFonts w:ascii="Verdana" w:hAnsi="Verdana"/>
                <w:sz w:val="20"/>
                <w:szCs w:val="20"/>
              </w:rPr>
              <w:t>11</w:t>
            </w:r>
            <w:r w:rsidR="00BB707B" w:rsidRPr="00ED1A85">
              <w:rPr>
                <w:rFonts w:ascii="Verdana" w:hAnsi="Verdana"/>
                <w:sz w:val="20"/>
                <w:szCs w:val="20"/>
              </w:rPr>
              <w:t>-</w:t>
            </w:r>
            <w:r w:rsidR="009A7ED6" w:rsidRPr="00ED1A85">
              <w:rPr>
                <w:rFonts w:ascii="Verdana" w:hAnsi="Verdana"/>
                <w:sz w:val="20"/>
                <w:szCs w:val="20"/>
              </w:rPr>
              <w:t>12</w:t>
            </w:r>
            <w:r w:rsidR="00BB707B" w:rsidRPr="00ED1A85">
              <w:rPr>
                <w:rFonts w:ascii="Verdana" w:hAnsi="Verdana"/>
                <w:sz w:val="20"/>
                <w:szCs w:val="20"/>
              </w:rPr>
              <w:t>-</w:t>
            </w:r>
            <w:r w:rsidR="009A7ED6" w:rsidRPr="00ED1A85">
              <w:rPr>
                <w:rFonts w:ascii="Verdana" w:hAnsi="Verdana"/>
                <w:sz w:val="20"/>
                <w:szCs w:val="20"/>
              </w:rPr>
              <w:t>13</w:t>
            </w:r>
            <w:r w:rsidR="00BB707B" w:rsidRPr="00ED1A85">
              <w:rPr>
                <w:rFonts w:ascii="Verdana" w:hAnsi="Verdana"/>
                <w:sz w:val="20"/>
                <w:szCs w:val="20"/>
              </w:rPr>
              <w:t xml:space="preserve"> </w:t>
            </w:r>
            <w:r w:rsidR="009A7ED6" w:rsidRPr="00ED1A85">
              <w:rPr>
                <w:rFonts w:ascii="Verdana" w:hAnsi="Verdana"/>
                <w:sz w:val="20"/>
                <w:szCs w:val="20"/>
              </w:rPr>
              <w:t>novembre</w:t>
            </w:r>
            <w:r w:rsidRPr="00ED1A85">
              <w:rPr>
                <w:rFonts w:ascii="Verdana" w:hAnsi="Verdana"/>
                <w:sz w:val="20"/>
                <w:szCs w:val="20"/>
              </w:rPr>
              <w:t xml:space="preserve"> 202</w:t>
            </w:r>
            <w:r w:rsidR="00BB707B" w:rsidRPr="00ED1A85">
              <w:rPr>
                <w:rFonts w:ascii="Verdana" w:hAnsi="Verdana"/>
                <w:sz w:val="20"/>
                <w:szCs w:val="20"/>
              </w:rPr>
              <w:t>5</w:t>
            </w:r>
          </w:p>
        </w:tc>
        <w:tc>
          <w:tcPr>
            <w:tcW w:w="1837" w:type="dxa"/>
          </w:tcPr>
          <w:p w14:paraId="58E25D1F" w14:textId="75A15BB8" w:rsidR="00DE6EF2" w:rsidRPr="00ED1A85" w:rsidRDefault="00DE6EF2" w:rsidP="00DE6EF2">
            <w:pPr>
              <w:jc w:val="center"/>
              <w:rPr>
                <w:rFonts w:ascii="Verdana" w:hAnsi="Verdana"/>
                <w:sz w:val="20"/>
                <w:szCs w:val="20"/>
              </w:rPr>
            </w:pPr>
            <w:r w:rsidRPr="00ED1A85">
              <w:rPr>
                <w:rFonts w:ascii="Verdana" w:hAnsi="Verdana"/>
                <w:sz w:val="20"/>
                <w:szCs w:val="20"/>
              </w:rPr>
              <w:t xml:space="preserve">Point </w:t>
            </w:r>
            <w:r w:rsidR="00BC55B5" w:rsidRPr="00ED1A85">
              <w:rPr>
                <w:rFonts w:ascii="Verdana" w:hAnsi="Verdana"/>
                <w:sz w:val="20"/>
                <w:szCs w:val="20"/>
              </w:rPr>
              <w:t>3.</w:t>
            </w:r>
            <w:r w:rsidR="006D4B96" w:rsidRPr="00ED1A85">
              <w:rPr>
                <w:rFonts w:ascii="Verdana" w:hAnsi="Verdana"/>
                <w:sz w:val="20"/>
                <w:szCs w:val="20"/>
              </w:rPr>
              <w:t>4</w:t>
            </w:r>
          </w:p>
        </w:tc>
      </w:tr>
      <w:tr w:rsidR="00DE6EF2" w:rsidRPr="00ED1A85" w14:paraId="537D1DE5" w14:textId="77777777" w:rsidTr="002A0933">
        <w:tc>
          <w:tcPr>
            <w:tcW w:w="7225" w:type="dxa"/>
          </w:tcPr>
          <w:p w14:paraId="43DEF09E" w14:textId="71BFB740" w:rsidR="00DE6EF2" w:rsidRPr="00ED1A85" w:rsidRDefault="00DE6EF2" w:rsidP="00DE6EF2">
            <w:pPr>
              <w:rPr>
                <w:rFonts w:ascii="Verdana" w:hAnsi="Verdana"/>
                <w:sz w:val="20"/>
                <w:szCs w:val="20"/>
              </w:rPr>
            </w:pPr>
            <w:r w:rsidRPr="00ED1A85">
              <w:rPr>
                <w:rFonts w:ascii="Verdana" w:hAnsi="Verdana"/>
                <w:i/>
                <w:iCs/>
                <w:sz w:val="20"/>
                <w:szCs w:val="20"/>
              </w:rPr>
              <w:t>Dossier suivi par :</w:t>
            </w:r>
            <w:r w:rsidRPr="00ED1A85">
              <w:rPr>
                <w:rFonts w:ascii="Verdana" w:hAnsi="Verdana"/>
                <w:sz w:val="20"/>
                <w:szCs w:val="20"/>
              </w:rPr>
              <w:t xml:space="preserve"> Nirina RAZAFINTSALAMA</w:t>
            </w:r>
            <w:r w:rsidR="000D7BFD" w:rsidRPr="00ED1A85">
              <w:rPr>
                <w:rFonts w:ascii="Verdana" w:hAnsi="Verdana"/>
                <w:sz w:val="20"/>
                <w:szCs w:val="20"/>
              </w:rPr>
              <w:t>, Auditeur interne</w:t>
            </w:r>
          </w:p>
        </w:tc>
        <w:tc>
          <w:tcPr>
            <w:tcW w:w="1837" w:type="dxa"/>
          </w:tcPr>
          <w:p w14:paraId="5AC1AFAB" w14:textId="2CE1624C" w:rsidR="00DE6EF2" w:rsidRPr="00ED1A85" w:rsidRDefault="000D7BFD" w:rsidP="00DE6EF2">
            <w:pPr>
              <w:jc w:val="center"/>
              <w:rPr>
                <w:rFonts w:ascii="Verdana" w:hAnsi="Verdana"/>
                <w:sz w:val="20"/>
                <w:szCs w:val="20"/>
              </w:rPr>
            </w:pPr>
            <w:r w:rsidRPr="00ED1A85">
              <w:rPr>
                <w:rFonts w:ascii="Verdana" w:hAnsi="Verdana"/>
                <w:sz w:val="20"/>
                <w:szCs w:val="20"/>
              </w:rPr>
              <w:t>Décision</w:t>
            </w:r>
          </w:p>
        </w:tc>
      </w:tr>
    </w:tbl>
    <w:p w14:paraId="5F395D20" w14:textId="77777777" w:rsidR="00934A04" w:rsidRPr="00ED1A85" w:rsidRDefault="00934A04" w:rsidP="00934A04">
      <w:pPr>
        <w:pStyle w:val="Titrepartie"/>
        <w:numPr>
          <w:ilvl w:val="0"/>
          <w:numId w:val="0"/>
        </w:numPr>
        <w:ind w:left="360"/>
        <w:rPr>
          <w:b w:val="0"/>
          <w:bCs w:val="0"/>
        </w:rPr>
      </w:pPr>
      <w:bookmarkStart w:id="0" w:name="_Hlk24535240"/>
    </w:p>
    <w:p w14:paraId="12F477A9" w14:textId="77777777" w:rsidR="00934A04" w:rsidRPr="00ED1A85" w:rsidRDefault="00934A04" w:rsidP="00934A04">
      <w:pPr>
        <w:pStyle w:val="Titrepartie"/>
        <w:numPr>
          <w:ilvl w:val="0"/>
          <w:numId w:val="0"/>
        </w:numPr>
        <w:ind w:left="360"/>
        <w:rPr>
          <w:b w:val="0"/>
          <w:bCs w:val="0"/>
        </w:rPr>
      </w:pPr>
    </w:p>
    <w:p w14:paraId="678F0DFC" w14:textId="36B6840B" w:rsidR="00854EEA" w:rsidRPr="00ED1A85" w:rsidRDefault="00955BB3" w:rsidP="00A70123">
      <w:pPr>
        <w:pStyle w:val="Titrepartie"/>
      </w:pPr>
      <w:r w:rsidRPr="00ED1A85">
        <w:t>Résumé</w:t>
      </w:r>
    </w:p>
    <w:p w14:paraId="3F9C4156" w14:textId="07839AC0" w:rsidR="00586E58" w:rsidRPr="00ED1A85" w:rsidRDefault="00647CF3" w:rsidP="008F4331">
      <w:pPr>
        <w:pStyle w:val="Paragraphe"/>
      </w:pPr>
      <w:r w:rsidRPr="00ED1A85">
        <w:t>Après l</w:t>
      </w:r>
      <w:r w:rsidR="00DE41ED" w:rsidRPr="00ED1A85">
        <w:t xml:space="preserve">es dernières réunions des instances de la Commission de l’océan Indien, </w:t>
      </w:r>
      <w:r w:rsidR="00714C9D" w:rsidRPr="00ED1A85">
        <w:t>l</w:t>
      </w:r>
      <w:r w:rsidR="002E2D1B" w:rsidRPr="00ED1A85">
        <w:t xml:space="preserve">e comité d’audit et des risques de la COI s’est réuni deux fois </w:t>
      </w:r>
      <w:r w:rsidR="00CD5619" w:rsidRPr="00ED1A85">
        <w:t xml:space="preserve">avant cette réunion du comité des OPL. Cela </w:t>
      </w:r>
      <w:r w:rsidR="00C40050">
        <w:t>a eu lieu</w:t>
      </w:r>
      <w:r w:rsidR="00CD5619" w:rsidRPr="00ED1A85">
        <w:t xml:space="preserve"> le 17 juillet 2025 et les </w:t>
      </w:r>
      <w:r w:rsidR="0096241C" w:rsidRPr="00ED1A85">
        <w:t>4 et 5 novembre 2025</w:t>
      </w:r>
      <w:r w:rsidR="00B64DA8" w:rsidRPr="00ED1A85">
        <w:t>.</w:t>
      </w:r>
    </w:p>
    <w:p w14:paraId="0D036284" w14:textId="34A46261" w:rsidR="0073442E" w:rsidRPr="00ED1A85" w:rsidRDefault="00524357" w:rsidP="008F4331">
      <w:pPr>
        <w:pStyle w:val="Paragraphe"/>
      </w:pPr>
      <w:r w:rsidRPr="00ED1A85">
        <w:t>Au cours des 2</w:t>
      </w:r>
      <w:r w:rsidRPr="00ED1A85">
        <w:rPr>
          <w:rFonts w:ascii="Arial" w:hAnsi="Arial" w:cs="Arial"/>
        </w:rPr>
        <w:t>ᵉ</w:t>
      </w:r>
      <w:r w:rsidRPr="00ED1A85">
        <w:t xml:space="preserve"> et 3</w:t>
      </w:r>
      <w:r w:rsidRPr="00ED1A85">
        <w:rPr>
          <w:rFonts w:ascii="Arial" w:hAnsi="Arial" w:cs="Arial"/>
        </w:rPr>
        <w:t>ᵉ</w:t>
      </w:r>
      <w:r w:rsidRPr="00ED1A85">
        <w:t xml:space="preserve"> trimestres 2025, le Service d’audit interne a consolidé son rôle de </w:t>
      </w:r>
      <w:r w:rsidRPr="00ED1A85">
        <w:rPr>
          <w:b/>
          <w:bCs/>
        </w:rPr>
        <w:t>levier de gouvernance, de transparence et de conformité</w:t>
      </w:r>
      <w:r w:rsidRPr="00ED1A85">
        <w:t>, malgré des contraintes de calendrier liées à des missions imprévues et à des ajustements de plan.</w:t>
      </w:r>
    </w:p>
    <w:p w14:paraId="66DFA10A" w14:textId="056B9AC6" w:rsidR="006310FA" w:rsidRPr="00ED1A85" w:rsidRDefault="002648FD" w:rsidP="008F4331">
      <w:pPr>
        <w:pStyle w:val="Paragraphe"/>
      </w:pPr>
      <w:r w:rsidRPr="00ED1A85">
        <w:t>Les audits (interne et externe) révèlent une maturité croissante du dispositif de contrôle mais également des axes d’amélioration communs, notamment en matière de conformité LAB/FT</w:t>
      </w:r>
      <w:r w:rsidR="0004392C" w:rsidRPr="00ED1A85">
        <w:t xml:space="preserve"> (Lutte anti-blanchiment d’Argent et du financement des terrorismes)</w:t>
      </w:r>
      <w:r w:rsidR="001E0F1E" w:rsidRPr="00ED1A85">
        <w:t xml:space="preserve"> et</w:t>
      </w:r>
      <w:r w:rsidRPr="00ED1A85">
        <w:t xml:space="preserve"> </w:t>
      </w:r>
      <w:r w:rsidRPr="00ED1A85">
        <w:rPr>
          <w:b/>
          <w:bCs/>
        </w:rPr>
        <w:t>de gouvernance IT</w:t>
      </w:r>
      <w:r w:rsidRPr="00ED1A85">
        <w:t>.</w:t>
      </w:r>
    </w:p>
    <w:p w14:paraId="68009DDB" w14:textId="3B828F12" w:rsidR="0008468B" w:rsidRPr="00ED1A85" w:rsidRDefault="00955BB3" w:rsidP="008377BB">
      <w:pPr>
        <w:pStyle w:val="Titrepartie"/>
        <w:spacing w:after="120"/>
        <w:ind w:left="714" w:hanging="357"/>
      </w:pPr>
      <w:r w:rsidRPr="00ED1A85">
        <w:t>Etat d’avancement</w:t>
      </w:r>
      <w:r w:rsidR="00B659B7" w:rsidRPr="00ED1A85">
        <w:t xml:space="preserve"> global du plan d’audit</w:t>
      </w:r>
      <w:r w:rsidR="00FB7F86" w:rsidRPr="00ED1A85">
        <w:t xml:space="preserve"> interne</w:t>
      </w:r>
      <w:r w:rsidR="00B659B7" w:rsidRPr="00ED1A85">
        <w:t xml:space="preserve"> avril 2025 – mars 2026</w:t>
      </w:r>
    </w:p>
    <w:tbl>
      <w:tblPr>
        <w:tblStyle w:val="Grilledutableau"/>
        <w:tblW w:w="8363" w:type="dxa"/>
        <w:tblInd w:w="704" w:type="dxa"/>
        <w:tblLook w:val="04A0" w:firstRow="1" w:lastRow="0" w:firstColumn="1" w:lastColumn="0" w:noHBand="0" w:noVBand="1"/>
      </w:tblPr>
      <w:tblGrid>
        <w:gridCol w:w="3681"/>
        <w:gridCol w:w="2414"/>
        <w:gridCol w:w="2268"/>
      </w:tblGrid>
      <w:tr w:rsidR="00E82F93" w:rsidRPr="00ED1A85" w14:paraId="4075673F" w14:textId="77777777" w:rsidTr="00EA62A4">
        <w:tc>
          <w:tcPr>
            <w:tcW w:w="3681" w:type="dxa"/>
            <w:hideMark/>
          </w:tcPr>
          <w:p w14:paraId="504597AD" w14:textId="77777777" w:rsidR="00E82F93" w:rsidRPr="00ED1A85" w:rsidRDefault="00E82F93" w:rsidP="00770533">
            <w:pPr>
              <w:pStyle w:val="Sous-partie2"/>
              <w:numPr>
                <w:ilvl w:val="0"/>
                <w:numId w:val="0"/>
              </w:numPr>
              <w:spacing w:line="259" w:lineRule="auto"/>
              <w:ind w:left="31"/>
              <w:rPr>
                <w:b/>
                <w:bCs/>
                <w:color w:val="000000" w:themeColor="text1"/>
              </w:rPr>
            </w:pPr>
            <w:r w:rsidRPr="00ED1A85">
              <w:rPr>
                <w:b/>
                <w:bCs/>
                <w:color w:val="000000" w:themeColor="text1"/>
              </w:rPr>
              <w:t>Statut des missions</w:t>
            </w:r>
          </w:p>
        </w:tc>
        <w:tc>
          <w:tcPr>
            <w:tcW w:w="2414" w:type="dxa"/>
            <w:hideMark/>
          </w:tcPr>
          <w:p w14:paraId="18D8970D" w14:textId="77777777" w:rsidR="00E82F93" w:rsidRPr="00ED1A85" w:rsidRDefault="00E82F93" w:rsidP="00770533">
            <w:pPr>
              <w:pStyle w:val="Sous-partie2"/>
              <w:numPr>
                <w:ilvl w:val="0"/>
                <w:numId w:val="0"/>
              </w:numPr>
              <w:spacing w:line="259" w:lineRule="auto"/>
              <w:rPr>
                <w:b/>
                <w:bCs/>
                <w:color w:val="000000" w:themeColor="text1"/>
              </w:rPr>
            </w:pPr>
            <w:r w:rsidRPr="00ED1A85">
              <w:rPr>
                <w:b/>
                <w:bCs/>
                <w:color w:val="000000" w:themeColor="text1"/>
              </w:rPr>
              <w:t>2</w:t>
            </w:r>
            <w:r w:rsidRPr="00ED1A85">
              <w:rPr>
                <w:rFonts w:ascii="Arial" w:hAnsi="Arial" w:cs="Arial"/>
                <w:b/>
                <w:bCs/>
                <w:color w:val="000000" w:themeColor="text1"/>
              </w:rPr>
              <w:t>ᵉ</w:t>
            </w:r>
            <w:r w:rsidRPr="00ED1A85">
              <w:rPr>
                <w:b/>
                <w:bCs/>
                <w:color w:val="000000" w:themeColor="text1"/>
              </w:rPr>
              <w:t xml:space="preserve"> trimestre 2025</w:t>
            </w:r>
          </w:p>
        </w:tc>
        <w:tc>
          <w:tcPr>
            <w:tcW w:w="2268" w:type="dxa"/>
            <w:hideMark/>
          </w:tcPr>
          <w:p w14:paraId="482780F9" w14:textId="77777777" w:rsidR="00E82F93" w:rsidRPr="00ED1A85" w:rsidRDefault="00E82F93" w:rsidP="00770533">
            <w:pPr>
              <w:pStyle w:val="Sous-partie2"/>
              <w:numPr>
                <w:ilvl w:val="0"/>
                <w:numId w:val="0"/>
              </w:numPr>
              <w:spacing w:line="259" w:lineRule="auto"/>
              <w:rPr>
                <w:b/>
                <w:bCs/>
                <w:color w:val="000000" w:themeColor="text1"/>
              </w:rPr>
            </w:pPr>
            <w:r w:rsidRPr="00ED1A85">
              <w:rPr>
                <w:b/>
                <w:bCs/>
                <w:color w:val="000000" w:themeColor="text1"/>
              </w:rPr>
              <w:t>3</w:t>
            </w:r>
            <w:r w:rsidRPr="00ED1A85">
              <w:rPr>
                <w:rFonts w:ascii="Arial" w:hAnsi="Arial" w:cs="Arial"/>
                <w:b/>
                <w:bCs/>
                <w:color w:val="000000" w:themeColor="text1"/>
              </w:rPr>
              <w:t>ᵉ</w:t>
            </w:r>
            <w:r w:rsidRPr="00ED1A85">
              <w:rPr>
                <w:b/>
                <w:bCs/>
                <w:color w:val="000000" w:themeColor="text1"/>
              </w:rPr>
              <w:t xml:space="preserve"> trimestre 2025</w:t>
            </w:r>
          </w:p>
        </w:tc>
      </w:tr>
      <w:tr w:rsidR="00E82F93" w:rsidRPr="00ED1A85" w14:paraId="595D7CD2" w14:textId="77777777" w:rsidTr="00EA62A4">
        <w:tc>
          <w:tcPr>
            <w:tcW w:w="3681" w:type="dxa"/>
            <w:hideMark/>
          </w:tcPr>
          <w:p w14:paraId="7306A8FC" w14:textId="77777777" w:rsidR="00E82F93" w:rsidRPr="00ED1A85" w:rsidRDefault="00E82F93" w:rsidP="00770533">
            <w:pPr>
              <w:pStyle w:val="Sous-partie2"/>
              <w:numPr>
                <w:ilvl w:val="0"/>
                <w:numId w:val="0"/>
              </w:numPr>
              <w:spacing w:line="259" w:lineRule="auto"/>
              <w:ind w:left="31"/>
              <w:rPr>
                <w:color w:val="000000" w:themeColor="text1"/>
              </w:rPr>
            </w:pPr>
            <w:r w:rsidRPr="00ED1A85">
              <w:rPr>
                <w:color w:val="000000" w:themeColor="text1"/>
              </w:rPr>
              <w:t>Missions réalisées</w:t>
            </w:r>
          </w:p>
        </w:tc>
        <w:tc>
          <w:tcPr>
            <w:tcW w:w="2414" w:type="dxa"/>
            <w:hideMark/>
          </w:tcPr>
          <w:p w14:paraId="618DC83A" w14:textId="77777777" w:rsidR="00E82F93" w:rsidRPr="00ED1A85" w:rsidRDefault="00E82F93" w:rsidP="00770533">
            <w:pPr>
              <w:pStyle w:val="Sous-partie2"/>
              <w:numPr>
                <w:ilvl w:val="0"/>
                <w:numId w:val="0"/>
              </w:numPr>
              <w:spacing w:line="259" w:lineRule="auto"/>
              <w:jc w:val="center"/>
              <w:rPr>
                <w:color w:val="000000" w:themeColor="text1"/>
              </w:rPr>
            </w:pPr>
            <w:r w:rsidRPr="00ED1A85">
              <w:rPr>
                <w:color w:val="000000" w:themeColor="text1"/>
              </w:rPr>
              <w:t>2 (17 %)</w:t>
            </w:r>
          </w:p>
        </w:tc>
        <w:tc>
          <w:tcPr>
            <w:tcW w:w="2268" w:type="dxa"/>
            <w:hideMark/>
          </w:tcPr>
          <w:p w14:paraId="17473C81" w14:textId="77777777" w:rsidR="00E82F93" w:rsidRPr="00ED1A85" w:rsidRDefault="00E82F93" w:rsidP="00770533">
            <w:pPr>
              <w:pStyle w:val="Sous-partie2"/>
              <w:numPr>
                <w:ilvl w:val="0"/>
                <w:numId w:val="0"/>
              </w:numPr>
              <w:spacing w:line="259" w:lineRule="auto"/>
              <w:jc w:val="center"/>
              <w:rPr>
                <w:color w:val="000000" w:themeColor="text1"/>
              </w:rPr>
            </w:pPr>
            <w:r w:rsidRPr="00ED1A85">
              <w:rPr>
                <w:color w:val="000000" w:themeColor="text1"/>
              </w:rPr>
              <w:t>5 (39 %)</w:t>
            </w:r>
          </w:p>
        </w:tc>
      </w:tr>
      <w:tr w:rsidR="00E82F93" w:rsidRPr="00ED1A85" w14:paraId="771A2190" w14:textId="77777777" w:rsidTr="00EA62A4">
        <w:tc>
          <w:tcPr>
            <w:tcW w:w="3681" w:type="dxa"/>
            <w:hideMark/>
          </w:tcPr>
          <w:p w14:paraId="728A5C1A" w14:textId="77777777" w:rsidR="00E82F93" w:rsidRPr="00ED1A85" w:rsidRDefault="00E82F93" w:rsidP="00770533">
            <w:pPr>
              <w:pStyle w:val="Sous-partie2"/>
              <w:numPr>
                <w:ilvl w:val="0"/>
                <w:numId w:val="0"/>
              </w:numPr>
              <w:spacing w:line="259" w:lineRule="auto"/>
              <w:ind w:left="31"/>
              <w:rPr>
                <w:color w:val="000000" w:themeColor="text1"/>
              </w:rPr>
            </w:pPr>
            <w:r w:rsidRPr="00ED1A85">
              <w:rPr>
                <w:color w:val="000000" w:themeColor="text1"/>
              </w:rPr>
              <w:t>Missions en cours</w:t>
            </w:r>
          </w:p>
        </w:tc>
        <w:tc>
          <w:tcPr>
            <w:tcW w:w="2414" w:type="dxa"/>
            <w:hideMark/>
          </w:tcPr>
          <w:p w14:paraId="40FC4D27" w14:textId="77777777" w:rsidR="00E82F93" w:rsidRPr="00ED1A85" w:rsidRDefault="00E82F93" w:rsidP="00770533">
            <w:pPr>
              <w:pStyle w:val="Sous-partie2"/>
              <w:numPr>
                <w:ilvl w:val="0"/>
                <w:numId w:val="0"/>
              </w:numPr>
              <w:spacing w:line="259" w:lineRule="auto"/>
              <w:jc w:val="center"/>
              <w:rPr>
                <w:color w:val="000000" w:themeColor="text1"/>
              </w:rPr>
            </w:pPr>
            <w:r w:rsidRPr="00ED1A85">
              <w:rPr>
                <w:color w:val="000000" w:themeColor="text1"/>
              </w:rPr>
              <w:t>2 (17 %)</w:t>
            </w:r>
          </w:p>
        </w:tc>
        <w:tc>
          <w:tcPr>
            <w:tcW w:w="2268" w:type="dxa"/>
            <w:hideMark/>
          </w:tcPr>
          <w:p w14:paraId="2A28A6D0" w14:textId="77777777" w:rsidR="00E82F93" w:rsidRPr="00ED1A85" w:rsidRDefault="00E82F93" w:rsidP="00770533">
            <w:pPr>
              <w:pStyle w:val="Sous-partie2"/>
              <w:numPr>
                <w:ilvl w:val="0"/>
                <w:numId w:val="0"/>
              </w:numPr>
              <w:spacing w:line="259" w:lineRule="auto"/>
              <w:jc w:val="center"/>
              <w:rPr>
                <w:color w:val="000000" w:themeColor="text1"/>
              </w:rPr>
            </w:pPr>
            <w:r w:rsidRPr="00ED1A85">
              <w:rPr>
                <w:color w:val="000000" w:themeColor="text1"/>
              </w:rPr>
              <w:t>2 (15 %)</w:t>
            </w:r>
          </w:p>
        </w:tc>
      </w:tr>
      <w:tr w:rsidR="00E82F93" w:rsidRPr="00ED1A85" w14:paraId="4D8B2673" w14:textId="77777777" w:rsidTr="00EA62A4">
        <w:tc>
          <w:tcPr>
            <w:tcW w:w="3681" w:type="dxa"/>
            <w:hideMark/>
          </w:tcPr>
          <w:p w14:paraId="4086975C" w14:textId="77777777" w:rsidR="00E82F93" w:rsidRPr="00ED1A85" w:rsidRDefault="00E82F93" w:rsidP="00770533">
            <w:pPr>
              <w:pStyle w:val="Sous-partie2"/>
              <w:numPr>
                <w:ilvl w:val="0"/>
                <w:numId w:val="0"/>
              </w:numPr>
              <w:spacing w:line="259" w:lineRule="auto"/>
              <w:ind w:left="31"/>
              <w:rPr>
                <w:color w:val="000000" w:themeColor="text1"/>
              </w:rPr>
            </w:pPr>
            <w:r w:rsidRPr="00ED1A85">
              <w:rPr>
                <w:color w:val="000000" w:themeColor="text1"/>
              </w:rPr>
              <w:t>Missions restantes</w:t>
            </w:r>
          </w:p>
        </w:tc>
        <w:tc>
          <w:tcPr>
            <w:tcW w:w="2414" w:type="dxa"/>
            <w:hideMark/>
          </w:tcPr>
          <w:p w14:paraId="06697C9E" w14:textId="77777777" w:rsidR="00E82F93" w:rsidRPr="00ED1A85" w:rsidRDefault="00E82F93" w:rsidP="00770533">
            <w:pPr>
              <w:pStyle w:val="Sous-partie2"/>
              <w:numPr>
                <w:ilvl w:val="0"/>
                <w:numId w:val="0"/>
              </w:numPr>
              <w:spacing w:line="259" w:lineRule="auto"/>
              <w:jc w:val="center"/>
              <w:rPr>
                <w:color w:val="000000" w:themeColor="text1"/>
              </w:rPr>
            </w:pPr>
            <w:r w:rsidRPr="00ED1A85">
              <w:rPr>
                <w:color w:val="000000" w:themeColor="text1"/>
              </w:rPr>
              <w:t>8 (66 %)</w:t>
            </w:r>
          </w:p>
        </w:tc>
        <w:tc>
          <w:tcPr>
            <w:tcW w:w="2268" w:type="dxa"/>
            <w:hideMark/>
          </w:tcPr>
          <w:p w14:paraId="17DE64DC" w14:textId="77777777" w:rsidR="00E82F93" w:rsidRPr="00ED1A85" w:rsidRDefault="00E82F93" w:rsidP="00770533">
            <w:pPr>
              <w:pStyle w:val="Sous-partie2"/>
              <w:numPr>
                <w:ilvl w:val="0"/>
                <w:numId w:val="0"/>
              </w:numPr>
              <w:spacing w:line="259" w:lineRule="auto"/>
              <w:jc w:val="center"/>
              <w:rPr>
                <w:color w:val="000000" w:themeColor="text1"/>
              </w:rPr>
            </w:pPr>
            <w:r w:rsidRPr="00ED1A85">
              <w:rPr>
                <w:color w:val="000000" w:themeColor="text1"/>
              </w:rPr>
              <w:t>4 (31 %)</w:t>
            </w:r>
          </w:p>
        </w:tc>
      </w:tr>
      <w:tr w:rsidR="00E82F93" w:rsidRPr="00ED1A85" w14:paraId="633AF528" w14:textId="77777777" w:rsidTr="00EA62A4">
        <w:tc>
          <w:tcPr>
            <w:tcW w:w="3681" w:type="dxa"/>
            <w:hideMark/>
          </w:tcPr>
          <w:p w14:paraId="6E4ED647" w14:textId="77777777" w:rsidR="00E82F93" w:rsidRPr="00ED1A85" w:rsidRDefault="00E82F93" w:rsidP="00770533">
            <w:pPr>
              <w:pStyle w:val="Sous-partie2"/>
              <w:numPr>
                <w:ilvl w:val="0"/>
                <w:numId w:val="0"/>
              </w:numPr>
              <w:spacing w:line="259" w:lineRule="auto"/>
              <w:ind w:left="31"/>
              <w:rPr>
                <w:color w:val="000000" w:themeColor="text1"/>
              </w:rPr>
            </w:pPr>
            <w:r w:rsidRPr="00ED1A85">
              <w:rPr>
                <w:color w:val="000000" w:themeColor="text1"/>
              </w:rPr>
              <w:t>Missions non réalisées / reportées</w:t>
            </w:r>
          </w:p>
        </w:tc>
        <w:tc>
          <w:tcPr>
            <w:tcW w:w="2414" w:type="dxa"/>
            <w:hideMark/>
          </w:tcPr>
          <w:p w14:paraId="617F4D17" w14:textId="77777777" w:rsidR="00E82F93" w:rsidRPr="00ED1A85" w:rsidRDefault="00E82F93" w:rsidP="00770533">
            <w:pPr>
              <w:pStyle w:val="Sous-partie2"/>
              <w:numPr>
                <w:ilvl w:val="0"/>
                <w:numId w:val="0"/>
              </w:numPr>
              <w:spacing w:line="259" w:lineRule="auto"/>
              <w:jc w:val="center"/>
              <w:rPr>
                <w:color w:val="000000" w:themeColor="text1"/>
              </w:rPr>
            </w:pPr>
            <w:r w:rsidRPr="00ED1A85">
              <w:rPr>
                <w:color w:val="000000" w:themeColor="text1"/>
              </w:rPr>
              <w:t>–</w:t>
            </w:r>
          </w:p>
        </w:tc>
        <w:tc>
          <w:tcPr>
            <w:tcW w:w="2268" w:type="dxa"/>
            <w:hideMark/>
          </w:tcPr>
          <w:p w14:paraId="6BBD4963" w14:textId="77777777" w:rsidR="00E82F93" w:rsidRPr="00ED1A85" w:rsidRDefault="00E82F93" w:rsidP="00770533">
            <w:pPr>
              <w:pStyle w:val="Sous-partie2"/>
              <w:numPr>
                <w:ilvl w:val="0"/>
                <w:numId w:val="0"/>
              </w:numPr>
              <w:spacing w:line="259" w:lineRule="auto"/>
              <w:jc w:val="center"/>
              <w:rPr>
                <w:color w:val="000000" w:themeColor="text1"/>
              </w:rPr>
            </w:pPr>
            <w:r w:rsidRPr="00ED1A85">
              <w:rPr>
                <w:color w:val="000000" w:themeColor="text1"/>
              </w:rPr>
              <w:t>2 (15 %)</w:t>
            </w:r>
          </w:p>
        </w:tc>
      </w:tr>
    </w:tbl>
    <w:p w14:paraId="5995B0D7" w14:textId="77777777" w:rsidR="009D1E3E" w:rsidRPr="00ED1A85" w:rsidRDefault="009D1E3E" w:rsidP="009D1E3E">
      <w:pPr>
        <w:pStyle w:val="Paragraphe"/>
        <w:numPr>
          <w:ilvl w:val="0"/>
          <w:numId w:val="27"/>
        </w:numPr>
        <w:tabs>
          <w:tab w:val="clear" w:pos="720"/>
        </w:tabs>
        <w:spacing w:after="0" w:line="276" w:lineRule="auto"/>
        <w:ind w:left="426" w:hanging="142"/>
      </w:pPr>
      <w:r w:rsidRPr="00ED1A85">
        <w:t>Réalisation ou engagement de 54 % des missions du plan annuel d’audit 2025–2026 (contre 50 % du temps écoulé).</w:t>
      </w:r>
    </w:p>
    <w:p w14:paraId="5EAE0D08" w14:textId="77777777" w:rsidR="009D1E3E" w:rsidRPr="00ED1A85" w:rsidRDefault="009D1E3E" w:rsidP="009D1E3E">
      <w:pPr>
        <w:pStyle w:val="Paragraphe"/>
        <w:numPr>
          <w:ilvl w:val="0"/>
          <w:numId w:val="27"/>
        </w:numPr>
        <w:tabs>
          <w:tab w:val="clear" w:pos="720"/>
        </w:tabs>
        <w:spacing w:after="0" w:line="276" w:lineRule="auto"/>
        <w:ind w:left="426" w:hanging="142"/>
      </w:pPr>
      <w:r w:rsidRPr="00ED1A85">
        <w:t>Réalisation de 7 missions d’audit sur 13 prévues, dont :</w:t>
      </w:r>
    </w:p>
    <w:p w14:paraId="5636DF72" w14:textId="77777777" w:rsidR="009D1E3E" w:rsidRPr="00ED1A85" w:rsidRDefault="009D1E3E" w:rsidP="009D1E3E">
      <w:pPr>
        <w:pStyle w:val="Paragraphe"/>
        <w:numPr>
          <w:ilvl w:val="2"/>
          <w:numId w:val="29"/>
        </w:numPr>
        <w:tabs>
          <w:tab w:val="clear" w:pos="2160"/>
        </w:tabs>
        <w:spacing w:after="0" w:line="276" w:lineRule="auto"/>
        <w:ind w:left="993"/>
      </w:pPr>
      <w:r w:rsidRPr="00ED1A85">
        <w:t>Vérifications financières : ICC, RSIE III, Horizon 2030.</w:t>
      </w:r>
    </w:p>
    <w:p w14:paraId="1226F5B4" w14:textId="77777777" w:rsidR="009D1E3E" w:rsidRPr="00ED1A85" w:rsidRDefault="009D1E3E" w:rsidP="009D1E3E">
      <w:pPr>
        <w:pStyle w:val="Paragraphe"/>
        <w:numPr>
          <w:ilvl w:val="2"/>
          <w:numId w:val="29"/>
        </w:numPr>
        <w:tabs>
          <w:tab w:val="clear" w:pos="2160"/>
        </w:tabs>
        <w:spacing w:after="0" w:line="276" w:lineRule="auto"/>
        <w:ind w:left="993"/>
      </w:pPr>
      <w:r w:rsidRPr="00ED1A85">
        <w:t>Audits de conformité et de gouvernance : Ressources humaines, IT, Subventions (RECOS, GPS).</w:t>
      </w:r>
    </w:p>
    <w:p w14:paraId="7BACB355" w14:textId="77777777" w:rsidR="009D1E3E" w:rsidRPr="00ED1A85" w:rsidRDefault="009D1E3E" w:rsidP="009D1E3E">
      <w:pPr>
        <w:pStyle w:val="Paragraphe"/>
        <w:numPr>
          <w:ilvl w:val="0"/>
          <w:numId w:val="28"/>
        </w:numPr>
        <w:tabs>
          <w:tab w:val="clear" w:pos="720"/>
        </w:tabs>
        <w:spacing w:after="0" w:line="276" w:lineRule="auto"/>
        <w:ind w:left="426" w:hanging="142"/>
      </w:pPr>
      <w:r w:rsidRPr="00ED1A85">
        <w:t>Mise en œuvre d’actions de sensibilisation du personnel à l’éthique, au contrôle interne et au mécanisme de lanceur d’alerte (55 agents formés).</w:t>
      </w:r>
    </w:p>
    <w:p w14:paraId="2B68C5E2" w14:textId="77777777" w:rsidR="009D1E3E" w:rsidRPr="00ED1A85" w:rsidRDefault="009D1E3E" w:rsidP="009D1E3E">
      <w:pPr>
        <w:pStyle w:val="Paragraphe"/>
        <w:numPr>
          <w:ilvl w:val="0"/>
          <w:numId w:val="28"/>
        </w:numPr>
        <w:tabs>
          <w:tab w:val="clear" w:pos="720"/>
        </w:tabs>
        <w:spacing w:after="0" w:line="276" w:lineRule="auto"/>
        <w:ind w:left="426" w:hanging="142"/>
      </w:pPr>
      <w:r w:rsidRPr="00ED1A85">
        <w:t>Renforcement des capacités de l’équipe du service d’audit interne : formation à Douala sur les nouvelles Normes internationales IIA 2024 et l’audit des systèmes d’information.</w:t>
      </w:r>
    </w:p>
    <w:p w14:paraId="6D7C2845" w14:textId="77777777" w:rsidR="009D1E3E" w:rsidRPr="00ED1A85" w:rsidRDefault="009D1E3E" w:rsidP="009D1E3E">
      <w:pPr>
        <w:pStyle w:val="Paragraphe"/>
        <w:numPr>
          <w:ilvl w:val="0"/>
          <w:numId w:val="28"/>
        </w:numPr>
        <w:tabs>
          <w:tab w:val="clear" w:pos="720"/>
        </w:tabs>
        <w:spacing w:after="0" w:line="276" w:lineRule="auto"/>
        <w:ind w:left="426" w:hanging="142"/>
      </w:pPr>
      <w:r w:rsidRPr="00ED1A85">
        <w:t>Révision de la charte d’audit interne et validation du plan stratégique triennal d’audit interne</w:t>
      </w:r>
    </w:p>
    <w:p w14:paraId="4F21CF9C" w14:textId="77777777" w:rsidR="009D1E3E" w:rsidRPr="00ED1A85" w:rsidRDefault="009D1E3E" w:rsidP="009D1E3E">
      <w:pPr>
        <w:pStyle w:val="Paragraphe"/>
        <w:numPr>
          <w:ilvl w:val="0"/>
          <w:numId w:val="28"/>
        </w:numPr>
        <w:tabs>
          <w:tab w:val="clear" w:pos="720"/>
        </w:tabs>
        <w:spacing w:after="0" w:line="276" w:lineRule="auto"/>
        <w:ind w:left="426" w:hanging="142"/>
      </w:pPr>
      <w:r w:rsidRPr="00ED1A85">
        <w:t>Préparation à l’évaluation externe de la qualité (EQA) et à l’application des Normes IIA 2024</w:t>
      </w:r>
      <w:r w:rsidRPr="00ED1A85">
        <w:rPr>
          <w:b/>
          <w:bCs/>
        </w:rPr>
        <w:t>.</w:t>
      </w:r>
    </w:p>
    <w:p w14:paraId="7BA1588A" w14:textId="3CFD82F7" w:rsidR="00706706" w:rsidRPr="00ED1A85" w:rsidRDefault="00706706" w:rsidP="009D1E3E">
      <w:pPr>
        <w:pStyle w:val="Paragraphe"/>
        <w:numPr>
          <w:ilvl w:val="0"/>
          <w:numId w:val="28"/>
        </w:numPr>
        <w:tabs>
          <w:tab w:val="clear" w:pos="720"/>
        </w:tabs>
        <w:spacing w:after="0" w:line="276" w:lineRule="auto"/>
        <w:ind w:left="426" w:hanging="142"/>
        <w:rPr>
          <w:color w:val="000000" w:themeColor="text1"/>
        </w:rPr>
      </w:pPr>
      <w:r w:rsidRPr="00ED1A85">
        <w:rPr>
          <w:color w:val="000000" w:themeColor="text1"/>
        </w:rPr>
        <w:t xml:space="preserve">Les audits IT et </w:t>
      </w:r>
      <w:r w:rsidR="001469E5" w:rsidRPr="00ED1A85">
        <w:rPr>
          <w:color w:val="000000" w:themeColor="text1"/>
        </w:rPr>
        <w:t>processus d’arrivée et de départ</w:t>
      </w:r>
      <w:r w:rsidRPr="00ED1A85">
        <w:rPr>
          <w:color w:val="000000" w:themeColor="text1"/>
        </w:rPr>
        <w:t>, initiés au 2</w:t>
      </w:r>
      <w:r w:rsidRPr="00ED1A85">
        <w:rPr>
          <w:rFonts w:ascii="Arial" w:hAnsi="Arial" w:cs="Arial"/>
          <w:color w:val="000000" w:themeColor="text1"/>
        </w:rPr>
        <w:t>ᵉ</w:t>
      </w:r>
      <w:r w:rsidRPr="00ED1A85">
        <w:rPr>
          <w:color w:val="000000" w:themeColor="text1"/>
        </w:rPr>
        <w:t xml:space="preserve"> trimestre, ont été finalisés ou prolongés </w:t>
      </w:r>
      <w:r w:rsidR="00C40050">
        <w:rPr>
          <w:color w:val="000000" w:themeColor="text1"/>
        </w:rPr>
        <w:t>au cours du</w:t>
      </w:r>
      <w:r w:rsidRPr="00ED1A85">
        <w:rPr>
          <w:color w:val="000000" w:themeColor="text1"/>
        </w:rPr>
        <w:t xml:space="preserve"> 3</w:t>
      </w:r>
      <w:r w:rsidRPr="00ED1A85">
        <w:rPr>
          <w:rFonts w:ascii="Arial" w:hAnsi="Arial" w:cs="Arial"/>
          <w:color w:val="000000" w:themeColor="text1"/>
        </w:rPr>
        <w:t>ᵉ</w:t>
      </w:r>
      <w:r w:rsidRPr="00ED1A85">
        <w:rPr>
          <w:color w:val="000000" w:themeColor="text1"/>
        </w:rPr>
        <w:t xml:space="preserve"> trimestre.</w:t>
      </w:r>
    </w:p>
    <w:p w14:paraId="77CE98B2" w14:textId="1D7EB4BF" w:rsidR="00706706" w:rsidRPr="00ED1A85" w:rsidRDefault="00706706" w:rsidP="009D1E3E">
      <w:pPr>
        <w:pStyle w:val="Paragraphe"/>
        <w:numPr>
          <w:ilvl w:val="0"/>
          <w:numId w:val="28"/>
        </w:numPr>
        <w:tabs>
          <w:tab w:val="clear" w:pos="720"/>
        </w:tabs>
        <w:spacing w:after="0" w:line="276" w:lineRule="auto"/>
        <w:ind w:left="426" w:hanging="142"/>
        <w:rPr>
          <w:color w:val="000000" w:themeColor="text1"/>
        </w:rPr>
      </w:pPr>
      <w:r w:rsidRPr="00ED1A85">
        <w:rPr>
          <w:color w:val="000000" w:themeColor="text1"/>
        </w:rPr>
        <w:t xml:space="preserve">Le taux de couverture du plan annuel reste supérieur à la proportion du temps écoulé, traduisant une </w:t>
      </w:r>
      <w:r w:rsidRPr="00ED1A85">
        <w:rPr>
          <w:b/>
          <w:bCs/>
          <w:color w:val="000000" w:themeColor="text1"/>
        </w:rPr>
        <w:t>efficience opérationnelle maîtrisée</w:t>
      </w:r>
      <w:r w:rsidRPr="00ED1A85">
        <w:rPr>
          <w:color w:val="000000" w:themeColor="text1"/>
        </w:rPr>
        <w:t>.</w:t>
      </w:r>
    </w:p>
    <w:p w14:paraId="5F7C2233" w14:textId="77777777" w:rsidR="00934A04" w:rsidRPr="00ED1A85" w:rsidRDefault="00934A04" w:rsidP="00ED1A85">
      <w:pPr>
        <w:pStyle w:val="Paragraphe"/>
        <w:spacing w:after="0" w:line="276" w:lineRule="auto"/>
        <w:ind w:left="426"/>
        <w:rPr>
          <w:color w:val="000000" w:themeColor="text1"/>
        </w:rPr>
      </w:pPr>
    </w:p>
    <w:p w14:paraId="7C3BF361" w14:textId="6A41D528" w:rsidR="0089419C" w:rsidRPr="00ED1A85" w:rsidRDefault="0089419C" w:rsidP="0089419C">
      <w:pPr>
        <w:pStyle w:val="Titrepartie"/>
        <w:spacing w:after="120"/>
        <w:ind w:left="714" w:hanging="357"/>
      </w:pPr>
      <w:r w:rsidRPr="00ED1A85">
        <w:t>Impacts et résultats observés</w:t>
      </w:r>
    </w:p>
    <w:p w14:paraId="7E357210" w14:textId="796E6FBF" w:rsidR="00C95E30" w:rsidRPr="00ED1A85" w:rsidRDefault="00C95E30" w:rsidP="0071538C">
      <w:pPr>
        <w:pStyle w:val="Sous-partie2"/>
      </w:pPr>
      <w:r w:rsidRPr="00ED1A85">
        <w:t>Gouvernance et conformité</w:t>
      </w:r>
    </w:p>
    <w:p w14:paraId="6365B8EF" w14:textId="77777777" w:rsidR="00C95E30" w:rsidRPr="00ED1A85" w:rsidRDefault="00C95E30" w:rsidP="00C95E30">
      <w:pPr>
        <w:pStyle w:val="Paragraphe"/>
        <w:numPr>
          <w:ilvl w:val="0"/>
          <w:numId w:val="33"/>
        </w:numPr>
        <w:spacing w:after="0"/>
      </w:pPr>
      <w:r w:rsidRPr="00ED1A85">
        <w:t>Amélioration du suivi des engagements contractuels et de la passation de marchés.</w:t>
      </w:r>
    </w:p>
    <w:p w14:paraId="41EF88FC" w14:textId="7A8A5723" w:rsidR="00F94657" w:rsidRPr="00ED1A85" w:rsidRDefault="001F30AE" w:rsidP="00C95E30">
      <w:pPr>
        <w:pStyle w:val="Paragraphe"/>
        <w:numPr>
          <w:ilvl w:val="0"/>
          <w:numId w:val="33"/>
        </w:numPr>
        <w:spacing w:after="0"/>
      </w:pPr>
      <w:r w:rsidRPr="00ED1A85">
        <w:lastRenderedPageBreak/>
        <w:t>Révision de la charte d’audit interne conformément aux normes IIA 2024.</w:t>
      </w:r>
    </w:p>
    <w:p w14:paraId="69145026" w14:textId="0386AF3E" w:rsidR="001F30AE" w:rsidRPr="00ED1A85" w:rsidRDefault="001F30AE" w:rsidP="00C95E30">
      <w:pPr>
        <w:pStyle w:val="Paragraphe"/>
        <w:numPr>
          <w:ilvl w:val="0"/>
          <w:numId w:val="33"/>
        </w:numPr>
        <w:spacing w:after="0"/>
      </w:pPr>
      <w:r w:rsidRPr="00ED1A85">
        <w:t xml:space="preserve">Approbation par le </w:t>
      </w:r>
      <w:r w:rsidR="00F526F8" w:rsidRPr="00ED1A85">
        <w:t>Comité d’audit et des risques du plan stratégique d’audit interne 2026 – 2028.</w:t>
      </w:r>
    </w:p>
    <w:p w14:paraId="5074A308" w14:textId="5009BCA4" w:rsidR="00C95E30" w:rsidRPr="00ED1A85" w:rsidRDefault="00C95E30" w:rsidP="00C95E30">
      <w:pPr>
        <w:pStyle w:val="Paragraphe"/>
        <w:numPr>
          <w:ilvl w:val="0"/>
          <w:numId w:val="33"/>
        </w:numPr>
        <w:spacing w:after="0"/>
      </w:pPr>
      <w:r w:rsidRPr="00ED1A85">
        <w:t xml:space="preserve">Préparation du service </w:t>
      </w:r>
      <w:r w:rsidR="00F526F8" w:rsidRPr="00ED1A85">
        <w:t xml:space="preserve">d’audit interne </w:t>
      </w:r>
      <w:r w:rsidRPr="00ED1A85">
        <w:t>à l’</w:t>
      </w:r>
      <w:r w:rsidRPr="00ED1A85">
        <w:rPr>
          <w:b/>
          <w:bCs/>
        </w:rPr>
        <w:t>évaluation externe de la qualité (EQA)</w:t>
      </w:r>
      <w:r w:rsidRPr="00ED1A85">
        <w:t xml:space="preserve"> prévue </w:t>
      </w:r>
      <w:r w:rsidR="001E7C67" w:rsidRPr="00ED1A85">
        <w:t>commencé ce dernier trimestre</w:t>
      </w:r>
      <w:r w:rsidRPr="00ED1A85">
        <w:t xml:space="preserve"> 202</w:t>
      </w:r>
      <w:r w:rsidR="001E7C67" w:rsidRPr="00ED1A85">
        <w:t>5</w:t>
      </w:r>
      <w:r w:rsidRPr="00ED1A85">
        <w:t>.</w:t>
      </w:r>
    </w:p>
    <w:p w14:paraId="259F4D90" w14:textId="7DB59AE8" w:rsidR="00C95E30" w:rsidRPr="00ED1A85" w:rsidRDefault="00C95E30" w:rsidP="00C95E30">
      <w:pPr>
        <w:pStyle w:val="Paragraphe"/>
        <w:numPr>
          <w:ilvl w:val="0"/>
          <w:numId w:val="33"/>
        </w:numPr>
        <w:spacing w:after="0"/>
      </w:pPr>
      <w:r w:rsidRPr="00ED1A85">
        <w:t xml:space="preserve">Adoption progressive des </w:t>
      </w:r>
      <w:r w:rsidRPr="00ED1A85">
        <w:rPr>
          <w:b/>
          <w:bCs/>
        </w:rPr>
        <w:t>Normes IIA 2024</w:t>
      </w:r>
      <w:r w:rsidR="004903DB" w:rsidRPr="00ED1A85">
        <w:rPr>
          <w:b/>
          <w:bCs/>
        </w:rPr>
        <w:t xml:space="preserve"> (Global </w:t>
      </w:r>
      <w:proofErr w:type="spellStart"/>
      <w:r w:rsidR="004903DB" w:rsidRPr="00ED1A85">
        <w:rPr>
          <w:b/>
          <w:bCs/>
        </w:rPr>
        <w:t>Internal</w:t>
      </w:r>
      <w:proofErr w:type="spellEnd"/>
      <w:r w:rsidR="004903DB" w:rsidRPr="00ED1A85">
        <w:rPr>
          <w:b/>
          <w:bCs/>
        </w:rPr>
        <w:t xml:space="preserve"> Audit Standards)</w:t>
      </w:r>
      <w:r w:rsidRPr="00ED1A85">
        <w:t>.</w:t>
      </w:r>
    </w:p>
    <w:p w14:paraId="7924908F" w14:textId="77777777" w:rsidR="00934A04" w:rsidRPr="00ED1A85" w:rsidRDefault="00934A04" w:rsidP="00934A04">
      <w:pPr>
        <w:pStyle w:val="Paragraphe"/>
        <w:spacing w:after="0"/>
        <w:ind w:left="720"/>
      </w:pPr>
    </w:p>
    <w:p w14:paraId="6B6F571D" w14:textId="441C2951" w:rsidR="00C95E30" w:rsidRPr="00ED1A85" w:rsidRDefault="00C95E30" w:rsidP="0071538C">
      <w:pPr>
        <w:pStyle w:val="Sous-partie2"/>
      </w:pPr>
      <w:r w:rsidRPr="00ED1A85">
        <w:t>Gestion des risques</w:t>
      </w:r>
    </w:p>
    <w:p w14:paraId="296DF084" w14:textId="77777777" w:rsidR="00C95E30" w:rsidRPr="00ED1A85" w:rsidRDefault="00C95E30" w:rsidP="00C95E30">
      <w:pPr>
        <w:pStyle w:val="Paragraphe"/>
        <w:numPr>
          <w:ilvl w:val="0"/>
          <w:numId w:val="34"/>
        </w:numPr>
        <w:spacing w:after="0"/>
      </w:pPr>
      <w:r w:rsidRPr="00ED1A85">
        <w:t xml:space="preserve">Renforcement des dispositifs de contrôle interne sur les subventions et la gestion des équipements (RSIE III, RECOS, </w:t>
      </w:r>
      <w:proofErr w:type="spellStart"/>
      <w:r w:rsidRPr="00ED1A85">
        <w:t>TWENEx</w:t>
      </w:r>
      <w:proofErr w:type="spellEnd"/>
      <w:r w:rsidRPr="00ED1A85">
        <w:t>).</w:t>
      </w:r>
    </w:p>
    <w:p w14:paraId="79B0D0E4" w14:textId="77777777" w:rsidR="00C95E30" w:rsidRPr="00ED1A85" w:rsidRDefault="00C95E30" w:rsidP="00C95E30">
      <w:pPr>
        <w:pStyle w:val="Paragraphe"/>
        <w:numPr>
          <w:ilvl w:val="0"/>
          <w:numId w:val="34"/>
        </w:numPr>
        <w:spacing w:after="0"/>
      </w:pPr>
      <w:r w:rsidRPr="00ED1A85">
        <w:t>Identification de faiblesses dans la gouvernance IT et la gestion des départs des agents.</w:t>
      </w:r>
    </w:p>
    <w:p w14:paraId="1AF9DD71" w14:textId="77777777" w:rsidR="00934A04" w:rsidRPr="00ED1A85" w:rsidRDefault="00934A04" w:rsidP="00934A04">
      <w:pPr>
        <w:pStyle w:val="Paragraphe"/>
        <w:spacing w:after="0"/>
        <w:ind w:left="720"/>
      </w:pPr>
    </w:p>
    <w:p w14:paraId="0F4AABF9" w14:textId="24C3DC6D" w:rsidR="00C95E30" w:rsidRPr="00ED1A85" w:rsidRDefault="00C95E30" w:rsidP="0071538C">
      <w:pPr>
        <w:pStyle w:val="Sous-partie2"/>
      </w:pPr>
      <w:r w:rsidRPr="00ED1A85">
        <w:t>Intégrité et culture organisationnelle</w:t>
      </w:r>
    </w:p>
    <w:p w14:paraId="3EB42DB9" w14:textId="77777777" w:rsidR="00C95E30" w:rsidRPr="00ED1A85" w:rsidRDefault="00C95E30" w:rsidP="00C95E30">
      <w:pPr>
        <w:pStyle w:val="Paragraphe"/>
        <w:numPr>
          <w:ilvl w:val="0"/>
          <w:numId w:val="35"/>
        </w:numPr>
        <w:spacing w:after="0"/>
      </w:pPr>
      <w:r w:rsidRPr="00ED1A85">
        <w:t>55 agents formés à l’éthique, au contrôle interne et au mécanisme de lanceur d’alerte.</w:t>
      </w:r>
    </w:p>
    <w:p w14:paraId="22267648" w14:textId="38946A65" w:rsidR="00A82557" w:rsidRPr="00ED1A85" w:rsidRDefault="00A82557" w:rsidP="00C95E30">
      <w:pPr>
        <w:pStyle w:val="Paragraphe"/>
        <w:numPr>
          <w:ilvl w:val="0"/>
          <w:numId w:val="35"/>
        </w:numPr>
        <w:spacing w:after="0"/>
      </w:pPr>
      <w:r w:rsidRPr="00ED1A85">
        <w:t>Amélioration de la compréhension du cadre de contrôle interne de l’organisation, favorisant un engagement accru dans l’application des dispositifs</w:t>
      </w:r>
    </w:p>
    <w:p w14:paraId="214AE9E0" w14:textId="0756B745" w:rsidR="00C95E30" w:rsidRPr="00ED1A85" w:rsidRDefault="00225915" w:rsidP="00C95E30">
      <w:pPr>
        <w:pStyle w:val="Paragraphe"/>
        <w:numPr>
          <w:ilvl w:val="0"/>
          <w:numId w:val="35"/>
        </w:numPr>
        <w:spacing w:after="0"/>
      </w:pPr>
      <w:r w:rsidRPr="00ED1A85">
        <w:t>Participation au Peer Learning organisé par l’Alliance d’apprentissage entre pairs (P2P LA), avec le soutien de l’IIU</w:t>
      </w:r>
      <w:r w:rsidR="00414594" w:rsidRPr="00ED1A85">
        <w:t xml:space="preserve"> </w:t>
      </w:r>
      <w:r w:rsidRPr="00ED1A85">
        <w:t>(</w:t>
      </w:r>
      <w:r w:rsidR="00AB639C" w:rsidRPr="00ED1A85">
        <w:t xml:space="preserve">Independent </w:t>
      </w:r>
      <w:proofErr w:type="spellStart"/>
      <w:r w:rsidR="00AB639C" w:rsidRPr="00ED1A85">
        <w:t>Integrity</w:t>
      </w:r>
      <w:proofErr w:type="spellEnd"/>
      <w:r w:rsidR="00AB639C" w:rsidRPr="00ED1A85">
        <w:t xml:space="preserve"> Unit)</w:t>
      </w:r>
      <w:r w:rsidRPr="00ED1A85">
        <w:t xml:space="preserve"> du Fonds Vert pour le climat et de la GIZ : renforcement de l’impact stratégique de l’audit interne en matière d’intégrité à travers une meilleure compréhension du modèle d’apprentissage entre pairs et des leviers organisationnels clés.</w:t>
      </w:r>
    </w:p>
    <w:p w14:paraId="642E8CE0" w14:textId="77777777" w:rsidR="00934A04" w:rsidRPr="00ED1A85" w:rsidRDefault="00934A04" w:rsidP="00934A04">
      <w:pPr>
        <w:pStyle w:val="Paragraphe"/>
        <w:spacing w:after="0"/>
        <w:ind w:left="720"/>
      </w:pPr>
    </w:p>
    <w:p w14:paraId="218841F3" w14:textId="7AA53BBC" w:rsidR="00740B1E" w:rsidRPr="00ED1A85" w:rsidRDefault="00740B1E" w:rsidP="008377BB">
      <w:pPr>
        <w:pStyle w:val="Titrepartie"/>
        <w:spacing w:after="120"/>
        <w:ind w:left="714" w:hanging="357"/>
      </w:pPr>
      <w:r w:rsidRPr="00ED1A85">
        <w:t>Etat de mise en œuvre des recommandations</w:t>
      </w:r>
      <w:r w:rsidR="008378A3" w:rsidRPr="00ED1A85">
        <w:t xml:space="preserve"> d’audits</w:t>
      </w:r>
    </w:p>
    <w:p w14:paraId="591D93FA" w14:textId="3486B946" w:rsidR="00365947" w:rsidRPr="00ED1A85" w:rsidRDefault="00F1201F" w:rsidP="00365947">
      <w:pPr>
        <w:pStyle w:val="Paragraphe"/>
        <w:spacing w:after="120"/>
        <w:rPr>
          <w:color w:val="000000" w:themeColor="text1"/>
        </w:rPr>
      </w:pPr>
      <w:r w:rsidRPr="00ED1A85">
        <w:rPr>
          <w:noProof/>
        </w:rPr>
        <w:drawing>
          <wp:anchor distT="0" distB="0" distL="114300" distR="114300" simplePos="0" relativeHeight="251672576" behindDoc="1" locked="0" layoutInCell="1" allowOverlap="1" wp14:anchorId="43CAAF1B" wp14:editId="41F32AD3">
            <wp:simplePos x="0" y="0"/>
            <wp:positionH relativeFrom="margin">
              <wp:posOffset>-55245</wp:posOffset>
            </wp:positionH>
            <wp:positionV relativeFrom="paragraph">
              <wp:posOffset>1223645</wp:posOffset>
            </wp:positionV>
            <wp:extent cx="6073775" cy="2165350"/>
            <wp:effectExtent l="0" t="0" r="3175" b="6350"/>
            <wp:wrapTopAndBottom/>
            <wp:docPr id="746094848" name="Graphique 1">
              <a:extLst xmlns:a="http://schemas.openxmlformats.org/drawingml/2006/main">
                <a:ext uri="{FF2B5EF4-FFF2-40B4-BE49-F238E27FC236}">
                  <a16:creationId xmlns:a16="http://schemas.microsoft.com/office/drawing/2014/main" id="{505C51EA-1F0C-D986-FFF3-B5AB152D60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F237A0" w:rsidRPr="00ED1A85">
        <w:rPr>
          <w:color w:val="000000" w:themeColor="text1"/>
        </w:rPr>
        <w:t>Au cours du troisième trimestre de 2025, 21 nouvelles recommandations ont été émises par le Service d’audit interne et les auditeurs externes. En les intégrant aux recommandations formulées précédemment, la situation globale de leur mise en œuvre se présente comme suit</w:t>
      </w:r>
      <w:r w:rsidR="002027E9" w:rsidRPr="00ED1A85">
        <w:rPr>
          <w:color w:val="000000" w:themeColor="text1"/>
        </w:rPr>
        <w:t xml:space="preserve"> </w:t>
      </w:r>
      <w:r w:rsidR="008A4229" w:rsidRPr="00ED1A85">
        <w:rPr>
          <w:color w:val="000000" w:themeColor="text1"/>
        </w:rPr>
        <w:t>:</w:t>
      </w:r>
      <w:r w:rsidR="002027E9" w:rsidRPr="00ED1A85">
        <w:rPr>
          <w:color w:val="000000" w:themeColor="text1"/>
          <w:sz w:val="18"/>
          <w:szCs w:val="18"/>
        </w:rPr>
        <w:t xml:space="preserve"> </w:t>
      </w:r>
      <w:r w:rsidR="002027E9" w:rsidRPr="00ED1A85">
        <w:rPr>
          <w:rFonts w:cstheme="minorBidi"/>
        </w:rPr>
        <w:t xml:space="preserve">Le nombre total de recommandations suivies est désormais de </w:t>
      </w:r>
      <w:r w:rsidR="002027E9" w:rsidRPr="00ED1A85">
        <w:rPr>
          <w:rFonts w:cstheme="minorBidi"/>
          <w:b/>
          <w:bCs/>
        </w:rPr>
        <w:t>294</w:t>
      </w:r>
      <w:r w:rsidR="002027E9" w:rsidRPr="00ED1A85">
        <w:rPr>
          <w:rFonts w:cstheme="minorBidi"/>
        </w:rPr>
        <w:t xml:space="preserve"> dont </w:t>
      </w:r>
      <w:r w:rsidR="002027E9" w:rsidRPr="00ED1A85">
        <w:rPr>
          <w:rFonts w:cstheme="minorBidi"/>
          <w:b/>
          <w:bCs/>
        </w:rPr>
        <w:t>73</w:t>
      </w:r>
      <w:r w:rsidR="002027E9" w:rsidRPr="00ED1A85">
        <w:rPr>
          <w:rFonts w:cstheme="minorBidi"/>
        </w:rPr>
        <w:t xml:space="preserve"> ont été proposées par le Service d’Audit Interne et </w:t>
      </w:r>
      <w:r w:rsidR="002027E9" w:rsidRPr="00ED1A85">
        <w:rPr>
          <w:rFonts w:cstheme="minorBidi"/>
          <w:b/>
          <w:bCs/>
        </w:rPr>
        <w:t>221</w:t>
      </w:r>
      <w:r w:rsidR="002027E9" w:rsidRPr="00ED1A85">
        <w:rPr>
          <w:rFonts w:cstheme="minorBidi"/>
        </w:rPr>
        <w:t xml:space="preserve"> par les auditeurs externes</w:t>
      </w:r>
    </w:p>
    <w:p w14:paraId="31336B45" w14:textId="77777777" w:rsidR="006C7A81" w:rsidRPr="00ED1A85" w:rsidRDefault="006C7A81" w:rsidP="006C7A81">
      <w:pPr>
        <w:pStyle w:val="NormalWeb"/>
        <w:jc w:val="both"/>
        <w:rPr>
          <w:rFonts w:ascii="Verdana" w:eastAsiaTheme="minorHAnsi" w:hAnsi="Verdana" w:cstheme="minorBidi"/>
          <w:color w:val="000000" w:themeColor="text1"/>
          <w:sz w:val="20"/>
          <w:szCs w:val="20"/>
        </w:rPr>
      </w:pPr>
      <w:r w:rsidRPr="00ED1A85">
        <w:rPr>
          <w:rFonts w:ascii="Verdana" w:eastAsiaTheme="minorHAnsi" w:hAnsi="Verdana" w:cstheme="minorBidi"/>
          <w:color w:val="000000" w:themeColor="text1"/>
          <w:sz w:val="20"/>
          <w:szCs w:val="20"/>
        </w:rPr>
        <w:t xml:space="preserve">Le taux de recommandations implémentées et clôturées à fin octobre s’élève ainsi à </w:t>
      </w:r>
      <w:r w:rsidRPr="00ED1A85">
        <w:rPr>
          <w:rFonts w:ascii="Verdana" w:eastAsiaTheme="minorHAnsi" w:hAnsi="Verdana" w:cstheme="minorBidi"/>
          <w:b/>
          <w:bCs/>
          <w:color w:val="000000" w:themeColor="text1"/>
          <w:sz w:val="20"/>
          <w:szCs w:val="20"/>
          <w:u w:val="single"/>
        </w:rPr>
        <w:t>60 %</w:t>
      </w:r>
      <w:r w:rsidRPr="00ED1A85">
        <w:rPr>
          <w:rFonts w:ascii="Verdana" w:eastAsiaTheme="minorHAnsi" w:hAnsi="Verdana" w:cstheme="minorBidi"/>
          <w:b/>
          <w:bCs/>
          <w:i/>
          <w:iCs/>
          <w:color w:val="000000" w:themeColor="text1"/>
          <w:sz w:val="20"/>
          <w:szCs w:val="20"/>
          <w:u w:val="single"/>
        </w:rPr>
        <w:t xml:space="preserve"> </w:t>
      </w:r>
      <w:r w:rsidRPr="00ED1A85">
        <w:rPr>
          <w:rFonts w:ascii="Verdana" w:eastAsiaTheme="minorHAnsi" w:hAnsi="Verdana" w:cstheme="minorBidi"/>
          <w:b/>
          <w:bCs/>
          <w:color w:val="000000" w:themeColor="text1"/>
          <w:sz w:val="20"/>
          <w:szCs w:val="20"/>
          <w:u w:val="single"/>
        </w:rPr>
        <w:t>soit 176 recommandations</w:t>
      </w:r>
      <w:r w:rsidRPr="00ED1A85">
        <w:rPr>
          <w:rFonts w:ascii="Verdana" w:eastAsiaTheme="minorHAnsi" w:hAnsi="Verdana" w:cstheme="minorBidi"/>
          <w:b/>
          <w:bCs/>
          <w:color w:val="000000" w:themeColor="text1"/>
          <w:sz w:val="20"/>
          <w:szCs w:val="20"/>
        </w:rPr>
        <w:t>.</w:t>
      </w:r>
      <w:r w:rsidRPr="00ED1A85">
        <w:rPr>
          <w:rFonts w:ascii="Verdana" w:eastAsiaTheme="minorHAnsi" w:hAnsi="Verdana" w:cstheme="minorBidi"/>
          <w:color w:val="000000" w:themeColor="text1"/>
          <w:sz w:val="20"/>
          <w:szCs w:val="20"/>
        </w:rPr>
        <w:t xml:space="preserve"> </w:t>
      </w:r>
    </w:p>
    <w:p w14:paraId="7F872A80" w14:textId="77777777" w:rsidR="004918A2" w:rsidRPr="00ED1A85" w:rsidRDefault="004918A2" w:rsidP="004918A2">
      <w:pPr>
        <w:jc w:val="both"/>
        <w:rPr>
          <w:rFonts w:ascii="Verdana" w:hAnsi="Verdana"/>
          <w:sz w:val="20"/>
          <w:szCs w:val="20"/>
        </w:rPr>
      </w:pPr>
      <w:r w:rsidRPr="00ED1A85">
        <w:rPr>
          <w:rFonts w:ascii="Verdana" w:hAnsi="Verdana"/>
          <w:sz w:val="20"/>
          <w:szCs w:val="20"/>
        </w:rPr>
        <w:lastRenderedPageBreak/>
        <w:t>Le taux des recommandations restantes</w:t>
      </w:r>
      <w:r w:rsidRPr="00ED1A85">
        <w:rPr>
          <w:rStyle w:val="Appelnotedebasdep"/>
          <w:rFonts w:ascii="Verdana" w:hAnsi="Verdana"/>
          <w:sz w:val="20"/>
          <w:szCs w:val="20"/>
        </w:rPr>
        <w:footnoteReference w:id="1"/>
      </w:r>
      <w:r w:rsidRPr="00ED1A85">
        <w:rPr>
          <w:rFonts w:ascii="Verdana" w:hAnsi="Verdana"/>
          <w:sz w:val="20"/>
          <w:szCs w:val="20"/>
        </w:rPr>
        <w:t xml:space="preserve"> est de </w:t>
      </w:r>
      <w:r w:rsidRPr="00ED1A85">
        <w:rPr>
          <w:rFonts w:ascii="Verdana" w:hAnsi="Verdana"/>
          <w:b/>
          <w:bCs/>
          <w:sz w:val="20"/>
          <w:szCs w:val="20"/>
        </w:rPr>
        <w:t>40 % soit 118 recommandations</w:t>
      </w:r>
      <w:r w:rsidRPr="00ED1A85">
        <w:rPr>
          <w:rFonts w:ascii="Verdana" w:hAnsi="Verdana"/>
          <w:sz w:val="20"/>
          <w:szCs w:val="20"/>
        </w:rPr>
        <w:t>. La répartition des recommandations par Service est la suivante :</w:t>
      </w:r>
    </w:p>
    <w:p w14:paraId="4FAF73F8" w14:textId="76E30ABE" w:rsidR="005F2011" w:rsidRPr="00ED1A85" w:rsidRDefault="005F2011" w:rsidP="005F2011">
      <w:pPr>
        <w:pStyle w:val="Paragraphe"/>
        <w:spacing w:after="120"/>
      </w:pPr>
    </w:p>
    <w:p w14:paraId="4EB541A6" w14:textId="0BE7A701" w:rsidR="005F2011" w:rsidRPr="00ED1A85" w:rsidRDefault="00775C1C" w:rsidP="00A431F9">
      <w:pPr>
        <w:pStyle w:val="Paragraphe"/>
        <w:spacing w:after="120"/>
      </w:pPr>
      <w:r w:rsidRPr="00ED1A85">
        <w:rPr>
          <w:noProof/>
          <w:sz w:val="12"/>
          <w:szCs w:val="12"/>
        </w:rPr>
        <w:drawing>
          <wp:inline distT="0" distB="0" distL="0" distR="0" wp14:anchorId="2488AC40" wp14:editId="1E64385B">
            <wp:extent cx="5287010" cy="3409950"/>
            <wp:effectExtent l="0" t="0" r="8890" b="0"/>
            <wp:docPr id="1985188553" name="Graphique 1">
              <a:extLst xmlns:a="http://schemas.openxmlformats.org/drawingml/2006/main">
                <a:ext uri="{FF2B5EF4-FFF2-40B4-BE49-F238E27FC236}">
                  <a16:creationId xmlns:a16="http://schemas.microsoft.com/office/drawing/2014/main" id="{35FC805B-3CE5-4789-983C-985E6D82EA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479CFF" w14:textId="535C4DA0" w:rsidR="004061DE" w:rsidRPr="00ED1A85" w:rsidRDefault="004061DE" w:rsidP="004061DE">
      <w:pPr>
        <w:pStyle w:val="Titrepartie"/>
      </w:pPr>
      <w:r w:rsidRPr="00ED1A85">
        <w:t>Divers</w:t>
      </w:r>
    </w:p>
    <w:p w14:paraId="69459A91" w14:textId="0F2633F4" w:rsidR="004061DE" w:rsidRPr="00ED1A85" w:rsidRDefault="00D31C61" w:rsidP="004061DE">
      <w:pPr>
        <w:pStyle w:val="Titrepartie"/>
        <w:numPr>
          <w:ilvl w:val="0"/>
          <w:numId w:val="0"/>
        </w:numPr>
        <w:spacing w:after="120"/>
        <w:rPr>
          <w:b w:val="0"/>
          <w:bCs w:val="0"/>
          <w:color w:val="000000" w:themeColor="text1"/>
          <w:sz w:val="20"/>
        </w:rPr>
      </w:pPr>
      <w:r w:rsidRPr="00ED1A85">
        <w:rPr>
          <w:b w:val="0"/>
          <w:bCs w:val="0"/>
          <w:color w:val="000000" w:themeColor="text1"/>
          <w:sz w:val="20"/>
        </w:rPr>
        <w:t>Le mandat du cabinet Moore arrivant à échéance après la réalisation des audits des exercices 2022, 2023 et 2024, la procédure d’appel d’offres pour le recrutement d’un nouveau commissaire aux comptes a été lancée, et le rapport d’évaluation des offres a été soumis au Comité d’audit et des risques pour approbation, conformément aux dispositions du Règlement financier de la COI. Il a été</w:t>
      </w:r>
      <w:r w:rsidR="00CF7D59" w:rsidRPr="00ED1A85">
        <w:rPr>
          <w:b w:val="0"/>
          <w:bCs w:val="0"/>
          <w:color w:val="000000" w:themeColor="text1"/>
          <w:sz w:val="20"/>
        </w:rPr>
        <w:t xml:space="preserve"> </w:t>
      </w:r>
      <w:r w:rsidR="00E6668C" w:rsidRPr="00ED1A85">
        <w:rPr>
          <w:b w:val="0"/>
          <w:bCs w:val="0"/>
          <w:color w:val="000000" w:themeColor="text1"/>
          <w:sz w:val="20"/>
        </w:rPr>
        <w:t>retenu</w:t>
      </w:r>
      <w:r w:rsidR="00CF7D59" w:rsidRPr="00ED1A85">
        <w:rPr>
          <w:b w:val="0"/>
          <w:bCs w:val="0"/>
          <w:color w:val="000000" w:themeColor="text1"/>
          <w:sz w:val="20"/>
        </w:rPr>
        <w:t xml:space="preserve"> le service du cabinet </w:t>
      </w:r>
      <w:r w:rsidR="00BE7A73" w:rsidRPr="00ED1A85">
        <w:rPr>
          <w:b w:val="0"/>
          <w:bCs w:val="0"/>
          <w:color w:val="000000" w:themeColor="text1"/>
          <w:sz w:val="20"/>
        </w:rPr>
        <w:t>Ernst</w:t>
      </w:r>
      <w:r w:rsidR="00BE34B8" w:rsidRPr="00ED1A85">
        <w:rPr>
          <w:b w:val="0"/>
          <w:bCs w:val="0"/>
          <w:color w:val="000000" w:themeColor="text1"/>
          <w:sz w:val="20"/>
        </w:rPr>
        <w:t xml:space="preserve"> </w:t>
      </w:r>
      <w:r w:rsidR="00BE7A73" w:rsidRPr="00ED1A85">
        <w:rPr>
          <w:b w:val="0"/>
          <w:bCs w:val="0"/>
          <w:color w:val="000000" w:themeColor="text1"/>
          <w:sz w:val="20"/>
        </w:rPr>
        <w:t>&amp;</w:t>
      </w:r>
      <w:r w:rsidR="00BE34B8" w:rsidRPr="00ED1A85">
        <w:rPr>
          <w:b w:val="0"/>
          <w:bCs w:val="0"/>
          <w:color w:val="000000" w:themeColor="text1"/>
          <w:sz w:val="20"/>
        </w:rPr>
        <w:t xml:space="preserve"> </w:t>
      </w:r>
      <w:r w:rsidR="00BE7A73" w:rsidRPr="00ED1A85">
        <w:rPr>
          <w:b w:val="0"/>
          <w:bCs w:val="0"/>
          <w:color w:val="000000" w:themeColor="text1"/>
          <w:sz w:val="20"/>
        </w:rPr>
        <w:t>Yo</w:t>
      </w:r>
      <w:r w:rsidR="00BE34B8" w:rsidRPr="00ED1A85">
        <w:rPr>
          <w:b w:val="0"/>
          <w:bCs w:val="0"/>
          <w:color w:val="000000" w:themeColor="text1"/>
          <w:sz w:val="20"/>
        </w:rPr>
        <w:t>u</w:t>
      </w:r>
      <w:r w:rsidR="00BE7A73" w:rsidRPr="00ED1A85">
        <w:rPr>
          <w:b w:val="0"/>
          <w:bCs w:val="0"/>
          <w:color w:val="000000" w:themeColor="text1"/>
          <w:sz w:val="20"/>
        </w:rPr>
        <w:t>ng</w:t>
      </w:r>
      <w:r w:rsidR="00CF7D59" w:rsidRPr="00ED1A85">
        <w:rPr>
          <w:b w:val="0"/>
          <w:bCs w:val="0"/>
          <w:color w:val="000000" w:themeColor="text1"/>
          <w:sz w:val="20"/>
        </w:rPr>
        <w:t xml:space="preserve"> </w:t>
      </w:r>
      <w:r w:rsidR="00C40050">
        <w:rPr>
          <w:b w:val="0"/>
          <w:bCs w:val="0"/>
          <w:color w:val="000000" w:themeColor="text1"/>
          <w:sz w:val="20"/>
        </w:rPr>
        <w:t>pour un montant de</w:t>
      </w:r>
      <w:r w:rsidR="00CF7D59" w:rsidRPr="00ED1A85">
        <w:rPr>
          <w:b w:val="0"/>
          <w:bCs w:val="0"/>
          <w:color w:val="000000" w:themeColor="text1"/>
          <w:sz w:val="20"/>
        </w:rPr>
        <w:t xml:space="preserve"> </w:t>
      </w:r>
      <w:r w:rsidR="00BE34B8" w:rsidRPr="00ED1A85">
        <w:rPr>
          <w:b w:val="0"/>
          <w:bCs w:val="0"/>
          <w:color w:val="000000" w:themeColor="text1"/>
          <w:sz w:val="20"/>
        </w:rPr>
        <w:t>40 767 Euro</w:t>
      </w:r>
      <w:r w:rsidR="00D553AC" w:rsidRPr="00ED1A85">
        <w:rPr>
          <w:b w:val="0"/>
          <w:bCs w:val="0"/>
          <w:color w:val="000000" w:themeColor="text1"/>
          <w:sz w:val="20"/>
        </w:rPr>
        <w:t>s</w:t>
      </w:r>
      <w:r w:rsidR="00CF7D59" w:rsidRPr="00ED1A85">
        <w:rPr>
          <w:b w:val="0"/>
          <w:bCs w:val="0"/>
          <w:color w:val="000000" w:themeColor="text1"/>
          <w:sz w:val="20"/>
        </w:rPr>
        <w:t xml:space="preserve"> pour la période de 2025</w:t>
      </w:r>
      <w:r w:rsidR="00E6668C" w:rsidRPr="00ED1A85">
        <w:rPr>
          <w:b w:val="0"/>
          <w:bCs w:val="0"/>
          <w:color w:val="000000" w:themeColor="text1"/>
          <w:sz w:val="20"/>
        </w:rPr>
        <w:t xml:space="preserve"> jusqu’au 2027.</w:t>
      </w:r>
    </w:p>
    <w:p w14:paraId="5E3C5B48" w14:textId="77777777" w:rsidR="00934A04" w:rsidRPr="00ED1A85" w:rsidRDefault="00934A04" w:rsidP="004061DE">
      <w:pPr>
        <w:pStyle w:val="Titrepartie"/>
        <w:numPr>
          <w:ilvl w:val="0"/>
          <w:numId w:val="0"/>
        </w:numPr>
        <w:spacing w:after="120"/>
        <w:rPr>
          <w:b w:val="0"/>
          <w:bCs w:val="0"/>
          <w:color w:val="000000" w:themeColor="text1"/>
          <w:sz w:val="20"/>
        </w:rPr>
      </w:pPr>
    </w:p>
    <w:p w14:paraId="0C5EE20B" w14:textId="3A2CF1D0" w:rsidR="0021517D" w:rsidRPr="00ED1A85" w:rsidRDefault="0021517D" w:rsidP="008377BB">
      <w:pPr>
        <w:pStyle w:val="Titrepartie"/>
        <w:spacing w:after="120"/>
        <w:ind w:left="714" w:hanging="357"/>
      </w:pPr>
      <w:r w:rsidRPr="00ED1A85">
        <w:t>Perspectives</w:t>
      </w:r>
    </w:p>
    <w:p w14:paraId="3E3171A2" w14:textId="732C7224" w:rsidR="00EE44B7" w:rsidRPr="00ED1A85" w:rsidRDefault="00EE44B7" w:rsidP="00EE44B7">
      <w:pPr>
        <w:pStyle w:val="Paragraphe"/>
        <w:spacing w:after="120"/>
        <w:rPr>
          <w:color w:val="000000" w:themeColor="text1"/>
        </w:rPr>
      </w:pPr>
      <w:r w:rsidRPr="00ED1A85">
        <w:rPr>
          <w:color w:val="000000" w:themeColor="text1"/>
        </w:rPr>
        <w:t>En cohérence avec les Normes internationales de l’IIA (2024) sur l’indépendance et l’objectivité, un mécanisme de financement dédié aux missions sur le terrain est actuellement à l’étude, afin de consolider l’indépendance organisationnelle et l’impartialité du Service d’audit interne</w:t>
      </w:r>
    </w:p>
    <w:p w14:paraId="41D57BF5" w14:textId="2B643B3C" w:rsidR="0021517D" w:rsidRPr="00ED1A85" w:rsidRDefault="009E395C" w:rsidP="009E395C">
      <w:pPr>
        <w:pStyle w:val="Paragraphe"/>
        <w:spacing w:after="120"/>
        <w:rPr>
          <w:color w:val="000000" w:themeColor="text1"/>
        </w:rPr>
      </w:pPr>
      <w:r w:rsidRPr="00ED1A85">
        <w:rPr>
          <w:color w:val="000000" w:themeColor="text1"/>
        </w:rPr>
        <w:t>La période 2026–2028 marquera la consolidation du rôle stratégique du Service d’audit interne (SAI) dans la gouvernance, la transparence et la performance institutionnelle de la COI.</w:t>
      </w:r>
    </w:p>
    <w:p w14:paraId="271494B9" w14:textId="0A268F25" w:rsidR="00531E35" w:rsidRPr="00ED1A85" w:rsidRDefault="00531E35" w:rsidP="009E395C">
      <w:pPr>
        <w:pStyle w:val="Paragraphe"/>
        <w:spacing w:after="120"/>
        <w:rPr>
          <w:b/>
          <w:bCs/>
          <w:color w:val="000000" w:themeColor="text1"/>
        </w:rPr>
      </w:pPr>
      <w:r w:rsidRPr="00ED1A85">
        <w:rPr>
          <w:color w:val="000000" w:themeColor="text1"/>
        </w:rPr>
        <w:t xml:space="preserve">L’audit interne vise à devenir un </w:t>
      </w:r>
      <w:r w:rsidRPr="00ED1A85">
        <w:rPr>
          <w:b/>
          <w:bCs/>
          <w:color w:val="000000" w:themeColor="text1"/>
        </w:rPr>
        <w:t>partenaire actif du management des risques</w:t>
      </w:r>
      <w:r w:rsidRPr="00ED1A85">
        <w:rPr>
          <w:color w:val="000000" w:themeColor="text1"/>
        </w:rPr>
        <w:t xml:space="preserve">, en </w:t>
      </w:r>
      <w:r w:rsidR="00AD66AB" w:rsidRPr="00ED1A85">
        <w:rPr>
          <w:color w:val="000000" w:themeColor="text1"/>
        </w:rPr>
        <w:t>considérant</w:t>
      </w:r>
      <w:r w:rsidRPr="00ED1A85">
        <w:rPr>
          <w:color w:val="000000" w:themeColor="text1"/>
        </w:rPr>
        <w:t xml:space="preserve"> pleinement la </w:t>
      </w:r>
      <w:r w:rsidRPr="00ED1A85">
        <w:rPr>
          <w:b/>
          <w:bCs/>
          <w:color w:val="000000" w:themeColor="text1"/>
        </w:rPr>
        <w:t>Déclaration d’appétence au risque (DAR)</w:t>
      </w:r>
      <w:r w:rsidRPr="00ED1A85">
        <w:rPr>
          <w:color w:val="000000" w:themeColor="text1"/>
        </w:rPr>
        <w:t xml:space="preserve"> dans la planification annuelle et en renforçant la coordination avec la fonction </w:t>
      </w:r>
      <w:r w:rsidRPr="00ED1A85">
        <w:rPr>
          <w:b/>
          <w:bCs/>
          <w:color w:val="000000" w:themeColor="text1"/>
        </w:rPr>
        <w:t>GRC (Gouvernance, Risques et Conformité).</w:t>
      </w:r>
    </w:p>
    <w:p w14:paraId="134B81F7" w14:textId="77777777" w:rsidR="00651CC9" w:rsidRPr="00ED1A85" w:rsidRDefault="00651CC9" w:rsidP="00651CC9">
      <w:pPr>
        <w:pStyle w:val="Paragraphe"/>
        <w:spacing w:after="0"/>
        <w:rPr>
          <w:color w:val="000000" w:themeColor="text1"/>
        </w:rPr>
      </w:pPr>
      <w:r w:rsidRPr="00ED1A85">
        <w:rPr>
          <w:color w:val="000000" w:themeColor="text1"/>
        </w:rPr>
        <w:t>Les priorités clés pour les trois prochaines années sont :</w:t>
      </w:r>
    </w:p>
    <w:p w14:paraId="04DA0891" w14:textId="338D2125" w:rsidR="00651CC9" w:rsidRPr="00ED1A85" w:rsidRDefault="00651CC9" w:rsidP="00651CC9">
      <w:pPr>
        <w:pStyle w:val="Paragraphe"/>
        <w:numPr>
          <w:ilvl w:val="0"/>
          <w:numId w:val="39"/>
        </w:numPr>
        <w:spacing w:after="0"/>
        <w:rPr>
          <w:color w:val="000000" w:themeColor="text1"/>
        </w:rPr>
      </w:pPr>
      <w:r w:rsidRPr="00ED1A85">
        <w:rPr>
          <w:b/>
          <w:bCs/>
          <w:color w:val="000000" w:themeColor="text1"/>
        </w:rPr>
        <w:t>Alignement stratégique</w:t>
      </w:r>
      <w:r w:rsidRPr="00ED1A85">
        <w:rPr>
          <w:color w:val="000000" w:themeColor="text1"/>
        </w:rPr>
        <w:t xml:space="preserve"> – Intégrer l’audit interne dans le pilotage du Plan d’actions prioritaires 2025–2029 et du programme Horizon 2030.</w:t>
      </w:r>
    </w:p>
    <w:p w14:paraId="51E14943" w14:textId="2B4C5545" w:rsidR="00651CC9" w:rsidRPr="00ED1A85" w:rsidRDefault="00651CC9" w:rsidP="00651CC9">
      <w:pPr>
        <w:pStyle w:val="Paragraphe"/>
        <w:numPr>
          <w:ilvl w:val="0"/>
          <w:numId w:val="39"/>
        </w:numPr>
        <w:spacing w:after="0"/>
        <w:rPr>
          <w:color w:val="000000" w:themeColor="text1"/>
        </w:rPr>
      </w:pPr>
      <w:r w:rsidRPr="00ED1A85">
        <w:rPr>
          <w:b/>
          <w:bCs/>
          <w:color w:val="000000" w:themeColor="text1"/>
        </w:rPr>
        <w:lastRenderedPageBreak/>
        <w:t>Gestion des risques</w:t>
      </w:r>
      <w:r w:rsidRPr="00ED1A85">
        <w:rPr>
          <w:color w:val="000000" w:themeColor="text1"/>
        </w:rPr>
        <w:t xml:space="preserve"> – Adapter le plan d’audit aux tolérances de risque fixées (DAR) et assurer une couverture de 100 % des risques critiques d’ici 2028.</w:t>
      </w:r>
    </w:p>
    <w:p w14:paraId="64F2147A" w14:textId="7231FA9F" w:rsidR="00651CC9" w:rsidRPr="00ED1A85" w:rsidRDefault="00651CC9" w:rsidP="00651CC9">
      <w:pPr>
        <w:pStyle w:val="Paragraphe"/>
        <w:numPr>
          <w:ilvl w:val="0"/>
          <w:numId w:val="39"/>
        </w:numPr>
        <w:spacing w:after="0"/>
        <w:rPr>
          <w:color w:val="000000" w:themeColor="text1"/>
        </w:rPr>
      </w:pPr>
      <w:r w:rsidRPr="00ED1A85">
        <w:rPr>
          <w:b/>
          <w:bCs/>
          <w:color w:val="000000" w:themeColor="text1"/>
        </w:rPr>
        <w:t>Digitalisation</w:t>
      </w:r>
      <w:r w:rsidRPr="00ED1A85">
        <w:rPr>
          <w:color w:val="000000" w:themeColor="text1"/>
        </w:rPr>
        <w:t xml:space="preserve"> – Automatiser les tests de conformité et instaurer un tableau de bord d’audit interactif pour le Comité d’audit et des risques.</w:t>
      </w:r>
    </w:p>
    <w:p w14:paraId="36087B24" w14:textId="04052436" w:rsidR="00651CC9" w:rsidRPr="00ED1A85" w:rsidRDefault="00651CC9" w:rsidP="00651CC9">
      <w:pPr>
        <w:pStyle w:val="Paragraphe"/>
        <w:numPr>
          <w:ilvl w:val="0"/>
          <w:numId w:val="39"/>
        </w:numPr>
        <w:spacing w:after="0"/>
        <w:rPr>
          <w:color w:val="000000" w:themeColor="text1"/>
        </w:rPr>
      </w:pPr>
      <w:r w:rsidRPr="00ED1A85">
        <w:rPr>
          <w:b/>
          <w:bCs/>
          <w:color w:val="000000" w:themeColor="text1"/>
        </w:rPr>
        <w:t>Qualité et conformité</w:t>
      </w:r>
      <w:r w:rsidRPr="00ED1A85">
        <w:rPr>
          <w:color w:val="000000" w:themeColor="text1"/>
        </w:rPr>
        <w:t xml:space="preserve"> – Réaliser une autoévaluation annuelle, préparer l’évaluation externe (EQA</w:t>
      </w:r>
      <w:r w:rsidR="00324F7E" w:rsidRPr="00ED1A85">
        <w:rPr>
          <w:color w:val="000000" w:themeColor="text1"/>
        </w:rPr>
        <w:t>),</w:t>
      </w:r>
      <w:r w:rsidRPr="00ED1A85">
        <w:rPr>
          <w:color w:val="000000" w:themeColor="text1"/>
        </w:rPr>
        <w:t xml:space="preserve"> et assurer la conformité aux Normes IIA 2024.</w:t>
      </w:r>
    </w:p>
    <w:p w14:paraId="1873D974" w14:textId="619FAF2E" w:rsidR="00651CC9" w:rsidRPr="00ED1A85" w:rsidRDefault="00651CC9" w:rsidP="00651CC9">
      <w:pPr>
        <w:pStyle w:val="Paragraphe"/>
        <w:numPr>
          <w:ilvl w:val="0"/>
          <w:numId w:val="39"/>
        </w:numPr>
        <w:spacing w:after="0"/>
        <w:rPr>
          <w:color w:val="000000" w:themeColor="text1"/>
        </w:rPr>
      </w:pPr>
      <w:r w:rsidRPr="00ED1A85">
        <w:rPr>
          <w:b/>
          <w:bCs/>
          <w:color w:val="000000" w:themeColor="text1"/>
        </w:rPr>
        <w:t>Professionnalisation</w:t>
      </w:r>
      <w:r w:rsidRPr="00ED1A85">
        <w:rPr>
          <w:color w:val="000000" w:themeColor="text1"/>
        </w:rPr>
        <w:t xml:space="preserve"> – Renforcer les compétences des auditeurs à travers les certifications </w:t>
      </w:r>
      <w:r w:rsidR="00AD66AB" w:rsidRPr="00ED1A85">
        <w:rPr>
          <w:color w:val="000000" w:themeColor="text1"/>
        </w:rPr>
        <w:t>professionnelles</w:t>
      </w:r>
      <w:r w:rsidRPr="00ED1A85">
        <w:rPr>
          <w:color w:val="000000" w:themeColor="text1"/>
        </w:rPr>
        <w:t xml:space="preserve"> et la formation continue.</w:t>
      </w:r>
    </w:p>
    <w:p w14:paraId="0FD8A45D" w14:textId="1CEB5ACD" w:rsidR="00651CC9" w:rsidRPr="00ED1A85" w:rsidRDefault="00651CC9" w:rsidP="00651CC9">
      <w:pPr>
        <w:pStyle w:val="Paragraphe"/>
        <w:numPr>
          <w:ilvl w:val="0"/>
          <w:numId w:val="39"/>
        </w:numPr>
        <w:spacing w:after="0"/>
        <w:rPr>
          <w:color w:val="000000" w:themeColor="text1"/>
        </w:rPr>
      </w:pPr>
      <w:r w:rsidRPr="00ED1A85">
        <w:rPr>
          <w:b/>
          <w:bCs/>
          <w:color w:val="000000" w:themeColor="text1"/>
        </w:rPr>
        <w:t>Coordination institutionnelle</w:t>
      </w:r>
      <w:r w:rsidRPr="00ED1A85">
        <w:rPr>
          <w:color w:val="000000" w:themeColor="text1"/>
        </w:rPr>
        <w:t xml:space="preserve"> – Renforcer la collaboration avec le SG, les OPL et le CAR pour un </w:t>
      </w:r>
      <w:proofErr w:type="spellStart"/>
      <w:r w:rsidRPr="00ED1A85">
        <w:rPr>
          <w:color w:val="000000" w:themeColor="text1"/>
        </w:rPr>
        <w:t>reporting</w:t>
      </w:r>
      <w:proofErr w:type="spellEnd"/>
      <w:r w:rsidRPr="00ED1A85">
        <w:rPr>
          <w:color w:val="000000" w:themeColor="text1"/>
        </w:rPr>
        <w:t xml:space="preserve"> consolidé Audit–GRC–Finances.</w:t>
      </w:r>
    </w:p>
    <w:p w14:paraId="13526173" w14:textId="5B89A11C" w:rsidR="00531E35" w:rsidRPr="00ED1A85" w:rsidRDefault="00651CC9" w:rsidP="00651CC9">
      <w:pPr>
        <w:pStyle w:val="Paragraphe"/>
        <w:numPr>
          <w:ilvl w:val="0"/>
          <w:numId w:val="39"/>
        </w:numPr>
        <w:spacing w:after="0"/>
        <w:rPr>
          <w:color w:val="000000" w:themeColor="text1"/>
        </w:rPr>
      </w:pPr>
      <w:r w:rsidRPr="00ED1A85">
        <w:rPr>
          <w:b/>
          <w:bCs/>
          <w:color w:val="000000" w:themeColor="text1"/>
        </w:rPr>
        <w:t>Gouvernance du risque</w:t>
      </w:r>
      <w:r w:rsidRPr="00ED1A85">
        <w:rPr>
          <w:color w:val="000000" w:themeColor="text1"/>
        </w:rPr>
        <w:t xml:space="preserve"> – Harmoniser la cartographie d’audit avec le registre GRC et intégrer la DAR dans les rapports trimestriels au CAR.</w:t>
      </w:r>
    </w:p>
    <w:p w14:paraId="33261701" w14:textId="77777777" w:rsidR="004918A2" w:rsidRPr="00ED1A85" w:rsidRDefault="004918A2" w:rsidP="004918A2">
      <w:pPr>
        <w:pStyle w:val="Paragraphe"/>
        <w:spacing w:after="0"/>
        <w:ind w:left="720"/>
        <w:rPr>
          <w:color w:val="000000" w:themeColor="text1"/>
        </w:rPr>
      </w:pPr>
    </w:p>
    <w:p w14:paraId="2F7F5914" w14:textId="5F7B064E" w:rsidR="00955BB3" w:rsidRPr="00ED1A85" w:rsidRDefault="00955BB3" w:rsidP="008377BB">
      <w:pPr>
        <w:pStyle w:val="Titrepartie"/>
        <w:spacing w:after="120"/>
        <w:ind w:left="714" w:hanging="357"/>
      </w:pPr>
      <w:r w:rsidRPr="00ED1A85">
        <w:t>Proposition de décision</w:t>
      </w:r>
    </w:p>
    <w:p w14:paraId="05F1F967" w14:textId="4B04CCDB" w:rsidR="0008468B" w:rsidRPr="00ED1A85" w:rsidRDefault="0008468B" w:rsidP="005B33EE">
      <w:pPr>
        <w:pStyle w:val="Paragraphe"/>
        <w:spacing w:after="120"/>
        <w:rPr>
          <w:color w:val="000000" w:themeColor="text1"/>
        </w:rPr>
      </w:pPr>
      <w:r w:rsidRPr="00ED1A85">
        <w:rPr>
          <w:color w:val="000000" w:themeColor="text1"/>
        </w:rPr>
        <w:t>Le Comité des OPL</w:t>
      </w:r>
      <w:r w:rsidR="00A76B07" w:rsidRPr="00ED1A85">
        <w:rPr>
          <w:color w:val="000000" w:themeColor="text1"/>
        </w:rPr>
        <w:t> :</w:t>
      </w:r>
    </w:p>
    <w:p w14:paraId="2D946F0F" w14:textId="47A3D143" w:rsidR="004D40AA" w:rsidRPr="00ED1A85" w:rsidRDefault="004D40AA" w:rsidP="005B33EE">
      <w:pPr>
        <w:pStyle w:val="Paragraphe"/>
        <w:numPr>
          <w:ilvl w:val="0"/>
          <w:numId w:val="6"/>
        </w:numPr>
        <w:spacing w:after="120"/>
        <w:rPr>
          <w:color w:val="000000" w:themeColor="text1"/>
        </w:rPr>
      </w:pPr>
      <w:r w:rsidRPr="00ED1A85">
        <w:rPr>
          <w:color w:val="000000" w:themeColor="text1"/>
        </w:rPr>
        <w:t xml:space="preserve">Prend </w:t>
      </w:r>
      <w:r w:rsidR="005337A5" w:rsidRPr="00ED1A85">
        <w:rPr>
          <w:color w:val="000000" w:themeColor="text1"/>
        </w:rPr>
        <w:t>note</w:t>
      </w:r>
      <w:r w:rsidRPr="00ED1A85">
        <w:rPr>
          <w:color w:val="000000" w:themeColor="text1"/>
        </w:rPr>
        <w:t xml:space="preserve"> du procès-verbal </w:t>
      </w:r>
      <w:r w:rsidR="00FE5C0A" w:rsidRPr="00ED1A85">
        <w:rPr>
          <w:color w:val="000000" w:themeColor="text1"/>
        </w:rPr>
        <w:t xml:space="preserve">et des recommandations </w:t>
      </w:r>
      <w:r w:rsidR="00280B7A" w:rsidRPr="00ED1A85">
        <w:rPr>
          <w:color w:val="000000" w:themeColor="text1"/>
        </w:rPr>
        <w:t>issues</w:t>
      </w:r>
      <w:r w:rsidR="0034545D" w:rsidRPr="00ED1A85">
        <w:rPr>
          <w:color w:val="000000" w:themeColor="text1"/>
        </w:rPr>
        <w:t xml:space="preserve"> des</w:t>
      </w:r>
      <w:r w:rsidRPr="00ED1A85">
        <w:rPr>
          <w:color w:val="000000" w:themeColor="text1"/>
        </w:rPr>
        <w:t xml:space="preserve"> réunion</w:t>
      </w:r>
      <w:r w:rsidR="0034545D" w:rsidRPr="00ED1A85">
        <w:rPr>
          <w:color w:val="000000" w:themeColor="text1"/>
        </w:rPr>
        <w:t>s</w:t>
      </w:r>
      <w:r w:rsidRPr="00ED1A85">
        <w:rPr>
          <w:color w:val="000000" w:themeColor="text1"/>
        </w:rPr>
        <w:t xml:space="preserve"> du C</w:t>
      </w:r>
      <w:r w:rsidR="002819B5" w:rsidRPr="00ED1A85">
        <w:rPr>
          <w:color w:val="000000" w:themeColor="text1"/>
        </w:rPr>
        <w:t>omité d’Audit et des Risques (CAR)</w:t>
      </w:r>
      <w:r w:rsidR="00437FE3" w:rsidRPr="00ED1A85">
        <w:rPr>
          <w:color w:val="000000" w:themeColor="text1"/>
        </w:rPr>
        <w:t xml:space="preserve"> tenue</w:t>
      </w:r>
      <w:r w:rsidR="00C40050">
        <w:rPr>
          <w:color w:val="000000" w:themeColor="text1"/>
        </w:rPr>
        <w:t>s</w:t>
      </w:r>
      <w:r w:rsidR="00437FE3" w:rsidRPr="00ED1A85">
        <w:rPr>
          <w:color w:val="000000" w:themeColor="text1"/>
        </w:rPr>
        <w:t xml:space="preserve"> les </w:t>
      </w:r>
      <w:r w:rsidR="0034545D" w:rsidRPr="00ED1A85">
        <w:rPr>
          <w:color w:val="000000" w:themeColor="text1"/>
        </w:rPr>
        <w:t>17 juillet</w:t>
      </w:r>
      <w:r w:rsidRPr="00ED1A85">
        <w:rPr>
          <w:color w:val="000000" w:themeColor="text1"/>
        </w:rPr>
        <w:t xml:space="preserve"> 2025</w:t>
      </w:r>
      <w:r w:rsidR="00B05B56" w:rsidRPr="00ED1A85">
        <w:rPr>
          <w:color w:val="000000" w:themeColor="text1"/>
        </w:rPr>
        <w:t xml:space="preserve"> et</w:t>
      </w:r>
      <w:r w:rsidR="0034545D" w:rsidRPr="00ED1A85">
        <w:rPr>
          <w:color w:val="000000" w:themeColor="text1"/>
        </w:rPr>
        <w:t xml:space="preserve"> les 4-5 novembre 2025</w:t>
      </w:r>
      <w:r w:rsidR="00280B7A" w:rsidRPr="00ED1A85">
        <w:rPr>
          <w:color w:val="000000" w:themeColor="text1"/>
        </w:rPr>
        <w:t>,</w:t>
      </w:r>
      <w:r w:rsidR="00970636" w:rsidRPr="00ED1A85">
        <w:rPr>
          <w:color w:val="000000" w:themeColor="text1"/>
        </w:rPr>
        <w:t xml:space="preserve"> et sollicite le Secrétariat général de la COI </w:t>
      </w:r>
      <w:r w:rsidR="00934A04" w:rsidRPr="00ED1A85">
        <w:rPr>
          <w:color w:val="000000" w:themeColor="text1"/>
        </w:rPr>
        <w:t xml:space="preserve">pour </w:t>
      </w:r>
      <w:r w:rsidR="00970636" w:rsidRPr="00ED1A85">
        <w:rPr>
          <w:color w:val="000000" w:themeColor="text1"/>
        </w:rPr>
        <w:t xml:space="preserve">la mise en œuvre </w:t>
      </w:r>
      <w:r w:rsidR="00A626FE" w:rsidRPr="00ED1A85">
        <w:rPr>
          <w:color w:val="000000" w:themeColor="text1"/>
        </w:rPr>
        <w:t>effective</w:t>
      </w:r>
      <w:r w:rsidR="00970636" w:rsidRPr="00ED1A85">
        <w:rPr>
          <w:color w:val="000000" w:themeColor="text1"/>
        </w:rPr>
        <w:t xml:space="preserve"> des manuels des procédures, ainsi que l’adoption formelle d’une procédure LAB/FT (Lutte contre le blanchiment et le financement du terrorisme).</w:t>
      </w:r>
    </w:p>
    <w:p w14:paraId="0A94188C" w14:textId="489B5C7A" w:rsidR="00292E52" w:rsidRPr="00ED1A85" w:rsidRDefault="00E277C0" w:rsidP="00292E52">
      <w:pPr>
        <w:pStyle w:val="Paragraphe"/>
        <w:numPr>
          <w:ilvl w:val="0"/>
          <w:numId w:val="6"/>
        </w:numPr>
        <w:spacing w:after="120"/>
        <w:rPr>
          <w:color w:val="000000" w:themeColor="text1"/>
        </w:rPr>
      </w:pPr>
      <w:r w:rsidRPr="00ED1A85">
        <w:rPr>
          <w:color w:val="000000" w:themeColor="text1"/>
        </w:rPr>
        <w:t>Adresse ses félicitation</w:t>
      </w:r>
      <w:r w:rsidR="00E01911" w:rsidRPr="00ED1A85">
        <w:rPr>
          <w:color w:val="000000" w:themeColor="text1"/>
        </w:rPr>
        <w:t>s</w:t>
      </w:r>
      <w:r w:rsidRPr="00ED1A85">
        <w:rPr>
          <w:color w:val="000000" w:themeColor="text1"/>
        </w:rPr>
        <w:t xml:space="preserve"> au </w:t>
      </w:r>
      <w:r w:rsidR="00292E52" w:rsidRPr="00ED1A85">
        <w:rPr>
          <w:color w:val="000000" w:themeColor="text1"/>
        </w:rPr>
        <w:t xml:space="preserve">Service d’audit interne (SAI) et </w:t>
      </w:r>
      <w:r w:rsidRPr="00ED1A85">
        <w:rPr>
          <w:color w:val="000000" w:themeColor="text1"/>
        </w:rPr>
        <w:t>au</w:t>
      </w:r>
      <w:r w:rsidR="00292E52" w:rsidRPr="00ED1A85">
        <w:rPr>
          <w:color w:val="000000" w:themeColor="text1"/>
        </w:rPr>
        <w:t xml:space="preserve"> Comité d’audit et des risques (CAR) pour la qualité, la rigueur et la transparence des travaux </w:t>
      </w:r>
      <w:r w:rsidRPr="00ED1A85">
        <w:rPr>
          <w:color w:val="000000" w:themeColor="text1"/>
        </w:rPr>
        <w:t>réalisés</w:t>
      </w:r>
      <w:r w:rsidR="00292E52" w:rsidRPr="00ED1A85">
        <w:rPr>
          <w:color w:val="000000" w:themeColor="text1"/>
        </w:rPr>
        <w:t xml:space="preserve"> au cours de l’année 2025</w:t>
      </w:r>
      <w:r w:rsidR="00E96E1F" w:rsidRPr="00ED1A85">
        <w:rPr>
          <w:color w:val="000000" w:themeColor="text1"/>
        </w:rPr>
        <w:t>,</w:t>
      </w:r>
      <w:r w:rsidR="00292E52" w:rsidRPr="00ED1A85">
        <w:rPr>
          <w:color w:val="000000" w:themeColor="text1"/>
        </w:rPr>
        <w:t xml:space="preserve"> et </w:t>
      </w:r>
      <w:r w:rsidR="006E0C86" w:rsidRPr="00ED1A85">
        <w:rPr>
          <w:color w:val="000000" w:themeColor="text1"/>
        </w:rPr>
        <w:t xml:space="preserve">prend note </w:t>
      </w:r>
      <w:r w:rsidR="009E5264" w:rsidRPr="00ED1A85">
        <w:rPr>
          <w:color w:val="000000" w:themeColor="text1"/>
        </w:rPr>
        <w:t>de</w:t>
      </w:r>
      <w:r w:rsidR="00292E52" w:rsidRPr="00ED1A85">
        <w:rPr>
          <w:color w:val="000000" w:themeColor="text1"/>
        </w:rPr>
        <w:t xml:space="preserve"> l</w:t>
      </w:r>
      <w:r w:rsidR="009E5264" w:rsidRPr="00ED1A85">
        <w:rPr>
          <w:color w:val="000000" w:themeColor="text1"/>
        </w:rPr>
        <w:t>’approbation par le CAR de la</w:t>
      </w:r>
      <w:r w:rsidR="00292E52" w:rsidRPr="00ED1A85">
        <w:rPr>
          <w:color w:val="000000" w:themeColor="text1"/>
        </w:rPr>
        <w:t xml:space="preserve"> </w:t>
      </w:r>
      <w:r w:rsidR="00E96E1F" w:rsidRPr="00ED1A85">
        <w:rPr>
          <w:color w:val="000000" w:themeColor="text1"/>
        </w:rPr>
        <w:t>C</w:t>
      </w:r>
      <w:r w:rsidR="00292E52" w:rsidRPr="00ED1A85">
        <w:rPr>
          <w:color w:val="000000" w:themeColor="text1"/>
        </w:rPr>
        <w:t xml:space="preserve">harte d’audit interne révisée ainsi que </w:t>
      </w:r>
      <w:r w:rsidR="00E96E1F" w:rsidRPr="00ED1A85">
        <w:rPr>
          <w:color w:val="000000" w:themeColor="text1"/>
        </w:rPr>
        <w:t>du</w:t>
      </w:r>
      <w:r w:rsidR="00292E52" w:rsidRPr="00ED1A85">
        <w:rPr>
          <w:color w:val="000000" w:themeColor="text1"/>
        </w:rPr>
        <w:t xml:space="preserve"> plan stratégique triennal d’audit interne</w:t>
      </w:r>
      <w:r w:rsidR="009E5264" w:rsidRPr="00ED1A85">
        <w:rPr>
          <w:color w:val="000000" w:themeColor="text1"/>
        </w:rPr>
        <w:t>.</w:t>
      </w:r>
    </w:p>
    <w:p w14:paraId="6D866A5E" w14:textId="1FFA1900" w:rsidR="00E01911" w:rsidRPr="00ED1A85" w:rsidRDefault="00447409" w:rsidP="00292E52">
      <w:pPr>
        <w:pStyle w:val="Paragraphe"/>
        <w:numPr>
          <w:ilvl w:val="0"/>
          <w:numId w:val="6"/>
        </w:numPr>
        <w:spacing w:after="120"/>
        <w:rPr>
          <w:color w:val="000000" w:themeColor="text1"/>
        </w:rPr>
      </w:pPr>
      <w:r w:rsidRPr="00ED1A85">
        <w:rPr>
          <w:color w:val="000000" w:themeColor="text1"/>
        </w:rPr>
        <w:t>Après la proposition du comité d’audit et des risques, valide</w:t>
      </w:r>
      <w:r w:rsidR="00681CC0" w:rsidRPr="00ED1A85">
        <w:rPr>
          <w:color w:val="000000" w:themeColor="text1"/>
        </w:rPr>
        <w:t xml:space="preserve"> la nomination d’Ernst &amp; Young en tant que Commissaire aux comptes de la COI pour les exercices 2025 à 2027.</w:t>
      </w:r>
    </w:p>
    <w:p w14:paraId="75454008" w14:textId="77777777" w:rsidR="0089750A" w:rsidRPr="00ED1A85" w:rsidRDefault="0089750A" w:rsidP="0089750A">
      <w:pPr>
        <w:pStyle w:val="Paragraphe"/>
        <w:spacing w:after="120"/>
        <w:ind w:left="360"/>
        <w:rPr>
          <w:color w:val="000000" w:themeColor="text1"/>
        </w:rPr>
      </w:pPr>
    </w:p>
    <w:p w14:paraId="5FE9E9D5" w14:textId="77777777" w:rsidR="00000BDB" w:rsidRPr="00ED1A85" w:rsidRDefault="00552EE4" w:rsidP="00000BDB">
      <w:pPr>
        <w:pStyle w:val="Titrepartie"/>
        <w:spacing w:after="120"/>
        <w:ind w:left="714" w:hanging="357"/>
      </w:pPr>
      <w:r w:rsidRPr="00ED1A85">
        <w:t xml:space="preserve"> </w:t>
      </w:r>
      <w:r w:rsidR="00000BDB" w:rsidRPr="00ED1A85">
        <w:t>Rappel des décisions antérieures</w:t>
      </w:r>
    </w:p>
    <w:p w14:paraId="0752B662" w14:textId="26BA78CB" w:rsidR="00521FEE" w:rsidRPr="00ED1A85" w:rsidRDefault="009B2293" w:rsidP="007318F5">
      <w:pPr>
        <w:pStyle w:val="Paragraphe"/>
        <w:spacing w:after="120"/>
        <w:ind w:left="360"/>
        <w:rPr>
          <w:color w:val="000000" w:themeColor="text1"/>
        </w:rPr>
      </w:pPr>
      <w:r w:rsidRPr="00ED1A85">
        <w:rPr>
          <w:color w:val="000000" w:themeColor="text1"/>
        </w:rPr>
        <w:t xml:space="preserve">Lors du </w:t>
      </w:r>
      <w:r w:rsidR="00EB72C5" w:rsidRPr="00ED1A85">
        <w:rPr>
          <w:color w:val="000000" w:themeColor="text1"/>
        </w:rPr>
        <w:t>39</w:t>
      </w:r>
      <w:r w:rsidR="00EB72C5" w:rsidRPr="00ED1A85">
        <w:rPr>
          <w:color w:val="000000" w:themeColor="text1"/>
          <w:vertAlign w:val="superscript"/>
        </w:rPr>
        <w:t>ème</w:t>
      </w:r>
      <w:r w:rsidR="00EB72C5" w:rsidRPr="00ED1A85">
        <w:rPr>
          <w:color w:val="000000" w:themeColor="text1"/>
        </w:rPr>
        <w:t xml:space="preserve"> conseil des ministres de la COI</w:t>
      </w:r>
      <w:r w:rsidRPr="00ED1A85">
        <w:rPr>
          <w:color w:val="000000" w:themeColor="text1"/>
        </w:rPr>
        <w:t xml:space="preserve">, le conseil des ministres : </w:t>
      </w:r>
    </w:p>
    <w:p w14:paraId="1D357F1F" w14:textId="77777777" w:rsidR="00EB72C5" w:rsidRPr="00ED1A85" w:rsidRDefault="00EB72C5" w:rsidP="007318F5">
      <w:pPr>
        <w:pStyle w:val="Paragraphe"/>
        <w:spacing w:after="120"/>
        <w:ind w:left="360"/>
        <w:rPr>
          <w:color w:val="000000" w:themeColor="text1"/>
        </w:rPr>
      </w:pPr>
    </w:p>
    <w:p w14:paraId="7C403976" w14:textId="50ED0BE2" w:rsidR="00EB72C5" w:rsidRPr="00ED1A85" w:rsidRDefault="00EB72C5" w:rsidP="00934A04">
      <w:pPr>
        <w:pStyle w:val="Paragraphe"/>
        <w:numPr>
          <w:ilvl w:val="0"/>
          <w:numId w:val="42"/>
        </w:numPr>
        <w:spacing w:after="0" w:line="240" w:lineRule="auto"/>
        <w:ind w:left="851" w:hanging="491"/>
        <w:rPr>
          <w:b/>
          <w:bCs/>
        </w:rPr>
      </w:pPr>
      <w:r w:rsidRPr="00ED1A85">
        <w:rPr>
          <w:b/>
          <w:bCs/>
        </w:rPr>
        <w:t>Prend note du procès-verbal et des recommandations de la réunion du Comité d’Audit et des Risques (CAR), tenue les 25-26 mars 2025 et demande au Secrétariat général d’observer ces recommandations.</w:t>
      </w:r>
    </w:p>
    <w:p w14:paraId="6BA99B47" w14:textId="7FEE234B" w:rsidR="00EB72C5" w:rsidRPr="00ED1A85" w:rsidRDefault="0004392C" w:rsidP="00934A04">
      <w:pPr>
        <w:pStyle w:val="Corpsdetexte"/>
        <w:ind w:left="851" w:hanging="491"/>
        <w:jc w:val="both"/>
      </w:pPr>
      <w:r w:rsidRPr="00ED1A85">
        <w:t>(...)</w:t>
      </w:r>
    </w:p>
    <w:p w14:paraId="64B6E954" w14:textId="551A20A5" w:rsidR="00EB72C5" w:rsidRPr="00ED1A85" w:rsidRDefault="0004392C" w:rsidP="00934A04">
      <w:pPr>
        <w:pStyle w:val="Paragraphe"/>
        <w:spacing w:after="0" w:line="240" w:lineRule="auto"/>
        <w:ind w:left="851" w:hanging="491"/>
        <w:rPr>
          <w:b/>
          <w:bCs/>
          <w:color w:val="000000" w:themeColor="text1"/>
        </w:rPr>
      </w:pPr>
      <w:r w:rsidRPr="00ED1A85">
        <w:rPr>
          <w:b/>
          <w:bCs/>
        </w:rPr>
        <w:t xml:space="preserve">d) </w:t>
      </w:r>
      <w:r w:rsidR="00EB72C5" w:rsidRPr="00ED1A85">
        <w:rPr>
          <w:b/>
          <w:bCs/>
        </w:rPr>
        <w:t>Demande au Secrétariat général et aux projets de la COI d’intégrer systématiquement dans leurs prévisions financières une ligne budgétaire spécifique dédiée aux missions d’audit interne, conformément aux normes internationales, afin de garantir l’indépendance et l’efficacité du service</w:t>
      </w:r>
    </w:p>
    <w:p w14:paraId="221403B6" w14:textId="77777777" w:rsidR="00EB72C5" w:rsidRPr="00ED1A85" w:rsidRDefault="00EB72C5" w:rsidP="007318F5">
      <w:pPr>
        <w:pStyle w:val="Paragraphe"/>
        <w:spacing w:after="120"/>
        <w:ind w:left="360"/>
        <w:rPr>
          <w:color w:val="000000" w:themeColor="text1"/>
        </w:rPr>
      </w:pPr>
    </w:p>
    <w:bookmarkEnd w:id="0"/>
    <w:p w14:paraId="1D6F1669" w14:textId="72833CAD" w:rsidR="00417683" w:rsidRPr="00ED1A85" w:rsidRDefault="00417683" w:rsidP="008377BB">
      <w:pPr>
        <w:pStyle w:val="Titrepartie"/>
        <w:spacing w:after="120"/>
        <w:ind w:left="714" w:hanging="357"/>
      </w:pPr>
      <w:r w:rsidRPr="00ED1A85">
        <w:t>Annexe</w:t>
      </w:r>
      <w:r w:rsidR="008F173C" w:rsidRPr="00ED1A85">
        <w:t>s</w:t>
      </w:r>
      <w:r w:rsidRPr="00ED1A85">
        <w:t> :</w:t>
      </w:r>
    </w:p>
    <w:p w14:paraId="19834016" w14:textId="5AA6CC73" w:rsidR="007228BF" w:rsidRPr="00ED1A85" w:rsidRDefault="007228BF" w:rsidP="00D52FD7">
      <w:pPr>
        <w:pStyle w:val="Paragraphe"/>
        <w:numPr>
          <w:ilvl w:val="0"/>
          <w:numId w:val="40"/>
        </w:numPr>
        <w:spacing w:after="0"/>
        <w:rPr>
          <w:color w:val="000000" w:themeColor="text1"/>
        </w:rPr>
      </w:pPr>
      <w:r w:rsidRPr="00ED1A85">
        <w:rPr>
          <w:color w:val="000000" w:themeColor="text1"/>
        </w:rPr>
        <w:t xml:space="preserve">Annexe 1 : Procès-verbal de la réunion du CAR </w:t>
      </w:r>
      <w:r w:rsidR="005337A5" w:rsidRPr="00ED1A85">
        <w:rPr>
          <w:color w:val="000000" w:themeColor="text1"/>
        </w:rPr>
        <w:t>17</w:t>
      </w:r>
      <w:r w:rsidRPr="00ED1A85">
        <w:rPr>
          <w:color w:val="000000" w:themeColor="text1"/>
        </w:rPr>
        <w:t xml:space="preserve"> </w:t>
      </w:r>
      <w:r w:rsidR="005337A5" w:rsidRPr="00ED1A85">
        <w:rPr>
          <w:color w:val="000000" w:themeColor="text1"/>
        </w:rPr>
        <w:t>juillet</w:t>
      </w:r>
      <w:r w:rsidRPr="00ED1A85">
        <w:rPr>
          <w:color w:val="000000" w:themeColor="text1"/>
        </w:rPr>
        <w:t xml:space="preserve"> 2025</w:t>
      </w:r>
    </w:p>
    <w:p w14:paraId="527BB808" w14:textId="76685687" w:rsidR="005337A5" w:rsidRPr="00ED1A85" w:rsidRDefault="005337A5" w:rsidP="00D52FD7">
      <w:pPr>
        <w:pStyle w:val="Paragraphe"/>
        <w:numPr>
          <w:ilvl w:val="0"/>
          <w:numId w:val="40"/>
        </w:numPr>
        <w:spacing w:after="0"/>
        <w:rPr>
          <w:color w:val="000000" w:themeColor="text1"/>
        </w:rPr>
      </w:pPr>
      <w:r w:rsidRPr="00ED1A85">
        <w:rPr>
          <w:color w:val="000000" w:themeColor="text1"/>
        </w:rPr>
        <w:t>Annexe 2 : Procès-verbal de la réunion du CAR 04-05 novembre 2025</w:t>
      </w:r>
    </w:p>
    <w:p w14:paraId="374F3417" w14:textId="5A28CB97" w:rsidR="00C325F5" w:rsidRPr="00ED1A85" w:rsidRDefault="00620B90" w:rsidP="00D52FD7">
      <w:pPr>
        <w:pStyle w:val="Paragraphe"/>
        <w:numPr>
          <w:ilvl w:val="0"/>
          <w:numId w:val="40"/>
        </w:numPr>
        <w:spacing w:after="0"/>
        <w:rPr>
          <w:color w:val="000000" w:themeColor="text1"/>
        </w:rPr>
      </w:pPr>
      <w:r w:rsidRPr="00ED1A85">
        <w:rPr>
          <w:color w:val="000000" w:themeColor="text1"/>
        </w:rPr>
        <w:t xml:space="preserve">Annexe </w:t>
      </w:r>
      <w:r w:rsidR="005F342A" w:rsidRPr="00ED1A85">
        <w:rPr>
          <w:color w:val="000000" w:themeColor="text1"/>
        </w:rPr>
        <w:t>3</w:t>
      </w:r>
      <w:r w:rsidRPr="00ED1A85">
        <w:rPr>
          <w:color w:val="000000" w:themeColor="text1"/>
        </w:rPr>
        <w:t> :</w:t>
      </w:r>
      <w:r w:rsidR="00353ABF" w:rsidRPr="00ED1A85">
        <w:rPr>
          <w:color w:val="000000" w:themeColor="text1"/>
        </w:rPr>
        <w:t xml:space="preserve"> </w:t>
      </w:r>
      <w:r w:rsidR="00792416" w:rsidRPr="00ED1A85">
        <w:rPr>
          <w:color w:val="000000" w:themeColor="text1"/>
        </w:rPr>
        <w:t>Charte d’audit interne révisé</w:t>
      </w:r>
      <w:r w:rsidR="000B2F46" w:rsidRPr="00ED1A85">
        <w:rPr>
          <w:color w:val="000000" w:themeColor="text1"/>
        </w:rPr>
        <w:t>e</w:t>
      </w:r>
      <w:r w:rsidR="00792416" w:rsidRPr="00ED1A85">
        <w:rPr>
          <w:color w:val="000000" w:themeColor="text1"/>
        </w:rPr>
        <w:t xml:space="preserve"> novembre 2025</w:t>
      </w:r>
    </w:p>
    <w:p w14:paraId="73667700" w14:textId="3009DEE7" w:rsidR="00792416" w:rsidRPr="00ED1A85" w:rsidRDefault="00620B90" w:rsidP="00D52FD7">
      <w:pPr>
        <w:pStyle w:val="Paragraphe"/>
        <w:numPr>
          <w:ilvl w:val="0"/>
          <w:numId w:val="40"/>
        </w:numPr>
        <w:spacing w:after="0"/>
        <w:rPr>
          <w:color w:val="000000" w:themeColor="text1"/>
        </w:rPr>
      </w:pPr>
      <w:r w:rsidRPr="00ED1A85">
        <w:rPr>
          <w:color w:val="000000" w:themeColor="text1"/>
        </w:rPr>
        <w:t xml:space="preserve">Annexe </w:t>
      </w:r>
      <w:r w:rsidR="005F342A" w:rsidRPr="00ED1A85">
        <w:rPr>
          <w:color w:val="000000" w:themeColor="text1"/>
        </w:rPr>
        <w:t>4</w:t>
      </w:r>
      <w:r w:rsidRPr="00ED1A85">
        <w:rPr>
          <w:color w:val="000000" w:themeColor="text1"/>
        </w:rPr>
        <w:t xml:space="preserve"> : </w:t>
      </w:r>
      <w:r w:rsidR="00792416" w:rsidRPr="00ED1A85">
        <w:rPr>
          <w:color w:val="000000" w:themeColor="text1"/>
        </w:rPr>
        <w:t>Plan stratégique triennal d’audit interne</w:t>
      </w:r>
      <w:r w:rsidR="003C5B06" w:rsidRPr="00ED1A85">
        <w:rPr>
          <w:color w:val="000000" w:themeColor="text1"/>
        </w:rPr>
        <w:t xml:space="preserve"> 2026-2028</w:t>
      </w:r>
    </w:p>
    <w:sectPr w:rsidR="00792416" w:rsidRPr="00ED1A85" w:rsidSect="000147BC">
      <w:headerReference w:type="default" r:id="rId9"/>
      <w:footerReference w:type="default" r:id="rId10"/>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4C852" w14:textId="77777777" w:rsidR="008B3D93" w:rsidRDefault="008B3D93">
      <w:pPr>
        <w:spacing w:after="0" w:line="240" w:lineRule="auto"/>
      </w:pPr>
      <w:r>
        <w:separator/>
      </w:r>
    </w:p>
  </w:endnote>
  <w:endnote w:type="continuationSeparator" w:id="0">
    <w:p w14:paraId="1BDE401C" w14:textId="77777777" w:rsidR="008B3D93" w:rsidRDefault="008B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4E52" w14:textId="77777777" w:rsidR="008B3D93" w:rsidRDefault="008B3D93">
      <w:pPr>
        <w:spacing w:after="0" w:line="240" w:lineRule="auto"/>
      </w:pPr>
      <w:r>
        <w:separator/>
      </w:r>
    </w:p>
  </w:footnote>
  <w:footnote w:type="continuationSeparator" w:id="0">
    <w:p w14:paraId="7C304FE1" w14:textId="77777777" w:rsidR="008B3D93" w:rsidRDefault="008B3D93">
      <w:pPr>
        <w:spacing w:after="0" w:line="240" w:lineRule="auto"/>
      </w:pPr>
      <w:r>
        <w:continuationSeparator/>
      </w:r>
    </w:p>
  </w:footnote>
  <w:footnote w:id="1">
    <w:p w14:paraId="7F76750B" w14:textId="77777777" w:rsidR="004918A2" w:rsidRDefault="004918A2" w:rsidP="004918A2">
      <w:pPr>
        <w:pStyle w:val="Notedebasdepage"/>
      </w:pPr>
      <w:r>
        <w:rPr>
          <w:rStyle w:val="Appelnotedebasdep"/>
        </w:rPr>
        <w:footnoteRef/>
      </w:r>
      <w:r>
        <w:t xml:space="preserve"> Recommandations partiellement implémentées, à implémenter et en cours d’implémentation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13F97F59"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BC55B5">
      <w:rPr>
        <w:rFonts w:ascii="Verdana" w:hAnsi="Verdana"/>
        <w:b/>
        <w:bCs/>
        <w:sz w:val="20"/>
        <w:szCs w:val="20"/>
      </w:rPr>
      <w:t>3.</w:t>
    </w:r>
    <w:r w:rsidR="006D4B96">
      <w:rPr>
        <w:rFonts w:ascii="Verdana" w:hAnsi="Verdana"/>
        <w:b/>
        <w:bCs/>
        <w:sz w:val="20"/>
        <w:szCs w:val="20"/>
      </w:rPr>
      <w:t>4</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47B"/>
    <w:multiLevelType w:val="hybridMultilevel"/>
    <w:tmpl w:val="31C23D3A"/>
    <w:lvl w:ilvl="0" w:tplc="AE78B2F0">
      <w:start w:val="4"/>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934987"/>
    <w:multiLevelType w:val="multilevel"/>
    <w:tmpl w:val="67E4FBC2"/>
    <w:lvl w:ilvl="0">
      <w:start w:val="19"/>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4A7849"/>
    <w:multiLevelType w:val="multilevel"/>
    <w:tmpl w:val="9BE0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6417C6B"/>
    <w:multiLevelType w:val="multilevel"/>
    <w:tmpl w:val="D62A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DB375B"/>
    <w:multiLevelType w:val="multilevel"/>
    <w:tmpl w:val="34226D44"/>
    <w:lvl w:ilvl="0">
      <w:start w:val="19"/>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703DF8"/>
    <w:multiLevelType w:val="hybridMultilevel"/>
    <w:tmpl w:val="0FAA5BB0"/>
    <w:lvl w:ilvl="0" w:tplc="AE78B2F0">
      <w:start w:val="4"/>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9E6254"/>
    <w:multiLevelType w:val="hybridMultilevel"/>
    <w:tmpl w:val="EBDAC844"/>
    <w:lvl w:ilvl="0" w:tplc="646CE7A2">
      <w:start w:val="3"/>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F36489"/>
    <w:multiLevelType w:val="multilevel"/>
    <w:tmpl w:val="A3A80700"/>
    <w:lvl w:ilvl="0">
      <w:start w:val="19"/>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85A77"/>
    <w:multiLevelType w:val="hybridMultilevel"/>
    <w:tmpl w:val="C12C4568"/>
    <w:lvl w:ilvl="0" w:tplc="16F06666">
      <w:start w:val="19"/>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33C184F"/>
    <w:multiLevelType w:val="multilevel"/>
    <w:tmpl w:val="3B849D80"/>
    <w:lvl w:ilvl="0">
      <w:start w:val="19"/>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F03319"/>
    <w:multiLevelType w:val="multilevel"/>
    <w:tmpl w:val="2222D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20880"/>
    <w:multiLevelType w:val="multilevel"/>
    <w:tmpl w:val="88DC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2263E9"/>
    <w:multiLevelType w:val="multilevel"/>
    <w:tmpl w:val="3D4CDA68"/>
    <w:lvl w:ilvl="0">
      <w:start w:val="19"/>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71209B"/>
    <w:multiLevelType w:val="hybridMultilevel"/>
    <w:tmpl w:val="DF426842"/>
    <w:lvl w:ilvl="0" w:tplc="0A048B5E">
      <w:start w:val="1"/>
      <w:numFmt w:val="lowerLetter"/>
      <w:lvlText w:val="%1)"/>
      <w:lvlJc w:val="left"/>
      <w:pPr>
        <w:ind w:left="720" w:hanging="360"/>
      </w:pPr>
      <w:rPr>
        <w:rFonts w:ascii="Verdana" w:eastAsiaTheme="minorHAnsi" w:hAnsi="Verdana"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466539"/>
    <w:multiLevelType w:val="hybridMultilevel"/>
    <w:tmpl w:val="274A84C2"/>
    <w:lvl w:ilvl="0" w:tplc="20000017">
      <w:start w:val="1"/>
      <w:numFmt w:val="lowerLetter"/>
      <w:lvlText w:val="%1)"/>
      <w:lvlJc w:val="left"/>
      <w:pPr>
        <w:ind w:left="795" w:hanging="360"/>
      </w:pPr>
    </w:lvl>
    <w:lvl w:ilvl="1" w:tplc="20000019">
      <w:start w:val="1"/>
      <w:numFmt w:val="lowerLetter"/>
      <w:lvlText w:val="%2."/>
      <w:lvlJc w:val="left"/>
      <w:pPr>
        <w:ind w:left="1515" w:hanging="360"/>
      </w:pPr>
    </w:lvl>
    <w:lvl w:ilvl="2" w:tplc="2000001B">
      <w:start w:val="1"/>
      <w:numFmt w:val="lowerRoman"/>
      <w:lvlText w:val="%3."/>
      <w:lvlJc w:val="right"/>
      <w:pPr>
        <w:ind w:left="2235" w:hanging="180"/>
      </w:pPr>
    </w:lvl>
    <w:lvl w:ilvl="3" w:tplc="2000000F">
      <w:start w:val="1"/>
      <w:numFmt w:val="decimal"/>
      <w:lvlText w:val="%4."/>
      <w:lvlJc w:val="left"/>
      <w:pPr>
        <w:ind w:left="2955" w:hanging="360"/>
      </w:pPr>
    </w:lvl>
    <w:lvl w:ilvl="4" w:tplc="20000019">
      <w:start w:val="1"/>
      <w:numFmt w:val="lowerLetter"/>
      <w:lvlText w:val="%5."/>
      <w:lvlJc w:val="left"/>
      <w:pPr>
        <w:ind w:left="3675" w:hanging="360"/>
      </w:pPr>
    </w:lvl>
    <w:lvl w:ilvl="5" w:tplc="2000001B">
      <w:start w:val="1"/>
      <w:numFmt w:val="lowerRoman"/>
      <w:lvlText w:val="%6."/>
      <w:lvlJc w:val="right"/>
      <w:pPr>
        <w:ind w:left="4395" w:hanging="180"/>
      </w:pPr>
    </w:lvl>
    <w:lvl w:ilvl="6" w:tplc="2000000F">
      <w:start w:val="1"/>
      <w:numFmt w:val="decimal"/>
      <w:lvlText w:val="%7."/>
      <w:lvlJc w:val="left"/>
      <w:pPr>
        <w:ind w:left="5115" w:hanging="360"/>
      </w:pPr>
    </w:lvl>
    <w:lvl w:ilvl="7" w:tplc="20000019">
      <w:start w:val="1"/>
      <w:numFmt w:val="lowerLetter"/>
      <w:lvlText w:val="%8."/>
      <w:lvlJc w:val="left"/>
      <w:pPr>
        <w:ind w:left="5835" w:hanging="360"/>
      </w:pPr>
    </w:lvl>
    <w:lvl w:ilvl="8" w:tplc="2000001B">
      <w:start w:val="1"/>
      <w:numFmt w:val="lowerRoman"/>
      <w:lvlText w:val="%9."/>
      <w:lvlJc w:val="right"/>
      <w:pPr>
        <w:ind w:left="6555" w:hanging="180"/>
      </w:pPr>
    </w:lvl>
  </w:abstractNum>
  <w:abstractNum w:abstractNumId="2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4C07B1"/>
    <w:multiLevelType w:val="hybridMultilevel"/>
    <w:tmpl w:val="90CA02C6"/>
    <w:lvl w:ilvl="0" w:tplc="184EE390">
      <w:numFmt w:val="bullet"/>
      <w:lvlText w:val=""/>
      <w:lvlJc w:val="left"/>
      <w:pPr>
        <w:ind w:left="820" w:hanging="460"/>
      </w:pPr>
      <w:rPr>
        <w:rFonts w:ascii="Verdana" w:eastAsiaTheme="minorHAnsi" w:hAnsi="Verdana"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C0D03CD"/>
    <w:multiLevelType w:val="hybridMultilevel"/>
    <w:tmpl w:val="AFD28460"/>
    <w:lvl w:ilvl="0" w:tplc="16F06666">
      <w:start w:val="19"/>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A04491"/>
    <w:multiLevelType w:val="multilevel"/>
    <w:tmpl w:val="8AB4B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8F1F61"/>
    <w:multiLevelType w:val="hybridMultilevel"/>
    <w:tmpl w:val="2A4E6C4C"/>
    <w:lvl w:ilvl="0" w:tplc="16F06666">
      <w:start w:val="19"/>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E8225F2"/>
    <w:multiLevelType w:val="multilevel"/>
    <w:tmpl w:val="DDC2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705207">
    <w:abstractNumId w:val="9"/>
  </w:num>
  <w:num w:numId="2" w16cid:durableId="572551036">
    <w:abstractNumId w:val="22"/>
  </w:num>
  <w:num w:numId="3" w16cid:durableId="67116555">
    <w:abstractNumId w:val="5"/>
  </w:num>
  <w:num w:numId="4" w16cid:durableId="505511381">
    <w:abstractNumId w:val="1"/>
  </w:num>
  <w:num w:numId="5" w16cid:durableId="97454550">
    <w:abstractNumId w:val="18"/>
  </w:num>
  <w:num w:numId="6" w16cid:durableId="334579643">
    <w:abstractNumId w:val="7"/>
  </w:num>
  <w:num w:numId="7" w16cid:durableId="388502112">
    <w:abstractNumId w:val="10"/>
  </w:num>
  <w:num w:numId="8" w16cid:durableId="108401980">
    <w:abstractNumId w:val="5"/>
    <w:lvlOverride w:ilvl="0">
      <w:startOverride w:val="1"/>
    </w:lvlOverride>
  </w:num>
  <w:num w:numId="9" w16cid:durableId="731852179">
    <w:abstractNumId w:val="3"/>
  </w:num>
  <w:num w:numId="10" w16cid:durableId="13309866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6218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3429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0951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9451979">
    <w:abstractNumId w:val="0"/>
  </w:num>
  <w:num w:numId="15" w16cid:durableId="1008170426">
    <w:abstractNumId w:val="5"/>
  </w:num>
  <w:num w:numId="16" w16cid:durableId="830950999">
    <w:abstractNumId w:val="11"/>
  </w:num>
  <w:num w:numId="17" w16cid:durableId="1023937141">
    <w:abstractNumId w:val="4"/>
  </w:num>
  <w:num w:numId="18" w16cid:durableId="8555763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8893736">
    <w:abstractNumId w:val="12"/>
  </w:num>
  <w:num w:numId="20" w16cid:durableId="1520242288">
    <w:abstractNumId w:val="21"/>
  </w:num>
  <w:num w:numId="21" w16cid:durableId="575827144">
    <w:abstractNumId w:val="5"/>
  </w:num>
  <w:num w:numId="22" w16cid:durableId="1835994155">
    <w:abstractNumId w:val="5"/>
  </w:num>
  <w:num w:numId="23" w16cid:durableId="1121529576">
    <w:abstractNumId w:val="5"/>
  </w:num>
  <w:num w:numId="24" w16cid:durableId="2089841639">
    <w:abstractNumId w:val="14"/>
  </w:num>
  <w:num w:numId="25" w16cid:durableId="1488665116">
    <w:abstractNumId w:val="23"/>
  </w:num>
  <w:num w:numId="26" w16cid:durableId="114175102">
    <w:abstractNumId w:val="16"/>
  </w:num>
  <w:num w:numId="27" w16cid:durableId="1060058566">
    <w:abstractNumId w:val="15"/>
  </w:num>
  <w:num w:numId="28" w16cid:durableId="1405180043">
    <w:abstractNumId w:val="8"/>
  </w:num>
  <w:num w:numId="29" w16cid:durableId="669914514">
    <w:abstractNumId w:val="25"/>
  </w:num>
  <w:num w:numId="30" w16cid:durableId="5714660">
    <w:abstractNumId w:val="17"/>
  </w:num>
  <w:num w:numId="31" w16cid:durableId="398477259">
    <w:abstractNumId w:val="6"/>
  </w:num>
  <w:num w:numId="32" w16cid:durableId="1543057917">
    <w:abstractNumId w:val="27"/>
  </w:num>
  <w:num w:numId="33" w16cid:durableId="715617254">
    <w:abstractNumId w:val="19"/>
  </w:num>
  <w:num w:numId="34" w16cid:durableId="557395926">
    <w:abstractNumId w:val="13"/>
  </w:num>
  <w:num w:numId="35" w16cid:durableId="2146460673">
    <w:abstractNumId w:val="2"/>
  </w:num>
  <w:num w:numId="36" w16cid:durableId="1738627926">
    <w:abstractNumId w:val="5"/>
  </w:num>
  <w:num w:numId="37" w16cid:durableId="685667700">
    <w:abstractNumId w:val="5"/>
  </w:num>
  <w:num w:numId="38" w16cid:durableId="686248378">
    <w:abstractNumId w:val="5"/>
  </w:num>
  <w:num w:numId="39" w16cid:durableId="2069960057">
    <w:abstractNumId w:val="26"/>
  </w:num>
  <w:num w:numId="40" w16cid:durableId="30110556">
    <w:abstractNumId w:val="24"/>
  </w:num>
  <w:num w:numId="41" w16cid:durableId="1109398433">
    <w:abstractNumId w:val="5"/>
  </w:num>
  <w:num w:numId="42" w16cid:durableId="1543400058">
    <w:abstractNumId w:val="20"/>
  </w:num>
  <w:num w:numId="43" w16cid:durableId="1412850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BDB"/>
    <w:rsid w:val="00012D77"/>
    <w:rsid w:val="000147BC"/>
    <w:rsid w:val="00017998"/>
    <w:rsid w:val="00034A67"/>
    <w:rsid w:val="000373B2"/>
    <w:rsid w:val="00042CF5"/>
    <w:rsid w:val="0004392C"/>
    <w:rsid w:val="0005219E"/>
    <w:rsid w:val="00060CA0"/>
    <w:rsid w:val="00063A26"/>
    <w:rsid w:val="000702E0"/>
    <w:rsid w:val="000772A0"/>
    <w:rsid w:val="0008468B"/>
    <w:rsid w:val="00085C12"/>
    <w:rsid w:val="000A079C"/>
    <w:rsid w:val="000A468A"/>
    <w:rsid w:val="000B0FBD"/>
    <w:rsid w:val="000B2F46"/>
    <w:rsid w:val="000B3249"/>
    <w:rsid w:val="000D7BFD"/>
    <w:rsid w:val="000F0948"/>
    <w:rsid w:val="000F4728"/>
    <w:rsid w:val="000F4A68"/>
    <w:rsid w:val="00107D9D"/>
    <w:rsid w:val="0011229F"/>
    <w:rsid w:val="001148D2"/>
    <w:rsid w:val="0011589E"/>
    <w:rsid w:val="00143FED"/>
    <w:rsid w:val="001469E5"/>
    <w:rsid w:val="00147376"/>
    <w:rsid w:val="00155FCA"/>
    <w:rsid w:val="001677E0"/>
    <w:rsid w:val="0017205F"/>
    <w:rsid w:val="001768AB"/>
    <w:rsid w:val="0018252D"/>
    <w:rsid w:val="00182C60"/>
    <w:rsid w:val="001939B1"/>
    <w:rsid w:val="00197B73"/>
    <w:rsid w:val="001A56F1"/>
    <w:rsid w:val="001B3C0D"/>
    <w:rsid w:val="001B451E"/>
    <w:rsid w:val="001B4738"/>
    <w:rsid w:val="001E0F1E"/>
    <w:rsid w:val="001E7C67"/>
    <w:rsid w:val="001F30AE"/>
    <w:rsid w:val="002027E9"/>
    <w:rsid w:val="002061D9"/>
    <w:rsid w:val="0021517D"/>
    <w:rsid w:val="00216190"/>
    <w:rsid w:val="00225915"/>
    <w:rsid w:val="0022757F"/>
    <w:rsid w:val="0023387F"/>
    <w:rsid w:val="002648FD"/>
    <w:rsid w:val="00265C8C"/>
    <w:rsid w:val="002677E7"/>
    <w:rsid w:val="002679AB"/>
    <w:rsid w:val="00276DB2"/>
    <w:rsid w:val="00280B7A"/>
    <w:rsid w:val="002819B5"/>
    <w:rsid w:val="00292E52"/>
    <w:rsid w:val="002A0124"/>
    <w:rsid w:val="002A0933"/>
    <w:rsid w:val="002A096E"/>
    <w:rsid w:val="002A2A51"/>
    <w:rsid w:val="002B6163"/>
    <w:rsid w:val="002C56ED"/>
    <w:rsid w:val="002D3945"/>
    <w:rsid w:val="002D67D3"/>
    <w:rsid w:val="002E2D1B"/>
    <w:rsid w:val="002E62FB"/>
    <w:rsid w:val="002E7563"/>
    <w:rsid w:val="002F08C3"/>
    <w:rsid w:val="002F4218"/>
    <w:rsid w:val="002F4C8F"/>
    <w:rsid w:val="002F7D65"/>
    <w:rsid w:val="00322594"/>
    <w:rsid w:val="00324F7E"/>
    <w:rsid w:val="00344266"/>
    <w:rsid w:val="0034545D"/>
    <w:rsid w:val="00352DCE"/>
    <w:rsid w:val="00353089"/>
    <w:rsid w:val="00353ABF"/>
    <w:rsid w:val="003604B9"/>
    <w:rsid w:val="00365947"/>
    <w:rsid w:val="003672D5"/>
    <w:rsid w:val="003772FB"/>
    <w:rsid w:val="00380129"/>
    <w:rsid w:val="00391152"/>
    <w:rsid w:val="00393214"/>
    <w:rsid w:val="003A39CA"/>
    <w:rsid w:val="003C2538"/>
    <w:rsid w:val="003C296F"/>
    <w:rsid w:val="003C47BC"/>
    <w:rsid w:val="003C537B"/>
    <w:rsid w:val="003C5B06"/>
    <w:rsid w:val="003D008A"/>
    <w:rsid w:val="003D025E"/>
    <w:rsid w:val="003D485F"/>
    <w:rsid w:val="003D5328"/>
    <w:rsid w:val="003D76A3"/>
    <w:rsid w:val="004019E1"/>
    <w:rsid w:val="00402354"/>
    <w:rsid w:val="004028F0"/>
    <w:rsid w:val="004061DE"/>
    <w:rsid w:val="0041278C"/>
    <w:rsid w:val="00414594"/>
    <w:rsid w:val="0041651B"/>
    <w:rsid w:val="004172C1"/>
    <w:rsid w:val="00417683"/>
    <w:rsid w:val="00426673"/>
    <w:rsid w:val="00437FE3"/>
    <w:rsid w:val="00447409"/>
    <w:rsid w:val="0045334C"/>
    <w:rsid w:val="00455175"/>
    <w:rsid w:val="004607F7"/>
    <w:rsid w:val="00463E27"/>
    <w:rsid w:val="00464EA3"/>
    <w:rsid w:val="00484CD8"/>
    <w:rsid w:val="004903DB"/>
    <w:rsid w:val="004918A2"/>
    <w:rsid w:val="00496792"/>
    <w:rsid w:val="004A017D"/>
    <w:rsid w:val="004A6AC7"/>
    <w:rsid w:val="004B40B3"/>
    <w:rsid w:val="004B4647"/>
    <w:rsid w:val="004D40AA"/>
    <w:rsid w:val="004D4429"/>
    <w:rsid w:val="004E0E52"/>
    <w:rsid w:val="004E1403"/>
    <w:rsid w:val="004F29FA"/>
    <w:rsid w:val="004F5C4B"/>
    <w:rsid w:val="005056FF"/>
    <w:rsid w:val="00521FEE"/>
    <w:rsid w:val="00522730"/>
    <w:rsid w:val="00524357"/>
    <w:rsid w:val="00531E35"/>
    <w:rsid w:val="005337A5"/>
    <w:rsid w:val="0053773D"/>
    <w:rsid w:val="00552EE4"/>
    <w:rsid w:val="005544C3"/>
    <w:rsid w:val="005753DE"/>
    <w:rsid w:val="00577B70"/>
    <w:rsid w:val="0058087C"/>
    <w:rsid w:val="00586E58"/>
    <w:rsid w:val="005B33EE"/>
    <w:rsid w:val="005B6079"/>
    <w:rsid w:val="005C06EE"/>
    <w:rsid w:val="005F2011"/>
    <w:rsid w:val="005F32EA"/>
    <w:rsid w:val="005F342A"/>
    <w:rsid w:val="005F7D03"/>
    <w:rsid w:val="006033E0"/>
    <w:rsid w:val="00614752"/>
    <w:rsid w:val="00614C29"/>
    <w:rsid w:val="00620B90"/>
    <w:rsid w:val="006310FA"/>
    <w:rsid w:val="00634694"/>
    <w:rsid w:val="006356AF"/>
    <w:rsid w:val="00647CF3"/>
    <w:rsid w:val="00650216"/>
    <w:rsid w:val="00651CC9"/>
    <w:rsid w:val="006548BF"/>
    <w:rsid w:val="00660504"/>
    <w:rsid w:val="00681CC0"/>
    <w:rsid w:val="00690200"/>
    <w:rsid w:val="006B3461"/>
    <w:rsid w:val="006C098E"/>
    <w:rsid w:val="006C7A81"/>
    <w:rsid w:val="006D4B96"/>
    <w:rsid w:val="006D63D2"/>
    <w:rsid w:val="006E0C86"/>
    <w:rsid w:val="006E2D9E"/>
    <w:rsid w:val="006F2573"/>
    <w:rsid w:val="00706706"/>
    <w:rsid w:val="00706761"/>
    <w:rsid w:val="007070FD"/>
    <w:rsid w:val="00714C9D"/>
    <w:rsid w:val="0071538C"/>
    <w:rsid w:val="007228BF"/>
    <w:rsid w:val="00730319"/>
    <w:rsid w:val="007318F5"/>
    <w:rsid w:val="0073442E"/>
    <w:rsid w:val="007364DC"/>
    <w:rsid w:val="00740B1E"/>
    <w:rsid w:val="007410CE"/>
    <w:rsid w:val="00744528"/>
    <w:rsid w:val="007547CE"/>
    <w:rsid w:val="00756819"/>
    <w:rsid w:val="00765776"/>
    <w:rsid w:val="00770533"/>
    <w:rsid w:val="00775C1C"/>
    <w:rsid w:val="00783E03"/>
    <w:rsid w:val="00784C3D"/>
    <w:rsid w:val="00792416"/>
    <w:rsid w:val="007A314C"/>
    <w:rsid w:val="007A7509"/>
    <w:rsid w:val="007B0042"/>
    <w:rsid w:val="007B245C"/>
    <w:rsid w:val="007C0145"/>
    <w:rsid w:val="007C68C7"/>
    <w:rsid w:val="007C78FC"/>
    <w:rsid w:val="007D75EF"/>
    <w:rsid w:val="007F0F26"/>
    <w:rsid w:val="007F31D7"/>
    <w:rsid w:val="007F3280"/>
    <w:rsid w:val="007F49C1"/>
    <w:rsid w:val="007F4CF3"/>
    <w:rsid w:val="007F72F2"/>
    <w:rsid w:val="00810960"/>
    <w:rsid w:val="00816D66"/>
    <w:rsid w:val="00816DAC"/>
    <w:rsid w:val="00826196"/>
    <w:rsid w:val="00826C4A"/>
    <w:rsid w:val="0083290E"/>
    <w:rsid w:val="008377BB"/>
    <w:rsid w:val="008378A3"/>
    <w:rsid w:val="00843FF2"/>
    <w:rsid w:val="008453AB"/>
    <w:rsid w:val="00854EEA"/>
    <w:rsid w:val="008551DA"/>
    <w:rsid w:val="008624D4"/>
    <w:rsid w:val="0086716E"/>
    <w:rsid w:val="008738D4"/>
    <w:rsid w:val="00875351"/>
    <w:rsid w:val="00880AB8"/>
    <w:rsid w:val="0088395F"/>
    <w:rsid w:val="00890A55"/>
    <w:rsid w:val="0089419C"/>
    <w:rsid w:val="0089750A"/>
    <w:rsid w:val="008A4229"/>
    <w:rsid w:val="008B3D93"/>
    <w:rsid w:val="008B5E3E"/>
    <w:rsid w:val="008D193F"/>
    <w:rsid w:val="008D3B5E"/>
    <w:rsid w:val="008E26C1"/>
    <w:rsid w:val="008E3354"/>
    <w:rsid w:val="008E4736"/>
    <w:rsid w:val="008E7D37"/>
    <w:rsid w:val="008F173C"/>
    <w:rsid w:val="008F4331"/>
    <w:rsid w:val="008F6946"/>
    <w:rsid w:val="009078D5"/>
    <w:rsid w:val="00911BFB"/>
    <w:rsid w:val="00912994"/>
    <w:rsid w:val="00915C3D"/>
    <w:rsid w:val="00934A04"/>
    <w:rsid w:val="0094100E"/>
    <w:rsid w:val="0094207A"/>
    <w:rsid w:val="00955BB3"/>
    <w:rsid w:val="0096241C"/>
    <w:rsid w:val="00970636"/>
    <w:rsid w:val="0098611F"/>
    <w:rsid w:val="00991B71"/>
    <w:rsid w:val="009A38AD"/>
    <w:rsid w:val="009A7ED6"/>
    <w:rsid w:val="009B2293"/>
    <w:rsid w:val="009B5D41"/>
    <w:rsid w:val="009B5DBD"/>
    <w:rsid w:val="009D1E3E"/>
    <w:rsid w:val="009E152A"/>
    <w:rsid w:val="009E395C"/>
    <w:rsid w:val="009E5264"/>
    <w:rsid w:val="009F23A9"/>
    <w:rsid w:val="00A0200E"/>
    <w:rsid w:val="00A03C44"/>
    <w:rsid w:val="00A148A1"/>
    <w:rsid w:val="00A31A6E"/>
    <w:rsid w:val="00A349AE"/>
    <w:rsid w:val="00A36C09"/>
    <w:rsid w:val="00A37C9F"/>
    <w:rsid w:val="00A41B81"/>
    <w:rsid w:val="00A431F9"/>
    <w:rsid w:val="00A4348A"/>
    <w:rsid w:val="00A4594C"/>
    <w:rsid w:val="00A471D7"/>
    <w:rsid w:val="00A51CCC"/>
    <w:rsid w:val="00A53A10"/>
    <w:rsid w:val="00A626FE"/>
    <w:rsid w:val="00A70123"/>
    <w:rsid w:val="00A74B21"/>
    <w:rsid w:val="00A76B07"/>
    <w:rsid w:val="00A81B98"/>
    <w:rsid w:val="00A82557"/>
    <w:rsid w:val="00A90305"/>
    <w:rsid w:val="00AA63A3"/>
    <w:rsid w:val="00AB19F2"/>
    <w:rsid w:val="00AB5EB7"/>
    <w:rsid w:val="00AB639C"/>
    <w:rsid w:val="00AC2A0C"/>
    <w:rsid w:val="00AD25AF"/>
    <w:rsid w:val="00AD4D97"/>
    <w:rsid w:val="00AD5B26"/>
    <w:rsid w:val="00AD66AB"/>
    <w:rsid w:val="00AE2453"/>
    <w:rsid w:val="00AF642A"/>
    <w:rsid w:val="00B05B56"/>
    <w:rsid w:val="00B05DFC"/>
    <w:rsid w:val="00B17C8E"/>
    <w:rsid w:val="00B25166"/>
    <w:rsid w:val="00B25B47"/>
    <w:rsid w:val="00B36EEA"/>
    <w:rsid w:val="00B46137"/>
    <w:rsid w:val="00B64DA8"/>
    <w:rsid w:val="00B659B7"/>
    <w:rsid w:val="00B7279A"/>
    <w:rsid w:val="00B86E36"/>
    <w:rsid w:val="00B90DB3"/>
    <w:rsid w:val="00B91160"/>
    <w:rsid w:val="00BA22DF"/>
    <w:rsid w:val="00BA41E2"/>
    <w:rsid w:val="00BA4B55"/>
    <w:rsid w:val="00BB14A1"/>
    <w:rsid w:val="00BB51C3"/>
    <w:rsid w:val="00BB707B"/>
    <w:rsid w:val="00BC0DAF"/>
    <w:rsid w:val="00BC145A"/>
    <w:rsid w:val="00BC2DB0"/>
    <w:rsid w:val="00BC55B5"/>
    <w:rsid w:val="00BD2EC9"/>
    <w:rsid w:val="00BD7A7C"/>
    <w:rsid w:val="00BE03A2"/>
    <w:rsid w:val="00BE34B8"/>
    <w:rsid w:val="00BE36BD"/>
    <w:rsid w:val="00BE37D6"/>
    <w:rsid w:val="00BE7A73"/>
    <w:rsid w:val="00C10054"/>
    <w:rsid w:val="00C12C93"/>
    <w:rsid w:val="00C12D59"/>
    <w:rsid w:val="00C16F66"/>
    <w:rsid w:val="00C325F5"/>
    <w:rsid w:val="00C35458"/>
    <w:rsid w:val="00C40050"/>
    <w:rsid w:val="00C457E8"/>
    <w:rsid w:val="00C55786"/>
    <w:rsid w:val="00C601A3"/>
    <w:rsid w:val="00C609B9"/>
    <w:rsid w:val="00C65BC8"/>
    <w:rsid w:val="00C95E30"/>
    <w:rsid w:val="00CB47F5"/>
    <w:rsid w:val="00CC39E8"/>
    <w:rsid w:val="00CD315E"/>
    <w:rsid w:val="00CD3D09"/>
    <w:rsid w:val="00CD5619"/>
    <w:rsid w:val="00CE03CA"/>
    <w:rsid w:val="00CE2386"/>
    <w:rsid w:val="00CF7D59"/>
    <w:rsid w:val="00D024DE"/>
    <w:rsid w:val="00D27FF0"/>
    <w:rsid w:val="00D31C61"/>
    <w:rsid w:val="00D42110"/>
    <w:rsid w:val="00D44261"/>
    <w:rsid w:val="00D52FD7"/>
    <w:rsid w:val="00D553AC"/>
    <w:rsid w:val="00D66E67"/>
    <w:rsid w:val="00D71513"/>
    <w:rsid w:val="00D91385"/>
    <w:rsid w:val="00D93C97"/>
    <w:rsid w:val="00DC7574"/>
    <w:rsid w:val="00DD6421"/>
    <w:rsid w:val="00DE41ED"/>
    <w:rsid w:val="00DE6EF2"/>
    <w:rsid w:val="00E01911"/>
    <w:rsid w:val="00E04835"/>
    <w:rsid w:val="00E0716D"/>
    <w:rsid w:val="00E20E5C"/>
    <w:rsid w:val="00E25EF5"/>
    <w:rsid w:val="00E277C0"/>
    <w:rsid w:val="00E32408"/>
    <w:rsid w:val="00E47167"/>
    <w:rsid w:val="00E52DED"/>
    <w:rsid w:val="00E55790"/>
    <w:rsid w:val="00E6668C"/>
    <w:rsid w:val="00E66C5F"/>
    <w:rsid w:val="00E72F81"/>
    <w:rsid w:val="00E76CFB"/>
    <w:rsid w:val="00E82F93"/>
    <w:rsid w:val="00E845D4"/>
    <w:rsid w:val="00E922BC"/>
    <w:rsid w:val="00E96A62"/>
    <w:rsid w:val="00E96E1F"/>
    <w:rsid w:val="00EA62A4"/>
    <w:rsid w:val="00EB659A"/>
    <w:rsid w:val="00EB6D4F"/>
    <w:rsid w:val="00EB72C5"/>
    <w:rsid w:val="00EC22CC"/>
    <w:rsid w:val="00EC6C08"/>
    <w:rsid w:val="00ED1A85"/>
    <w:rsid w:val="00ED6B69"/>
    <w:rsid w:val="00EE34F4"/>
    <w:rsid w:val="00EE3EE4"/>
    <w:rsid w:val="00EE44B7"/>
    <w:rsid w:val="00EF22A4"/>
    <w:rsid w:val="00EF5C89"/>
    <w:rsid w:val="00F1201F"/>
    <w:rsid w:val="00F237A0"/>
    <w:rsid w:val="00F4763F"/>
    <w:rsid w:val="00F526F8"/>
    <w:rsid w:val="00F54EA0"/>
    <w:rsid w:val="00F65527"/>
    <w:rsid w:val="00F75D28"/>
    <w:rsid w:val="00F94657"/>
    <w:rsid w:val="00F96EE9"/>
    <w:rsid w:val="00FA45BF"/>
    <w:rsid w:val="00FB0FCE"/>
    <w:rsid w:val="00FB17A0"/>
    <w:rsid w:val="00FB7F86"/>
    <w:rsid w:val="00FC47CC"/>
    <w:rsid w:val="00FD22BC"/>
    <w:rsid w:val="00FD289B"/>
    <w:rsid w:val="00FE285D"/>
    <w:rsid w:val="00FE5C0A"/>
    <w:rsid w:val="00FE6112"/>
    <w:rsid w:val="00FF4E50"/>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Corpsdetexte">
    <w:name w:val="Body Text"/>
    <w:basedOn w:val="Normal"/>
    <w:link w:val="CorpsdetexteCar"/>
    <w:uiPriority w:val="1"/>
    <w:semiHidden/>
    <w:unhideWhenUsed/>
    <w:qFormat/>
    <w:rsid w:val="00BC2DB0"/>
    <w:pPr>
      <w:widowControl w:val="0"/>
      <w:autoSpaceDE w:val="0"/>
      <w:autoSpaceDN w:val="0"/>
      <w:spacing w:after="0" w:line="240" w:lineRule="auto"/>
    </w:pPr>
    <w:rPr>
      <w:rFonts w:ascii="Verdana" w:eastAsia="Verdana" w:hAnsi="Verdana" w:cs="Verdana"/>
      <w:sz w:val="20"/>
      <w:szCs w:val="20"/>
    </w:rPr>
  </w:style>
  <w:style w:type="character" w:customStyle="1" w:styleId="CorpsdetexteCar">
    <w:name w:val="Corps de texte Car"/>
    <w:basedOn w:val="Policepardfaut"/>
    <w:link w:val="Corpsdetexte"/>
    <w:uiPriority w:val="1"/>
    <w:semiHidden/>
    <w:rsid w:val="00BC2DB0"/>
    <w:rPr>
      <w:rFonts w:ascii="Verdana" w:eastAsia="Verdana" w:hAnsi="Verdana" w:cs="Verdana"/>
      <w:sz w:val="20"/>
      <w:szCs w:val="20"/>
    </w:rPr>
  </w:style>
  <w:style w:type="paragraph" w:styleId="NormalWeb">
    <w:name w:val="Normal (Web)"/>
    <w:basedOn w:val="Normal"/>
    <w:uiPriority w:val="99"/>
    <w:unhideWhenUsed/>
    <w:rsid w:val="006C7A81"/>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4918A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918A2"/>
    <w:rPr>
      <w:sz w:val="20"/>
      <w:szCs w:val="20"/>
    </w:rPr>
  </w:style>
  <w:style w:type="character" w:styleId="Appelnotedebasdep">
    <w:name w:val="footnote reference"/>
    <w:basedOn w:val="Policepardfaut"/>
    <w:uiPriority w:val="99"/>
    <w:semiHidden/>
    <w:unhideWhenUsed/>
    <w:rsid w:val="004918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97559">
      <w:bodyDiv w:val="1"/>
      <w:marLeft w:val="0"/>
      <w:marRight w:val="0"/>
      <w:marTop w:val="0"/>
      <w:marBottom w:val="0"/>
      <w:divBdr>
        <w:top w:val="none" w:sz="0" w:space="0" w:color="auto"/>
        <w:left w:val="none" w:sz="0" w:space="0" w:color="auto"/>
        <w:bottom w:val="none" w:sz="0" w:space="0" w:color="auto"/>
        <w:right w:val="none" w:sz="0" w:space="0" w:color="auto"/>
      </w:divBdr>
      <w:divsChild>
        <w:div w:id="214976460">
          <w:marLeft w:val="0"/>
          <w:marRight w:val="0"/>
          <w:marTop w:val="0"/>
          <w:marBottom w:val="0"/>
          <w:divBdr>
            <w:top w:val="none" w:sz="0" w:space="0" w:color="auto"/>
            <w:left w:val="none" w:sz="0" w:space="0" w:color="auto"/>
            <w:bottom w:val="none" w:sz="0" w:space="0" w:color="auto"/>
            <w:right w:val="none" w:sz="0" w:space="0" w:color="auto"/>
          </w:divBdr>
          <w:divsChild>
            <w:div w:id="1044519438">
              <w:marLeft w:val="0"/>
              <w:marRight w:val="0"/>
              <w:marTop w:val="0"/>
              <w:marBottom w:val="0"/>
              <w:divBdr>
                <w:top w:val="none" w:sz="0" w:space="0" w:color="auto"/>
                <w:left w:val="none" w:sz="0" w:space="0" w:color="auto"/>
                <w:bottom w:val="none" w:sz="0" w:space="0" w:color="auto"/>
                <w:right w:val="none" w:sz="0" w:space="0" w:color="auto"/>
              </w:divBdr>
              <w:divsChild>
                <w:div w:id="10126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157389">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21372476">
      <w:bodyDiv w:val="1"/>
      <w:marLeft w:val="0"/>
      <w:marRight w:val="0"/>
      <w:marTop w:val="0"/>
      <w:marBottom w:val="0"/>
      <w:divBdr>
        <w:top w:val="none" w:sz="0" w:space="0" w:color="auto"/>
        <w:left w:val="none" w:sz="0" w:space="0" w:color="auto"/>
        <w:bottom w:val="none" w:sz="0" w:space="0" w:color="auto"/>
        <w:right w:val="none" w:sz="0" w:space="0" w:color="auto"/>
      </w:divBdr>
    </w:div>
    <w:div w:id="1115053437">
      <w:bodyDiv w:val="1"/>
      <w:marLeft w:val="0"/>
      <w:marRight w:val="0"/>
      <w:marTop w:val="0"/>
      <w:marBottom w:val="0"/>
      <w:divBdr>
        <w:top w:val="none" w:sz="0" w:space="0" w:color="auto"/>
        <w:left w:val="none" w:sz="0" w:space="0" w:color="auto"/>
        <w:bottom w:val="none" w:sz="0" w:space="0" w:color="auto"/>
        <w:right w:val="none" w:sz="0" w:space="0" w:color="auto"/>
      </w:divBdr>
    </w:div>
    <w:div w:id="1137797594">
      <w:bodyDiv w:val="1"/>
      <w:marLeft w:val="0"/>
      <w:marRight w:val="0"/>
      <w:marTop w:val="0"/>
      <w:marBottom w:val="0"/>
      <w:divBdr>
        <w:top w:val="none" w:sz="0" w:space="0" w:color="auto"/>
        <w:left w:val="none" w:sz="0" w:space="0" w:color="auto"/>
        <w:bottom w:val="none" w:sz="0" w:space="0" w:color="auto"/>
        <w:right w:val="none" w:sz="0" w:space="0" w:color="auto"/>
      </w:divBdr>
    </w:div>
    <w:div w:id="1311137743">
      <w:bodyDiv w:val="1"/>
      <w:marLeft w:val="0"/>
      <w:marRight w:val="0"/>
      <w:marTop w:val="0"/>
      <w:marBottom w:val="0"/>
      <w:divBdr>
        <w:top w:val="none" w:sz="0" w:space="0" w:color="auto"/>
        <w:left w:val="none" w:sz="0" w:space="0" w:color="auto"/>
        <w:bottom w:val="none" w:sz="0" w:space="0" w:color="auto"/>
        <w:right w:val="none" w:sz="0" w:space="0" w:color="auto"/>
      </w:divBdr>
    </w:div>
    <w:div w:id="173010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https://comoceanindien-my.sharepoint.com/personal/nirina_razafintsalama_coi-ioc_org/Documents/Dossiers%20Mission%20Audit%20Interne/Comit&#233;%20d'audit%20et%20des%20risques/Comit&#233;%20audit%202025/3.%20Novembre%202025/Point%202%20-%20Pr&#233;sentation%20des%20r&#233;sultats%20des%20AI%20r&#233;cents/1.%20Audit%20Recos__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omoceanindien-my.sharepoint.com/personal/nirina_razafintsalama_coi-ioc_org/Documents/Dossiers%20Mission%20Audit%20Interne/Comit&#233;%20d'audit%20et%20des%20risques/Comit&#233;%20audit%202025/3.%20Novembre%202025/Point%202%20-%20Pr&#233;sentation%20des%20r&#233;sultats%20des%20AI%20r&#233;cents/1.%20Audit%20Recos__m"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pivotSource>
    <c:name>[1. Audit Recos__màj_13102025.xlsx]TCD Source!Tableau croisé dynamique18</c:name>
    <c:fmtId val="-1"/>
  </c:pivotSource>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ptos" panose="020B0004020202020204" pitchFamily="34" charset="0"/>
                <a:ea typeface="+mn-ea"/>
                <a:cs typeface="+mn-cs"/>
              </a:defRPr>
            </a:pPr>
            <a:r>
              <a:rPr lang="en-US" sz="1000" b="1" i="0" u="none" strike="noStrike" kern="1200" spc="0" baseline="0">
                <a:solidFill>
                  <a:sysClr val="windowText" lastClr="000000"/>
                </a:solidFill>
                <a:latin typeface="Verdana" panose="020B0604030504040204" pitchFamily="34" charset="0"/>
                <a:ea typeface="Verdana" panose="020B0604030504040204" pitchFamily="34" charset="0"/>
              </a:rPr>
              <a:t>Situation à fin septembre 2025 - 294 Recommandations issues des projets en cours et des services opérationnels</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ptos" panose="020B0004020202020204" pitchFamily="34" charset="0"/>
              <a:ea typeface="+mn-ea"/>
              <a:cs typeface="+mn-cs"/>
            </a:defRPr>
          </a:pPr>
          <a:endParaRPr lang="fr-MU"/>
        </a:p>
      </c:txPr>
    </c:title>
    <c:autoTitleDeleted val="0"/>
    <c:pivotFmts>
      <c:pivotFmt>
        <c:idx val="0"/>
        <c:spPr>
          <a:solidFill>
            <a:srgbClr val="00B050"/>
          </a:solidFill>
          <a:ln w="28575">
            <a:solidFill>
              <a:srgbClr val="00B050"/>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FFC000"/>
          </a:solidFill>
          <a:ln w="28575">
            <a:solidFill>
              <a:schemeClr val="accent2">
                <a:lumMod val="75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FFFF00"/>
          </a:solidFill>
          <a:ln w="28575">
            <a:solidFill>
              <a:srgbClr val="00B050"/>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CCCC"/>
          </a:solidFill>
          <a:ln w="28575">
            <a:solidFill>
              <a:srgbClr val="FF0000"/>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rgbClr val="92D050"/>
          </a:solidFill>
          <a:ln w="28575">
            <a:solidFill>
              <a:schemeClr val="accent6">
                <a:lumMod val="5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rgbClr val="92D050"/>
          </a:solidFill>
          <a:ln w="28575">
            <a:solidFill>
              <a:schemeClr val="accent6">
                <a:lumMod val="50000"/>
              </a:schemeClr>
            </a:solidFill>
          </a:ln>
          <a:effectLst/>
        </c:spPr>
      </c:pivotFmt>
      <c:pivotFmt>
        <c:idx val="6"/>
        <c:spPr>
          <a:solidFill>
            <a:srgbClr val="00B050"/>
          </a:solidFill>
          <a:ln w="28575">
            <a:solidFill>
              <a:schemeClr val="accent6">
                <a:lumMod val="50000"/>
              </a:schemeClr>
            </a:solidFill>
          </a:ln>
          <a:effectLst/>
        </c:spPr>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rgbClr val="00B050"/>
          </a:solidFill>
          <a:ln w="28575">
            <a:solidFill>
              <a:srgbClr val="00B050"/>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00B050"/>
          </a:solidFill>
          <a:ln w="28575">
            <a:solidFill>
              <a:schemeClr val="accent6">
                <a:lumMod val="50000"/>
              </a:schemeClr>
            </a:solidFill>
          </a:ln>
          <a:effectLst/>
        </c:spPr>
      </c:pivotFmt>
      <c:pivotFmt>
        <c:idx val="11"/>
        <c:spPr>
          <a:solidFill>
            <a:srgbClr val="92D050"/>
          </a:solidFill>
          <a:ln w="28575">
            <a:solidFill>
              <a:schemeClr val="accent6">
                <a:lumMod val="5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rgbClr val="FFC000"/>
          </a:solidFill>
          <a:ln w="28575">
            <a:solidFill>
              <a:schemeClr val="accent2">
                <a:lumMod val="75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rgbClr val="FFFF00"/>
          </a:solidFill>
          <a:ln w="28575">
            <a:solidFill>
              <a:srgbClr val="00B050"/>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rgbClr val="FFCCCC"/>
          </a:solidFill>
          <a:ln w="28575">
            <a:solidFill>
              <a:srgbClr val="FF0000"/>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rgbClr val="00B050"/>
          </a:solidFill>
          <a:ln w="28575">
            <a:solidFill>
              <a:srgbClr val="00B050"/>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rgbClr val="00B050"/>
          </a:solidFill>
          <a:ln w="28575">
            <a:solidFill>
              <a:schemeClr val="accent6">
                <a:lumMod val="50000"/>
              </a:schemeClr>
            </a:solidFill>
          </a:ln>
          <a:effectLst/>
        </c:spPr>
      </c:pivotFmt>
      <c:pivotFmt>
        <c:idx val="17"/>
        <c:spPr>
          <a:solidFill>
            <a:srgbClr val="92D050"/>
          </a:solidFill>
          <a:ln w="28575">
            <a:solidFill>
              <a:schemeClr val="accent6">
                <a:lumMod val="5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extLst>
            <c:ext xmlns:c15="http://schemas.microsoft.com/office/drawing/2012/chart" uri="{CE6537A1-D6FC-4f65-9D91-7224C49458BB}"/>
          </c:extLst>
        </c:dLbl>
      </c:pivotFmt>
      <c:pivotFmt>
        <c:idx val="18"/>
        <c:spPr>
          <a:solidFill>
            <a:srgbClr val="FFC000"/>
          </a:solidFill>
          <a:ln w="28575">
            <a:solidFill>
              <a:schemeClr val="accent2">
                <a:lumMod val="75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rgbClr val="FFFF00"/>
          </a:solidFill>
          <a:ln w="28575">
            <a:solidFill>
              <a:srgbClr val="00B050"/>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rgbClr val="FFCCCC"/>
          </a:solidFill>
          <a:ln w="28575">
            <a:solidFill>
              <a:srgbClr val="FF0000"/>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'TCD Source'!$B$20:$B$21</c:f>
              <c:strCache>
                <c:ptCount val="1"/>
                <c:pt idx="0">
                  <c:v>Implementée</c:v>
                </c:pt>
              </c:strCache>
            </c:strRef>
          </c:tx>
          <c:spPr>
            <a:solidFill>
              <a:srgbClr val="00B050"/>
            </a:solidFill>
            <a:ln w="28575">
              <a:solidFill>
                <a:srgbClr val="00B050"/>
              </a:solidFill>
            </a:ln>
            <a:effectLst/>
          </c:spPr>
          <c:invertIfNegative val="0"/>
          <c:dPt>
            <c:idx val="1"/>
            <c:invertIfNegative val="0"/>
            <c:bubble3D val="0"/>
            <c:spPr>
              <a:solidFill>
                <a:srgbClr val="00B050"/>
              </a:solidFill>
              <a:ln w="28575">
                <a:solidFill>
                  <a:schemeClr val="accent6">
                    <a:lumMod val="50000"/>
                  </a:schemeClr>
                </a:solidFill>
              </a:ln>
              <a:effectLst/>
            </c:spPr>
            <c:extLst>
              <c:ext xmlns:c16="http://schemas.microsoft.com/office/drawing/2014/chart" uri="{C3380CC4-5D6E-409C-BE32-E72D297353CC}">
                <c16:uniqueId val="{00000001-C4BE-4609-B654-5F2274B7F93E}"/>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'TCD Source'!$A$22:$A$24</c:f>
              <c:strCache>
                <c:ptCount val="2"/>
                <c:pt idx="0">
                  <c:v>Service Audit interne</c:v>
                </c:pt>
                <c:pt idx="1">
                  <c:v>Auditeur Externe</c:v>
                </c:pt>
              </c:strCache>
            </c:strRef>
          </c:cat>
          <c:val>
            <c:numRef>
              <c:f>'TCD Source'!$B$22:$B$24</c:f>
              <c:numCache>
                <c:formatCode>General</c:formatCode>
                <c:ptCount val="2"/>
                <c:pt idx="0">
                  <c:v>29</c:v>
                </c:pt>
                <c:pt idx="1">
                  <c:v>106</c:v>
                </c:pt>
              </c:numCache>
            </c:numRef>
          </c:val>
          <c:extLst>
            <c:ext xmlns:c16="http://schemas.microsoft.com/office/drawing/2014/chart" uri="{C3380CC4-5D6E-409C-BE32-E72D297353CC}">
              <c16:uniqueId val="{00000002-C4BE-4609-B654-5F2274B7F93E}"/>
            </c:ext>
          </c:extLst>
        </c:ser>
        <c:ser>
          <c:idx val="1"/>
          <c:order val="1"/>
          <c:tx>
            <c:strRef>
              <c:f>'TCD Source'!$C$20:$C$21</c:f>
              <c:strCache>
                <c:ptCount val="1"/>
                <c:pt idx="0">
                  <c:v>Partiellement implémentée</c:v>
                </c:pt>
              </c:strCache>
            </c:strRef>
          </c:tx>
          <c:spPr>
            <a:solidFill>
              <a:srgbClr val="92D050"/>
            </a:solidFill>
            <a:ln w="28575">
              <a:solidFill>
                <a:schemeClr val="accent6">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'TCD Source'!$A$22:$A$24</c:f>
              <c:strCache>
                <c:ptCount val="2"/>
                <c:pt idx="0">
                  <c:v>Service Audit interne</c:v>
                </c:pt>
                <c:pt idx="1">
                  <c:v>Auditeur Externe</c:v>
                </c:pt>
              </c:strCache>
            </c:strRef>
          </c:cat>
          <c:val>
            <c:numRef>
              <c:f>'TCD Source'!$C$22:$C$24</c:f>
              <c:numCache>
                <c:formatCode>General</c:formatCode>
                <c:ptCount val="2"/>
                <c:pt idx="0">
                  <c:v>15</c:v>
                </c:pt>
                <c:pt idx="1">
                  <c:v>26</c:v>
                </c:pt>
              </c:numCache>
            </c:numRef>
          </c:val>
          <c:extLst>
            <c:ext xmlns:c16="http://schemas.microsoft.com/office/drawing/2014/chart" uri="{C3380CC4-5D6E-409C-BE32-E72D297353CC}">
              <c16:uniqueId val="{00000003-C4BE-4609-B654-5F2274B7F93E}"/>
            </c:ext>
          </c:extLst>
        </c:ser>
        <c:ser>
          <c:idx val="2"/>
          <c:order val="2"/>
          <c:tx>
            <c:strRef>
              <c:f>'TCD Source'!$D$20:$D$21</c:f>
              <c:strCache>
                <c:ptCount val="1"/>
                <c:pt idx="0">
                  <c:v>En cours d'implémentation</c:v>
                </c:pt>
              </c:strCache>
            </c:strRef>
          </c:tx>
          <c:spPr>
            <a:solidFill>
              <a:srgbClr val="FFC000"/>
            </a:solidFill>
            <a:ln w="28575">
              <a:solidFill>
                <a:schemeClr val="accent2">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'TCD Source'!$A$22:$A$24</c:f>
              <c:strCache>
                <c:ptCount val="2"/>
                <c:pt idx="0">
                  <c:v>Service Audit interne</c:v>
                </c:pt>
                <c:pt idx="1">
                  <c:v>Auditeur Externe</c:v>
                </c:pt>
              </c:strCache>
            </c:strRef>
          </c:cat>
          <c:val>
            <c:numRef>
              <c:f>'TCD Source'!$D$22:$D$24</c:f>
              <c:numCache>
                <c:formatCode>General</c:formatCode>
                <c:ptCount val="2"/>
                <c:pt idx="0">
                  <c:v>14</c:v>
                </c:pt>
                <c:pt idx="1">
                  <c:v>25</c:v>
                </c:pt>
              </c:numCache>
            </c:numRef>
          </c:val>
          <c:extLst>
            <c:ext xmlns:c16="http://schemas.microsoft.com/office/drawing/2014/chart" uri="{C3380CC4-5D6E-409C-BE32-E72D297353CC}">
              <c16:uniqueId val="{00000004-C4BE-4609-B654-5F2274B7F93E}"/>
            </c:ext>
          </c:extLst>
        </c:ser>
        <c:ser>
          <c:idx val="3"/>
          <c:order val="3"/>
          <c:tx>
            <c:strRef>
              <c:f>'TCD Source'!$E$20:$E$21</c:f>
              <c:strCache>
                <c:ptCount val="1"/>
                <c:pt idx="0">
                  <c:v>A implémenter</c:v>
                </c:pt>
              </c:strCache>
            </c:strRef>
          </c:tx>
          <c:spPr>
            <a:solidFill>
              <a:srgbClr val="FFFF00"/>
            </a:solidFill>
            <a:ln w="28575">
              <a:solidFill>
                <a:srgbClr val="00B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'TCD Source'!$A$22:$A$24</c:f>
              <c:strCache>
                <c:ptCount val="2"/>
                <c:pt idx="0">
                  <c:v>Service Audit interne</c:v>
                </c:pt>
                <c:pt idx="1">
                  <c:v>Auditeur Externe</c:v>
                </c:pt>
              </c:strCache>
            </c:strRef>
          </c:cat>
          <c:val>
            <c:numRef>
              <c:f>'TCD Source'!$E$22:$E$24</c:f>
              <c:numCache>
                <c:formatCode>General</c:formatCode>
                <c:ptCount val="2"/>
                <c:pt idx="0">
                  <c:v>12</c:v>
                </c:pt>
                <c:pt idx="1">
                  <c:v>26</c:v>
                </c:pt>
              </c:numCache>
            </c:numRef>
          </c:val>
          <c:extLst>
            <c:ext xmlns:c16="http://schemas.microsoft.com/office/drawing/2014/chart" uri="{C3380CC4-5D6E-409C-BE32-E72D297353CC}">
              <c16:uniqueId val="{00000005-C4BE-4609-B654-5F2274B7F93E}"/>
            </c:ext>
          </c:extLst>
        </c:ser>
        <c:ser>
          <c:idx val="4"/>
          <c:order val="4"/>
          <c:tx>
            <c:strRef>
              <c:f>'TCD Source'!$F$20:$F$21</c:f>
              <c:strCache>
                <c:ptCount val="1"/>
                <c:pt idx="0">
                  <c:v>Non implémentée</c:v>
                </c:pt>
              </c:strCache>
            </c:strRef>
          </c:tx>
          <c:spPr>
            <a:solidFill>
              <a:srgbClr val="FFCCCC"/>
            </a:solidFill>
            <a:ln w="28575">
              <a:solidFill>
                <a:srgbClr val="FF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ptos" panose="020B0004020202020204" pitchFamily="34" charset="0"/>
                    <a:ea typeface="+mn-ea"/>
                    <a:cs typeface="+mn-cs"/>
                  </a:defRPr>
                </a:pPr>
                <a:endParaRPr lang="fr-M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'TCD Source'!$A$22:$A$24</c:f>
              <c:strCache>
                <c:ptCount val="2"/>
                <c:pt idx="0">
                  <c:v>Service Audit interne</c:v>
                </c:pt>
                <c:pt idx="1">
                  <c:v>Auditeur Externe</c:v>
                </c:pt>
              </c:strCache>
            </c:strRef>
          </c:cat>
          <c:val>
            <c:numRef>
              <c:f>'TCD Source'!$F$22:$F$24</c:f>
              <c:numCache>
                <c:formatCode>General</c:formatCode>
                <c:ptCount val="2"/>
                <c:pt idx="0">
                  <c:v>3</c:v>
                </c:pt>
                <c:pt idx="1">
                  <c:v>38</c:v>
                </c:pt>
              </c:numCache>
            </c:numRef>
          </c:val>
          <c:extLst>
            <c:ext xmlns:c16="http://schemas.microsoft.com/office/drawing/2014/chart" uri="{C3380CC4-5D6E-409C-BE32-E72D297353CC}">
              <c16:uniqueId val="{00000006-C4BE-4609-B654-5F2274B7F93E}"/>
            </c:ext>
          </c:extLst>
        </c:ser>
        <c:dLbls>
          <c:showLegendKey val="0"/>
          <c:showVal val="0"/>
          <c:showCatName val="0"/>
          <c:showSerName val="0"/>
          <c:showPercent val="0"/>
          <c:showBubbleSize val="0"/>
        </c:dLbls>
        <c:gapWidth val="94"/>
        <c:overlap val="100"/>
        <c:axId val="1651897983"/>
        <c:axId val="1651881663"/>
      </c:barChart>
      <c:catAx>
        <c:axId val="16518979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ptos" panose="020B0004020202020204" pitchFamily="34" charset="0"/>
                <a:ea typeface="+mn-ea"/>
                <a:cs typeface="+mn-cs"/>
              </a:defRPr>
            </a:pPr>
            <a:endParaRPr lang="fr-MU"/>
          </a:p>
        </c:txPr>
        <c:crossAx val="1651881663"/>
        <c:crosses val="autoZero"/>
        <c:auto val="1"/>
        <c:lblAlgn val="ctr"/>
        <c:lblOffset val="100"/>
        <c:noMultiLvlLbl val="0"/>
      </c:catAx>
      <c:valAx>
        <c:axId val="1651881663"/>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ptos" panose="020B0004020202020204" pitchFamily="34" charset="0"/>
                <a:ea typeface="+mn-ea"/>
                <a:cs typeface="+mn-cs"/>
              </a:defRPr>
            </a:pPr>
            <a:endParaRPr lang="fr-MU"/>
          </a:p>
        </c:txPr>
        <c:crossAx val="1651897983"/>
        <c:crosses val="autoZero"/>
        <c:crossBetween val="between"/>
        <c:majorUnit val="20"/>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ptos" panose="020B0004020202020204" pitchFamily="34" charset="0"/>
              <a:ea typeface="+mn-ea"/>
              <a:cs typeface="+mn-cs"/>
            </a:defRPr>
          </a:pPr>
          <a:endParaRPr lang="fr-M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800">
          <a:latin typeface="Aptos" panose="020B0004020202020204" pitchFamily="34" charset="0"/>
        </a:defRPr>
      </a:pPr>
      <a:endParaRPr lang="fr-MU"/>
    </a:p>
  </c:txPr>
  <c:externalData r:id="rId3">
    <c:autoUpdate val="0"/>
  </c:externalData>
  <c:extLst>
    <c:ext xmlns:c14="http://schemas.microsoft.com/office/drawing/2007/8/2/chart" uri="{781A3756-C4B2-4CAC-9D66-4F8BD8637D16}">
      <c14:pivotOptions>
        <c14:dropZoneFilter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en-US" sz="1200" b="1" i="0" u="none" strike="noStrike" kern="1200" spc="0" baseline="0">
                <a:solidFill>
                  <a:sysClr val="windowText" lastClr="000000"/>
                </a:solidFill>
                <a:latin typeface="Verdana" panose="020B0604030504040204" pitchFamily="34" charset="0"/>
                <a:ea typeface="Verdana" panose="020B0604030504040204" pitchFamily="34" charset="0"/>
                <a:cs typeface="+mn-cs"/>
              </a:rPr>
              <a:t>Recommandations restantes par Service</a:t>
            </a:r>
          </a:p>
        </c:rich>
      </c:tx>
      <c:overlay val="0"/>
      <c:spPr>
        <a:noFill/>
        <a:ln>
          <a:noFill/>
        </a:ln>
        <a:effectLst/>
      </c:spPr>
      <c:txPr>
        <a:bodyPr rot="0" spcFirstLastPara="1" vertOverflow="ellipsis" vert="horz" wrap="square" anchor="ctr" anchorCtr="1"/>
        <a:lstStyle/>
        <a:p>
          <a:pPr>
            <a:defRPr lang="en-US" sz="12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fr-MU"/>
        </a:p>
      </c:txPr>
    </c:title>
    <c:autoTitleDeleted val="0"/>
    <c:plotArea>
      <c:layout/>
      <c:doughnutChart>
        <c:varyColors val="1"/>
        <c:ser>
          <c:idx val="0"/>
          <c:order val="0"/>
          <c:tx>
            <c:strRef>
              <c:f>'[1. Audit Recos__màj_13102025.xlsx]TCD Source'!$H$35</c:f>
              <c:strCache>
                <c:ptCount val="1"/>
                <c:pt idx="0">
                  <c:v>Recommandations non implémentées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EF-46E5-BA7E-B3207A83BC5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EF-46E5-BA7E-B3207A83BC5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8EF-46E5-BA7E-B3207A83BC5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8EF-46E5-BA7E-B3207A83BC5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8EF-46E5-BA7E-B3207A83BC5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8EF-46E5-BA7E-B3207A83BC5D}"/>
              </c:ext>
            </c:extLst>
          </c:dPt>
          <c:dPt>
            <c:idx val="6"/>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D-28EF-46E5-BA7E-B3207A83BC5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8EF-46E5-BA7E-B3207A83BC5D}"/>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ptos" panose="020B0004020202020204" pitchFamily="34" charset="0"/>
                    <a:ea typeface="+mn-ea"/>
                    <a:cs typeface="Aparajita" panose="02020603050405020304" pitchFamily="18" charset="0"/>
                  </a:defRPr>
                </a:pPr>
                <a:endParaRPr lang="fr-M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 Audit Recos__màj_13102025.xlsx]TCD Source'!$G$36:$G$43</c:f>
              <c:strCache>
                <c:ptCount val="8"/>
                <c:pt idx="0">
                  <c:v>Audit Interne</c:v>
                </c:pt>
                <c:pt idx="1">
                  <c:v>Responsable administratif et logistique</c:v>
                </c:pt>
                <c:pt idx="2">
                  <c:v>Chargé de mission</c:v>
                </c:pt>
                <c:pt idx="3">
                  <c:v>Bureau du Directeur/Secrétariat Général</c:v>
                </c:pt>
                <c:pt idx="4">
                  <c:v>Ressources Humaines</c:v>
                </c:pt>
                <c:pt idx="5">
                  <c:v>Service Marchés &amp; Contrats</c:v>
                </c:pt>
                <c:pt idx="6">
                  <c:v>Service Technologie Informatique</c:v>
                </c:pt>
                <c:pt idx="7">
                  <c:v>Service Budget et Finance</c:v>
                </c:pt>
              </c:strCache>
            </c:strRef>
          </c:cat>
          <c:val>
            <c:numRef>
              <c:f>'[1. Audit Recos__màj_13102025.xlsx]TCD Source'!$H$36:$H$43</c:f>
              <c:numCache>
                <c:formatCode>General</c:formatCode>
                <c:ptCount val="8"/>
                <c:pt idx="0">
                  <c:v>1</c:v>
                </c:pt>
                <c:pt idx="1">
                  <c:v>5</c:v>
                </c:pt>
                <c:pt idx="2">
                  <c:v>6</c:v>
                </c:pt>
                <c:pt idx="3">
                  <c:v>9</c:v>
                </c:pt>
                <c:pt idx="4">
                  <c:v>10</c:v>
                </c:pt>
                <c:pt idx="5">
                  <c:v>13</c:v>
                </c:pt>
                <c:pt idx="6">
                  <c:v>34</c:v>
                </c:pt>
                <c:pt idx="7">
                  <c:v>40</c:v>
                </c:pt>
              </c:numCache>
            </c:numRef>
          </c:val>
          <c:extLst>
            <c:ext xmlns:c16="http://schemas.microsoft.com/office/drawing/2014/chart" uri="{C3380CC4-5D6E-409C-BE32-E72D297353CC}">
              <c16:uniqueId val="{00000010-28EF-46E5-BA7E-B3207A83BC5D}"/>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5897991492355793"/>
          <c:y val="9.6292321001774206E-2"/>
          <c:w val="0.39578816760323882"/>
          <c:h val="0.90370767899822579"/>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ptos" panose="020B0004020202020204" pitchFamily="34" charset="0"/>
              <a:ea typeface="+mn-ea"/>
              <a:cs typeface="Aparajita" panose="02020603050405020304" pitchFamily="18" charset="0"/>
            </a:defRPr>
          </a:pPr>
          <a:endParaRPr lang="fr-M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Aptos" panose="020B0004020202020204" pitchFamily="34" charset="0"/>
          <a:cs typeface="Aparajita" panose="02020603050405020304" pitchFamily="18" charset="0"/>
        </a:defRPr>
      </a:pPr>
      <a:endParaRPr lang="fr-M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1320</Words>
  <Characters>7265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5</cp:revision>
  <cp:lastPrinted>2025-11-10T12:10:00Z</cp:lastPrinted>
  <dcterms:created xsi:type="dcterms:W3CDTF">2025-11-06T07:04:00Z</dcterms:created>
  <dcterms:modified xsi:type="dcterms:W3CDTF">2025-11-10T13:40:00Z</dcterms:modified>
</cp:coreProperties>
</file>