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F88B2" w14:textId="1358CC59" w:rsidR="00C12C93" w:rsidRPr="004062B4" w:rsidRDefault="00C12C93" w:rsidP="00854EEA">
      <w:pPr>
        <w:jc w:val="center"/>
        <w:rPr>
          <w:rFonts w:ascii="Verdana" w:hAnsi="Verdana"/>
          <w:b/>
          <w:bCs/>
          <w:sz w:val="2"/>
          <w:szCs w:val="2"/>
        </w:rPr>
      </w:pPr>
    </w:p>
    <w:tbl>
      <w:tblPr>
        <w:tblStyle w:val="Grilledutableau"/>
        <w:tblW w:w="0" w:type="auto"/>
        <w:tblLook w:val="04A0" w:firstRow="1" w:lastRow="0" w:firstColumn="1" w:lastColumn="0" w:noHBand="0" w:noVBand="1"/>
      </w:tblPr>
      <w:tblGrid>
        <w:gridCol w:w="7225"/>
        <w:gridCol w:w="1837"/>
      </w:tblGrid>
      <w:tr w:rsidR="00EC22CC" w:rsidRPr="004062B4" w14:paraId="51109D41" w14:textId="77777777" w:rsidTr="000E2E1E">
        <w:tc>
          <w:tcPr>
            <w:tcW w:w="9062" w:type="dxa"/>
            <w:gridSpan w:val="2"/>
          </w:tcPr>
          <w:p w14:paraId="6FC76F95" w14:textId="59CD37E5" w:rsidR="00EC22CC" w:rsidRPr="004062B4" w:rsidRDefault="009B06FC" w:rsidP="00705325">
            <w:pPr>
              <w:ind w:left="720"/>
              <w:jc w:val="center"/>
              <w:rPr>
                <w:rFonts w:ascii="Verdana" w:hAnsi="Verdana"/>
                <w:b/>
                <w:bCs/>
              </w:rPr>
            </w:pPr>
            <w:r w:rsidRPr="004062B4">
              <w:rPr>
                <w:rFonts w:ascii="Verdana" w:hAnsi="Verdana"/>
                <w:b/>
                <w:bCs/>
              </w:rPr>
              <w:t>Mise</w:t>
            </w:r>
            <w:r w:rsidR="004E56C3" w:rsidRPr="004062B4">
              <w:rPr>
                <w:rFonts w:ascii="Verdana" w:hAnsi="Verdana"/>
                <w:b/>
                <w:bCs/>
              </w:rPr>
              <w:t>s</w:t>
            </w:r>
            <w:r w:rsidRPr="004062B4">
              <w:rPr>
                <w:rFonts w:ascii="Verdana" w:hAnsi="Verdana"/>
                <w:b/>
                <w:bCs/>
              </w:rPr>
              <w:t xml:space="preserve"> à disposition</w:t>
            </w:r>
            <w:r w:rsidR="00E2774E" w:rsidRPr="004062B4">
              <w:rPr>
                <w:rFonts w:ascii="Verdana" w:hAnsi="Verdana"/>
                <w:b/>
                <w:bCs/>
              </w:rPr>
              <w:t xml:space="preserve"> d’experts et de personnels auprès du </w:t>
            </w:r>
            <w:r w:rsidR="00FA0C43" w:rsidRPr="004062B4">
              <w:rPr>
                <w:rFonts w:ascii="Verdana" w:hAnsi="Verdana"/>
                <w:b/>
                <w:bCs/>
              </w:rPr>
              <w:t>S</w:t>
            </w:r>
            <w:r w:rsidR="00E2774E" w:rsidRPr="004062B4">
              <w:rPr>
                <w:rFonts w:ascii="Verdana" w:hAnsi="Verdana"/>
                <w:b/>
                <w:bCs/>
              </w:rPr>
              <w:t>ecrétariat général de la COI</w:t>
            </w:r>
          </w:p>
        </w:tc>
      </w:tr>
      <w:tr w:rsidR="00EC22CC" w:rsidRPr="004062B4" w14:paraId="7F1B63D2" w14:textId="77777777" w:rsidTr="002A0933">
        <w:tc>
          <w:tcPr>
            <w:tcW w:w="7225" w:type="dxa"/>
          </w:tcPr>
          <w:p w14:paraId="056D9B10" w14:textId="52BC6AD8" w:rsidR="00EC22CC" w:rsidRPr="004062B4" w:rsidRDefault="009B06FC" w:rsidP="002A096E">
            <w:pPr>
              <w:rPr>
                <w:rFonts w:ascii="Verdana" w:hAnsi="Verdana"/>
                <w:sz w:val="20"/>
                <w:szCs w:val="20"/>
              </w:rPr>
            </w:pPr>
            <w:r w:rsidRPr="004062B4">
              <w:rPr>
                <w:rFonts w:ascii="Verdana" w:hAnsi="Verdana"/>
                <w:sz w:val="20"/>
                <w:szCs w:val="20"/>
              </w:rPr>
              <w:t xml:space="preserve">Comité des OPL 02/2025 </w:t>
            </w:r>
            <w:r w:rsidR="00FA0C43" w:rsidRPr="004062B4">
              <w:rPr>
                <w:rFonts w:ascii="Verdana" w:hAnsi="Verdana"/>
                <w:sz w:val="20"/>
                <w:szCs w:val="20"/>
              </w:rPr>
              <w:t>| N</w:t>
            </w:r>
            <w:r w:rsidRPr="004062B4">
              <w:rPr>
                <w:rFonts w:ascii="Verdana" w:hAnsi="Verdana"/>
                <w:sz w:val="20"/>
                <w:szCs w:val="20"/>
              </w:rPr>
              <w:t>ovembre 2025</w:t>
            </w:r>
          </w:p>
        </w:tc>
        <w:tc>
          <w:tcPr>
            <w:tcW w:w="1837" w:type="dxa"/>
          </w:tcPr>
          <w:p w14:paraId="58E25D1F" w14:textId="74256BD3" w:rsidR="00EC22CC" w:rsidRPr="004062B4" w:rsidRDefault="002A096E" w:rsidP="00854EEA">
            <w:pPr>
              <w:jc w:val="center"/>
              <w:rPr>
                <w:rFonts w:ascii="Verdana" w:hAnsi="Verdana"/>
                <w:sz w:val="20"/>
                <w:szCs w:val="20"/>
              </w:rPr>
            </w:pPr>
            <w:r w:rsidRPr="004062B4">
              <w:rPr>
                <w:rFonts w:ascii="Verdana" w:hAnsi="Verdana"/>
                <w:sz w:val="20"/>
                <w:szCs w:val="20"/>
              </w:rPr>
              <w:t xml:space="preserve">Point </w:t>
            </w:r>
            <w:r w:rsidR="00585186" w:rsidRPr="004062B4">
              <w:rPr>
                <w:rFonts w:ascii="Verdana" w:hAnsi="Verdana"/>
                <w:sz w:val="20"/>
                <w:szCs w:val="20"/>
              </w:rPr>
              <w:t>3.</w:t>
            </w:r>
            <w:r w:rsidR="009B06FC" w:rsidRPr="004062B4">
              <w:rPr>
                <w:rFonts w:ascii="Verdana" w:hAnsi="Verdana"/>
                <w:sz w:val="20"/>
                <w:szCs w:val="20"/>
              </w:rPr>
              <w:t>2</w:t>
            </w:r>
          </w:p>
        </w:tc>
      </w:tr>
      <w:tr w:rsidR="00EC22CC" w:rsidRPr="004062B4" w14:paraId="537D1DE5" w14:textId="77777777" w:rsidTr="002A0933">
        <w:tc>
          <w:tcPr>
            <w:tcW w:w="7225" w:type="dxa"/>
          </w:tcPr>
          <w:p w14:paraId="43DEF09E" w14:textId="2283884A" w:rsidR="00EC22CC" w:rsidRPr="004062B4" w:rsidRDefault="00A148A1" w:rsidP="002A096E">
            <w:pPr>
              <w:rPr>
                <w:rFonts w:ascii="Verdana" w:hAnsi="Verdana"/>
                <w:sz w:val="20"/>
                <w:szCs w:val="20"/>
              </w:rPr>
            </w:pPr>
            <w:r w:rsidRPr="004062B4">
              <w:rPr>
                <w:rFonts w:ascii="Verdana" w:hAnsi="Verdana"/>
                <w:i/>
                <w:iCs/>
                <w:sz w:val="20"/>
                <w:szCs w:val="20"/>
              </w:rPr>
              <w:t>Dossier suivi par :</w:t>
            </w:r>
            <w:r w:rsidR="00EC22CC" w:rsidRPr="004062B4">
              <w:rPr>
                <w:rFonts w:ascii="Verdana" w:hAnsi="Verdana"/>
                <w:sz w:val="20"/>
                <w:szCs w:val="20"/>
              </w:rPr>
              <w:t xml:space="preserve"> </w:t>
            </w:r>
            <w:r w:rsidR="00977A3E" w:rsidRPr="004062B4">
              <w:rPr>
                <w:rFonts w:ascii="Verdana" w:hAnsi="Verdana"/>
                <w:i/>
                <w:iCs/>
                <w:sz w:val="20"/>
                <w:szCs w:val="20"/>
              </w:rPr>
              <w:t>Klervi Congard, GRH</w:t>
            </w:r>
          </w:p>
        </w:tc>
        <w:tc>
          <w:tcPr>
            <w:tcW w:w="1837" w:type="dxa"/>
          </w:tcPr>
          <w:p w14:paraId="5AC1AFAB" w14:textId="6F6A0DFC" w:rsidR="00EC22CC" w:rsidRPr="004062B4" w:rsidRDefault="00833A35" w:rsidP="00854EEA">
            <w:pPr>
              <w:jc w:val="center"/>
              <w:rPr>
                <w:rFonts w:ascii="Verdana" w:hAnsi="Verdana"/>
                <w:sz w:val="20"/>
                <w:szCs w:val="20"/>
              </w:rPr>
            </w:pPr>
            <w:r w:rsidRPr="004062B4">
              <w:rPr>
                <w:rFonts w:ascii="Verdana" w:hAnsi="Verdana"/>
                <w:sz w:val="20"/>
                <w:szCs w:val="20"/>
              </w:rPr>
              <w:t>Décision</w:t>
            </w:r>
          </w:p>
        </w:tc>
      </w:tr>
      <w:tr w:rsidR="00A90305" w:rsidRPr="004062B4" w14:paraId="6896DB30" w14:textId="77777777" w:rsidTr="009F5233">
        <w:tc>
          <w:tcPr>
            <w:tcW w:w="9062" w:type="dxa"/>
            <w:gridSpan w:val="2"/>
          </w:tcPr>
          <w:p w14:paraId="0495241B" w14:textId="5015ADB4" w:rsidR="00A90305" w:rsidRPr="004062B4" w:rsidRDefault="005E4952" w:rsidP="00A90305">
            <w:pPr>
              <w:rPr>
                <w:rFonts w:ascii="Verdana" w:hAnsi="Verdana"/>
                <w:sz w:val="20"/>
                <w:szCs w:val="20"/>
              </w:rPr>
            </w:pPr>
            <w:r w:rsidRPr="004062B4">
              <w:rPr>
                <w:rFonts w:ascii="Verdana" w:hAnsi="Verdana"/>
                <w:i/>
                <w:iCs/>
                <w:sz w:val="20"/>
                <w:szCs w:val="20"/>
              </w:rPr>
              <w:t xml:space="preserve">Version du </w:t>
            </w:r>
            <w:r w:rsidR="00FB40DA" w:rsidRPr="004062B4">
              <w:rPr>
                <w:rFonts w:ascii="Verdana" w:hAnsi="Verdana"/>
                <w:i/>
                <w:iCs/>
                <w:sz w:val="20"/>
                <w:szCs w:val="20"/>
              </w:rPr>
              <w:t>13</w:t>
            </w:r>
            <w:r w:rsidRPr="004062B4">
              <w:rPr>
                <w:rFonts w:ascii="Verdana" w:hAnsi="Verdana"/>
                <w:i/>
                <w:iCs/>
                <w:sz w:val="20"/>
                <w:szCs w:val="20"/>
              </w:rPr>
              <w:t xml:space="preserve"> octobre 2025</w:t>
            </w:r>
          </w:p>
        </w:tc>
      </w:tr>
    </w:tbl>
    <w:p w14:paraId="1611BCC4" w14:textId="77777777" w:rsidR="00854EEA" w:rsidRPr="004062B4" w:rsidRDefault="00854EEA" w:rsidP="00816DAC">
      <w:pPr>
        <w:pStyle w:val="Paragraphe"/>
      </w:pPr>
      <w:bookmarkStart w:id="0" w:name="_Hlk24535240"/>
    </w:p>
    <w:p w14:paraId="13806FE0" w14:textId="6C3C3B07" w:rsidR="00E2774E" w:rsidRPr="004062B4" w:rsidRDefault="00E2774E" w:rsidP="00E2774E">
      <w:pPr>
        <w:pStyle w:val="Titrepartie"/>
      </w:pPr>
      <w:r w:rsidRPr="004062B4">
        <w:t xml:space="preserve">Directive de mise à disposition d’experts et de personnels auprès du </w:t>
      </w:r>
      <w:r w:rsidR="00705A9F" w:rsidRPr="004062B4">
        <w:t>S</w:t>
      </w:r>
      <w:r w:rsidRPr="004062B4">
        <w:t xml:space="preserve">ecrétariat général de la COI </w:t>
      </w:r>
    </w:p>
    <w:p w14:paraId="6939876D" w14:textId="181DAE66" w:rsidR="00C45BFC" w:rsidRPr="004062B4" w:rsidRDefault="00705A9F" w:rsidP="00E2774E">
      <w:pPr>
        <w:pStyle w:val="Sous-partie2"/>
      </w:pPr>
      <w:r w:rsidRPr="004062B4">
        <w:t>États</w:t>
      </w:r>
      <w:r w:rsidR="00C35ED7" w:rsidRPr="004062B4">
        <w:t xml:space="preserve"> des lieux </w:t>
      </w:r>
    </w:p>
    <w:p w14:paraId="09E401B6" w14:textId="77777777" w:rsidR="00D8050E" w:rsidRPr="004062B4" w:rsidRDefault="00D8050E" w:rsidP="002116ED">
      <w:pPr>
        <w:spacing w:after="120"/>
        <w:contextualSpacing/>
        <w:jc w:val="both"/>
        <w:rPr>
          <w:rFonts w:ascii="Verdana" w:hAnsi="Verdana"/>
          <w:sz w:val="20"/>
          <w:szCs w:val="20"/>
        </w:rPr>
      </w:pPr>
      <w:r w:rsidRPr="004062B4">
        <w:rPr>
          <w:rFonts w:ascii="Verdana" w:hAnsi="Verdana"/>
          <w:sz w:val="20"/>
          <w:szCs w:val="20"/>
        </w:rPr>
        <w:t xml:space="preserve">Fort des recommandations du 28e Conseil de la COI aux Seychelles en 2013 relatives à la restructuration et au renforcement de la COI, le Secrétariat général (SG-COI) avait connu un début de modernisation de ses services avec la création progressive de postes essentiels afin que le SG-COI puisse disposer d’une structure opérationnelle et assurer pleinement et efficacement son rôle.  </w:t>
      </w:r>
    </w:p>
    <w:p w14:paraId="4654DEA1" w14:textId="77777777" w:rsidR="00705A9F" w:rsidRPr="004062B4" w:rsidRDefault="00705A9F" w:rsidP="002116ED">
      <w:pPr>
        <w:spacing w:after="120"/>
        <w:contextualSpacing/>
        <w:jc w:val="both"/>
        <w:rPr>
          <w:rFonts w:ascii="Verdana" w:hAnsi="Verdana"/>
          <w:sz w:val="20"/>
          <w:szCs w:val="20"/>
        </w:rPr>
      </w:pPr>
    </w:p>
    <w:p w14:paraId="0B2264C2" w14:textId="344AA550" w:rsidR="00D8050E" w:rsidRPr="004062B4" w:rsidRDefault="00D8050E" w:rsidP="002116ED">
      <w:pPr>
        <w:spacing w:after="120"/>
        <w:contextualSpacing/>
        <w:jc w:val="both"/>
        <w:rPr>
          <w:rFonts w:ascii="Verdana" w:hAnsi="Verdana"/>
          <w:sz w:val="20"/>
          <w:szCs w:val="20"/>
        </w:rPr>
      </w:pPr>
      <w:r w:rsidRPr="004062B4">
        <w:rPr>
          <w:rFonts w:ascii="Verdana" w:hAnsi="Verdana"/>
          <w:sz w:val="20"/>
          <w:szCs w:val="20"/>
        </w:rPr>
        <w:t>Le renforcement progressif de l’organisation s’inscrit dans cette démarche progressive de modernisation</w:t>
      </w:r>
      <w:r w:rsidR="002A2155">
        <w:rPr>
          <w:rFonts w:ascii="Verdana" w:hAnsi="Verdana"/>
          <w:sz w:val="20"/>
          <w:szCs w:val="20"/>
        </w:rPr>
        <w:t>,</w:t>
      </w:r>
      <w:r w:rsidRPr="004062B4">
        <w:rPr>
          <w:rFonts w:ascii="Verdana" w:hAnsi="Verdana"/>
          <w:sz w:val="20"/>
          <w:szCs w:val="20"/>
        </w:rPr>
        <w:t xml:space="preserve"> visant cette fois à créer les conditions propices pour que la COI puisse notamment répondre aux exigences des accréditations aux 9 piliers de l’UE et du Fonds vert pour le climat, à celles de la mise en place d’une gestion axée sur les résultats (GAR), ainsi qu’aux exigences des </w:t>
      </w:r>
      <w:r w:rsidR="00705A9F" w:rsidRPr="004062B4">
        <w:rPr>
          <w:rFonts w:ascii="Verdana" w:hAnsi="Verdana"/>
          <w:caps/>
          <w:sz w:val="20"/>
          <w:szCs w:val="20"/>
        </w:rPr>
        <w:t>é</w:t>
      </w:r>
      <w:r w:rsidR="00705A9F" w:rsidRPr="004062B4">
        <w:rPr>
          <w:rFonts w:ascii="Verdana" w:hAnsi="Verdana"/>
          <w:sz w:val="20"/>
          <w:szCs w:val="20"/>
        </w:rPr>
        <w:t>tats</w:t>
      </w:r>
      <w:r w:rsidRPr="004062B4">
        <w:rPr>
          <w:rFonts w:ascii="Verdana" w:hAnsi="Verdana"/>
          <w:sz w:val="20"/>
          <w:szCs w:val="20"/>
        </w:rPr>
        <w:t xml:space="preserve"> membres et des bailleurs</w:t>
      </w:r>
      <w:r w:rsidR="004A27C7" w:rsidRPr="004062B4">
        <w:rPr>
          <w:rFonts w:ascii="Verdana" w:hAnsi="Verdana"/>
          <w:sz w:val="20"/>
          <w:szCs w:val="20"/>
        </w:rPr>
        <w:t xml:space="preserve"> de fonds</w:t>
      </w:r>
      <w:r w:rsidRPr="004062B4">
        <w:rPr>
          <w:rFonts w:ascii="Verdana" w:hAnsi="Verdana"/>
          <w:sz w:val="20"/>
          <w:szCs w:val="20"/>
        </w:rPr>
        <w:t xml:space="preserve">. </w:t>
      </w:r>
    </w:p>
    <w:p w14:paraId="78C4B5D2" w14:textId="77777777" w:rsidR="00705A9F" w:rsidRPr="004062B4" w:rsidRDefault="00705A9F" w:rsidP="002116ED">
      <w:pPr>
        <w:spacing w:after="120"/>
        <w:contextualSpacing/>
        <w:jc w:val="both"/>
        <w:rPr>
          <w:rFonts w:ascii="Verdana" w:hAnsi="Verdana"/>
          <w:sz w:val="20"/>
          <w:szCs w:val="20"/>
        </w:rPr>
      </w:pPr>
    </w:p>
    <w:p w14:paraId="41801E73" w14:textId="6876F9D0" w:rsidR="00D8050E" w:rsidRPr="004062B4" w:rsidRDefault="00D8050E" w:rsidP="002116ED">
      <w:pPr>
        <w:spacing w:after="120"/>
        <w:contextualSpacing/>
        <w:jc w:val="both"/>
        <w:rPr>
          <w:rFonts w:ascii="Verdana" w:hAnsi="Verdana"/>
          <w:sz w:val="20"/>
          <w:szCs w:val="20"/>
        </w:rPr>
      </w:pPr>
      <w:r w:rsidRPr="004062B4">
        <w:rPr>
          <w:rFonts w:ascii="Verdana" w:hAnsi="Verdana"/>
          <w:sz w:val="20"/>
          <w:szCs w:val="20"/>
        </w:rPr>
        <w:t xml:space="preserve">Reconnaissant déjà cette nécessité pour l’avenir de la COI, les </w:t>
      </w:r>
      <w:r w:rsidR="00705A9F" w:rsidRPr="004062B4">
        <w:rPr>
          <w:rFonts w:ascii="Verdana" w:hAnsi="Verdana"/>
          <w:sz w:val="20"/>
          <w:szCs w:val="20"/>
        </w:rPr>
        <w:t>États</w:t>
      </w:r>
      <w:r w:rsidRPr="004062B4">
        <w:rPr>
          <w:rFonts w:ascii="Verdana" w:hAnsi="Verdana"/>
          <w:sz w:val="20"/>
          <w:szCs w:val="20"/>
        </w:rPr>
        <w:t xml:space="preserve"> membres ont convenu par la Déclaration de Moroni en ao</w:t>
      </w:r>
      <w:r w:rsidR="002A2155">
        <w:rPr>
          <w:rFonts w:ascii="Verdana" w:hAnsi="Verdana"/>
          <w:sz w:val="20"/>
          <w:szCs w:val="20"/>
        </w:rPr>
        <w:t>û</w:t>
      </w:r>
      <w:r w:rsidRPr="004062B4">
        <w:rPr>
          <w:rFonts w:ascii="Verdana" w:hAnsi="Verdana"/>
          <w:sz w:val="20"/>
          <w:szCs w:val="20"/>
        </w:rPr>
        <w:t>t 2019 « </w:t>
      </w:r>
      <w:r w:rsidRPr="004062B4">
        <w:rPr>
          <w:rFonts w:ascii="Verdana" w:hAnsi="Verdana"/>
          <w:i/>
          <w:iCs/>
          <w:sz w:val="20"/>
          <w:szCs w:val="20"/>
        </w:rPr>
        <w:t>Il est reconnu la nécessité de mobiliser les ressources nécessaires à la mise en œuvre du processus d’évolution institutionnelle et fonctionnelle de la COI ainsi qu’à sa professionnalisation, notamment à travers un financement pérenne, autonome et suffisant. La création d’un fonds fiduciaire a été envisagée en tant qu’option de financement innovant. Les experts proposeront un plan permettant d’atteindre ces objectifs »</w:t>
      </w:r>
      <w:r w:rsidRPr="004062B4">
        <w:rPr>
          <w:rFonts w:ascii="Verdana" w:hAnsi="Verdana"/>
          <w:sz w:val="20"/>
          <w:szCs w:val="20"/>
        </w:rPr>
        <w:t>.</w:t>
      </w:r>
    </w:p>
    <w:p w14:paraId="29A37A1C" w14:textId="77777777" w:rsidR="00705A9F" w:rsidRPr="004062B4" w:rsidRDefault="00705A9F" w:rsidP="002116ED">
      <w:pPr>
        <w:spacing w:after="120"/>
        <w:contextualSpacing/>
        <w:jc w:val="both"/>
        <w:rPr>
          <w:rFonts w:ascii="Verdana" w:hAnsi="Verdana"/>
          <w:sz w:val="20"/>
          <w:szCs w:val="20"/>
        </w:rPr>
      </w:pPr>
    </w:p>
    <w:p w14:paraId="501EE2E4" w14:textId="5F2E9960" w:rsidR="00D8050E" w:rsidRPr="004062B4" w:rsidRDefault="00CA28AD" w:rsidP="00705A9F">
      <w:pPr>
        <w:spacing w:after="120"/>
        <w:contextualSpacing/>
        <w:jc w:val="both"/>
        <w:rPr>
          <w:rFonts w:ascii="Verdana" w:hAnsi="Verdana"/>
          <w:sz w:val="20"/>
          <w:szCs w:val="20"/>
        </w:rPr>
      </w:pPr>
      <w:r w:rsidRPr="004062B4">
        <w:rPr>
          <w:rFonts w:ascii="Verdana" w:hAnsi="Verdana"/>
          <w:sz w:val="20"/>
          <w:szCs w:val="20"/>
        </w:rPr>
        <w:t>Dans ce contexte de réforme institutionnelle de la COI, le 37</w:t>
      </w:r>
      <w:r w:rsidRPr="004062B4">
        <w:rPr>
          <w:rFonts w:ascii="Verdana" w:hAnsi="Verdana"/>
          <w:sz w:val="20"/>
          <w:szCs w:val="20"/>
          <w:vertAlign w:val="superscript"/>
        </w:rPr>
        <w:t>ème</w:t>
      </w:r>
      <w:r w:rsidRPr="004062B4">
        <w:rPr>
          <w:rFonts w:ascii="Verdana" w:hAnsi="Verdana"/>
          <w:sz w:val="20"/>
          <w:szCs w:val="20"/>
        </w:rPr>
        <w:t xml:space="preserve"> Conseil des ministres du 17 mai 2023 à Antananarivo a demandé au Secrétariat général de </w:t>
      </w:r>
      <w:r w:rsidRPr="004062B4">
        <w:rPr>
          <w:rFonts w:ascii="Verdana" w:hAnsi="Verdana"/>
          <w:i/>
          <w:iCs/>
          <w:sz w:val="20"/>
          <w:szCs w:val="20"/>
        </w:rPr>
        <w:t xml:space="preserve">« valoriser les contributions non statutaires des </w:t>
      </w:r>
      <w:r w:rsidR="00705A9F" w:rsidRPr="004062B4">
        <w:rPr>
          <w:rFonts w:ascii="Verdana" w:hAnsi="Verdana"/>
          <w:i/>
          <w:iCs/>
          <w:sz w:val="20"/>
          <w:szCs w:val="20"/>
        </w:rPr>
        <w:t>États</w:t>
      </w:r>
      <w:r w:rsidRPr="004062B4">
        <w:rPr>
          <w:rFonts w:ascii="Verdana" w:hAnsi="Verdana"/>
          <w:i/>
          <w:iCs/>
          <w:sz w:val="20"/>
          <w:szCs w:val="20"/>
        </w:rPr>
        <w:t xml:space="preserve"> membres dans la mise en œuvre de l’accord de méthode convenu avec les bailleurs, UE et AFD, au 36</w:t>
      </w:r>
      <w:r w:rsidR="008A3181" w:rsidRPr="004062B4">
        <w:rPr>
          <w:rFonts w:ascii="Verdana" w:hAnsi="Verdana"/>
          <w:i/>
          <w:iCs/>
          <w:sz w:val="20"/>
          <w:szCs w:val="20"/>
          <w:vertAlign w:val="superscript"/>
        </w:rPr>
        <w:t>ème</w:t>
      </w:r>
      <w:r w:rsidR="008A3181" w:rsidRPr="004062B4">
        <w:rPr>
          <w:rFonts w:ascii="Verdana" w:hAnsi="Verdana"/>
          <w:i/>
          <w:iCs/>
          <w:sz w:val="20"/>
          <w:szCs w:val="20"/>
        </w:rPr>
        <w:t xml:space="preserve"> </w:t>
      </w:r>
      <w:r w:rsidRPr="004062B4">
        <w:rPr>
          <w:rFonts w:ascii="Verdana" w:hAnsi="Verdana"/>
          <w:i/>
          <w:iCs/>
          <w:sz w:val="20"/>
          <w:szCs w:val="20"/>
        </w:rPr>
        <w:t>Conseil des ministres.</w:t>
      </w:r>
      <w:r w:rsidRPr="004062B4">
        <w:rPr>
          <w:rFonts w:ascii="Verdana" w:hAnsi="Verdana"/>
          <w:sz w:val="20"/>
          <w:szCs w:val="20"/>
        </w:rPr>
        <w:t xml:space="preserve"> » Ces contributions non-statutaires nous réfèrent, notamment, à la mise à disposition auprès du Secrétariat général, par les </w:t>
      </w:r>
      <w:r w:rsidR="00705A9F" w:rsidRPr="004062B4">
        <w:rPr>
          <w:rFonts w:ascii="Verdana" w:hAnsi="Verdana"/>
          <w:sz w:val="20"/>
          <w:szCs w:val="20"/>
        </w:rPr>
        <w:t>États</w:t>
      </w:r>
      <w:r w:rsidRPr="004062B4">
        <w:rPr>
          <w:rFonts w:ascii="Verdana" w:hAnsi="Verdana"/>
          <w:sz w:val="20"/>
          <w:szCs w:val="20"/>
        </w:rPr>
        <w:t xml:space="preserve"> membres, de personnel et d’experts, notamment des experts techniques internationaux (ETI), lesquels contribuent au renforcement des ressources humaines du Secrétariat général. Afin de préciser les modalités de déploiement de ces personnels et experts et le cadre réglementaire applicable pendant leur mise à disposition, le 39</w:t>
      </w:r>
      <w:r w:rsidR="00EC63C8" w:rsidRPr="004062B4">
        <w:rPr>
          <w:rFonts w:ascii="Arial" w:hAnsi="Arial" w:cs="Arial"/>
          <w:sz w:val="20"/>
          <w:szCs w:val="20"/>
          <w:vertAlign w:val="superscript"/>
        </w:rPr>
        <w:t>ème</w:t>
      </w:r>
      <w:r w:rsidR="00EC63C8" w:rsidRPr="004062B4">
        <w:rPr>
          <w:rFonts w:ascii="Arial" w:hAnsi="Arial" w:cs="Arial"/>
          <w:sz w:val="20"/>
          <w:szCs w:val="20"/>
        </w:rPr>
        <w:t xml:space="preserve"> </w:t>
      </w:r>
      <w:r w:rsidRPr="004062B4">
        <w:rPr>
          <w:rFonts w:ascii="Verdana" w:hAnsi="Verdana"/>
          <w:sz w:val="20"/>
          <w:szCs w:val="20"/>
        </w:rPr>
        <w:t>Conseil des ministres, dans sa décision 10 relative aux Ressources humaines, a demandé au Secrétariat général de finaliser, en concertation avec les États membres, le cadre de mise à disposition de personnel et d’experts auprès du Secrétariat</w:t>
      </w:r>
      <w:r w:rsidR="00183E3B" w:rsidRPr="004062B4">
        <w:rPr>
          <w:rFonts w:ascii="Verdana" w:hAnsi="Verdana"/>
          <w:sz w:val="20"/>
          <w:szCs w:val="20"/>
        </w:rPr>
        <w:t xml:space="preserve"> </w:t>
      </w:r>
      <w:r w:rsidR="00EC63C8" w:rsidRPr="004062B4">
        <w:rPr>
          <w:rFonts w:ascii="Verdana" w:hAnsi="Verdana"/>
          <w:sz w:val="20"/>
          <w:szCs w:val="20"/>
        </w:rPr>
        <w:t>g</w:t>
      </w:r>
      <w:r w:rsidR="00183E3B" w:rsidRPr="004062B4">
        <w:rPr>
          <w:rFonts w:ascii="Verdana" w:hAnsi="Verdana"/>
          <w:sz w:val="20"/>
          <w:szCs w:val="20"/>
        </w:rPr>
        <w:t>énéral</w:t>
      </w:r>
      <w:r w:rsidRPr="004062B4">
        <w:rPr>
          <w:rFonts w:ascii="Verdana" w:hAnsi="Verdana"/>
          <w:sz w:val="20"/>
          <w:szCs w:val="20"/>
        </w:rPr>
        <w:t xml:space="preserve">. </w:t>
      </w:r>
    </w:p>
    <w:p w14:paraId="4BF3299B" w14:textId="77777777" w:rsidR="00D8050E" w:rsidRPr="004062B4" w:rsidRDefault="00D8050E" w:rsidP="002116ED">
      <w:pPr>
        <w:pStyle w:val="Sous-partie2"/>
        <w:spacing w:after="120"/>
      </w:pPr>
      <w:r w:rsidRPr="004062B4">
        <w:t>Etat d’avancement : Directive de mise à disposition d’experts et de personnels auprès du secrétariat général de la COI.</w:t>
      </w:r>
    </w:p>
    <w:p w14:paraId="4A9004E9" w14:textId="48C04201" w:rsidR="00D8050E" w:rsidRPr="004062B4" w:rsidRDefault="00D8050E" w:rsidP="002116ED">
      <w:pPr>
        <w:pStyle w:val="Paragraphe"/>
        <w:spacing w:after="120"/>
        <w:contextualSpacing/>
        <w:rPr>
          <w:b/>
          <w:bCs/>
        </w:rPr>
      </w:pPr>
      <w:r w:rsidRPr="004062B4">
        <w:t xml:space="preserve">Conformément à la décision </w:t>
      </w:r>
      <w:r w:rsidR="00905C2C" w:rsidRPr="004062B4">
        <w:t>10</w:t>
      </w:r>
      <w:r w:rsidRPr="004062B4">
        <w:t xml:space="preserve"> du </w:t>
      </w:r>
      <w:r w:rsidR="00905C2C" w:rsidRPr="004062B4">
        <w:t>39</w:t>
      </w:r>
      <w:r w:rsidR="00EC63C8" w:rsidRPr="004062B4">
        <w:rPr>
          <w:vertAlign w:val="superscript"/>
        </w:rPr>
        <w:t xml:space="preserve">ème </w:t>
      </w:r>
      <w:r w:rsidR="00905C2C" w:rsidRPr="004062B4">
        <w:t>Conseil</w:t>
      </w:r>
      <w:r w:rsidR="00FC5C38" w:rsidRPr="004062B4">
        <w:t xml:space="preserve"> et la réunion de travail avec les </w:t>
      </w:r>
      <w:r w:rsidR="00705A9F" w:rsidRPr="004062B4">
        <w:t>États</w:t>
      </w:r>
      <w:r w:rsidR="00FC5C38" w:rsidRPr="004062B4">
        <w:t xml:space="preserve"> membres du 11 septembre 2025</w:t>
      </w:r>
      <w:r w:rsidRPr="004062B4">
        <w:t xml:space="preserve">, </w:t>
      </w:r>
      <w:r w:rsidRPr="004062B4">
        <w:rPr>
          <w:b/>
          <w:bCs/>
        </w:rPr>
        <w:t>la proposition de cadre en Annexe 1 est soumise pour approbation.</w:t>
      </w:r>
    </w:p>
    <w:p w14:paraId="1219442D" w14:textId="27107C55" w:rsidR="00D8050E" w:rsidRPr="004062B4" w:rsidRDefault="00D8050E" w:rsidP="002116ED">
      <w:pPr>
        <w:spacing w:after="120"/>
        <w:contextualSpacing/>
        <w:jc w:val="both"/>
        <w:rPr>
          <w:rFonts w:ascii="Verdana" w:hAnsi="Verdana"/>
          <w:sz w:val="20"/>
          <w:szCs w:val="20"/>
        </w:rPr>
      </w:pPr>
      <w:r w:rsidRPr="004062B4">
        <w:rPr>
          <w:rFonts w:ascii="Verdana" w:hAnsi="Verdana" w:cstheme="minorHAnsi"/>
          <w:sz w:val="20"/>
          <w:szCs w:val="20"/>
        </w:rPr>
        <w:t>Cette directive fixe les aspects administratifs, r</w:t>
      </w:r>
      <w:r w:rsidR="002A2155">
        <w:rPr>
          <w:rFonts w:ascii="Verdana" w:hAnsi="Verdana" w:cstheme="minorHAnsi"/>
          <w:sz w:val="20"/>
          <w:szCs w:val="20"/>
        </w:rPr>
        <w:t>é</w:t>
      </w:r>
      <w:r w:rsidRPr="004062B4">
        <w:rPr>
          <w:rFonts w:ascii="Verdana" w:hAnsi="Verdana" w:cstheme="minorHAnsi"/>
          <w:sz w:val="20"/>
          <w:szCs w:val="20"/>
        </w:rPr>
        <w:t>glementaires ainsi que les procédures associées liés au personnel et aux experts mis à disposition auprès de la COI afin de répondre</w:t>
      </w:r>
      <w:r w:rsidRPr="004062B4">
        <w:rPr>
          <w:rFonts w:ascii="Verdana" w:hAnsi="Verdana"/>
          <w:sz w:val="20"/>
          <w:szCs w:val="20"/>
        </w:rPr>
        <w:t xml:space="preserve"> aux besoins spécifiques de la COI.</w:t>
      </w:r>
    </w:p>
    <w:p w14:paraId="6E592A8B" w14:textId="77777777" w:rsidR="00D8050E" w:rsidRPr="004062B4" w:rsidRDefault="00D8050E" w:rsidP="002116ED">
      <w:pPr>
        <w:pStyle w:val="Paragraphe"/>
        <w:spacing w:after="120"/>
        <w:contextualSpacing/>
      </w:pPr>
    </w:p>
    <w:p w14:paraId="1E5BB4C0" w14:textId="27952567" w:rsidR="00C45BFC" w:rsidRPr="004062B4" w:rsidRDefault="000716A8" w:rsidP="002116ED">
      <w:pPr>
        <w:pStyle w:val="Titrepartie"/>
        <w:spacing w:after="120"/>
      </w:pPr>
      <w:r w:rsidRPr="004062B4">
        <w:t>Autres mises à disposition (CRCO/CRFIM)</w:t>
      </w:r>
    </w:p>
    <w:p w14:paraId="04C6C02E" w14:textId="77777777" w:rsidR="00CF2450" w:rsidRPr="004062B4" w:rsidRDefault="00CF2450" w:rsidP="002116ED">
      <w:pPr>
        <w:spacing w:after="120" w:line="240" w:lineRule="auto"/>
        <w:contextualSpacing/>
        <w:jc w:val="both"/>
        <w:rPr>
          <w:rFonts w:ascii="Verdana" w:hAnsi="Verdana"/>
          <w:sz w:val="20"/>
          <w:szCs w:val="20"/>
        </w:rPr>
      </w:pPr>
      <w:r w:rsidRPr="004062B4">
        <w:rPr>
          <w:rFonts w:ascii="Verdana" w:hAnsi="Verdana"/>
          <w:sz w:val="20"/>
          <w:szCs w:val="20"/>
        </w:rPr>
        <w:t xml:space="preserve">Des discussions ont déjà été initiées en vue de renforcer les procédures administratives des centres. Dans le cadre du résultat 3 du projet de sécurité maritime </w:t>
      </w:r>
      <w:r w:rsidRPr="004062B4">
        <w:rPr>
          <w:rFonts w:ascii="Verdana" w:hAnsi="Verdana"/>
          <w:i/>
          <w:iCs/>
          <w:sz w:val="20"/>
          <w:szCs w:val="20"/>
        </w:rPr>
        <w:t>Safe Seas Africa (SSA)</w:t>
      </w:r>
      <w:r w:rsidRPr="004062B4">
        <w:rPr>
          <w:rFonts w:ascii="Verdana" w:hAnsi="Verdana"/>
          <w:sz w:val="20"/>
          <w:szCs w:val="20"/>
        </w:rPr>
        <w:t>, financé par l’Union européenne et visant à renforcer les capacités et les moyens des centres nationaux et régionaux, le projet prévoit le déploiement d’experts mis à disposition par les États membres et les États signataires.</w:t>
      </w:r>
    </w:p>
    <w:p w14:paraId="493DE29E" w14:textId="77777777" w:rsidR="00705A9F" w:rsidRPr="004062B4" w:rsidRDefault="00705A9F" w:rsidP="002116ED">
      <w:pPr>
        <w:spacing w:after="120" w:line="240" w:lineRule="auto"/>
        <w:contextualSpacing/>
        <w:jc w:val="both"/>
        <w:rPr>
          <w:rFonts w:ascii="Verdana" w:hAnsi="Verdana"/>
          <w:sz w:val="20"/>
          <w:szCs w:val="20"/>
        </w:rPr>
      </w:pPr>
    </w:p>
    <w:p w14:paraId="57C753FD" w14:textId="0EF70EAE" w:rsidR="00CF2450" w:rsidRPr="004062B4" w:rsidRDefault="00CF2450" w:rsidP="002116ED">
      <w:pPr>
        <w:spacing w:after="120" w:line="240" w:lineRule="auto"/>
        <w:contextualSpacing/>
        <w:jc w:val="both"/>
        <w:rPr>
          <w:rFonts w:ascii="Verdana" w:hAnsi="Verdana"/>
          <w:sz w:val="20"/>
          <w:szCs w:val="20"/>
        </w:rPr>
      </w:pPr>
      <w:r w:rsidRPr="004062B4">
        <w:rPr>
          <w:rFonts w:ascii="Verdana" w:hAnsi="Verdana"/>
          <w:sz w:val="20"/>
          <w:szCs w:val="20"/>
        </w:rPr>
        <w:t>Bien que le soutien apporté ces dernières années ait été appréciable, un besoin de consolidation des procédures internes</w:t>
      </w:r>
      <w:r w:rsidR="002A2155">
        <w:rPr>
          <w:rFonts w:ascii="Verdana" w:hAnsi="Verdana"/>
          <w:sz w:val="20"/>
          <w:szCs w:val="20"/>
        </w:rPr>
        <w:t xml:space="preserve"> est apparu</w:t>
      </w:r>
      <w:r w:rsidRPr="004062B4">
        <w:rPr>
          <w:rFonts w:ascii="Verdana" w:hAnsi="Verdana"/>
          <w:sz w:val="20"/>
          <w:szCs w:val="20"/>
        </w:rPr>
        <w:t>, notamment en matière de gestion des ressources humaines. À cet effet, des échanges sont actuellement en cours pour adapter cette directive aux dispositifs de mise à disposition hors Maurice, tels que le CRFIM, le CRCO, ainsi qu’au futur centre de surveillance des pêches. Ces ajustements seront discutés avec l’ensemble des parties prenantes et soumis à la validation des comités compétents, afin d’assurer une harmonisation optimale des procédures et de renforcer l’efficacité opérationnelle des centres.</w:t>
      </w:r>
    </w:p>
    <w:p w14:paraId="65A9676B" w14:textId="77777777" w:rsidR="00C45BFC" w:rsidRPr="004062B4" w:rsidRDefault="00C45BFC" w:rsidP="002116ED">
      <w:pPr>
        <w:spacing w:after="120" w:line="240" w:lineRule="auto"/>
        <w:contextualSpacing/>
        <w:jc w:val="both"/>
        <w:rPr>
          <w:rFonts w:ascii="Verdana" w:hAnsi="Verdana"/>
          <w:sz w:val="20"/>
          <w:szCs w:val="20"/>
        </w:rPr>
      </w:pPr>
    </w:p>
    <w:p w14:paraId="3D27EBCA" w14:textId="00F05E5C" w:rsidR="00CE415D" w:rsidRPr="004062B4" w:rsidRDefault="00CE415D" w:rsidP="002116ED">
      <w:pPr>
        <w:pStyle w:val="Titrepartie"/>
        <w:spacing w:after="120"/>
      </w:pPr>
      <w:r w:rsidRPr="004062B4">
        <w:t>Directeur auprès du Secrétariat général de la COI – proposition de décision (c)</w:t>
      </w:r>
    </w:p>
    <w:p w14:paraId="3041B8A0" w14:textId="35522BE6" w:rsidR="00CE415D" w:rsidRPr="004062B4" w:rsidRDefault="00CE415D" w:rsidP="002116ED">
      <w:pPr>
        <w:pStyle w:val="Sous-partie2"/>
        <w:spacing w:after="120"/>
      </w:pPr>
      <w:r w:rsidRPr="004062B4">
        <w:t>Historique</w:t>
      </w:r>
    </w:p>
    <w:p w14:paraId="6454976F" w14:textId="77777777" w:rsidR="00CE415D" w:rsidRPr="004062B4" w:rsidRDefault="00CE415D" w:rsidP="002116ED">
      <w:pPr>
        <w:pStyle w:val="Paragraphe"/>
        <w:spacing w:after="120"/>
      </w:pPr>
      <w:r w:rsidRPr="004062B4">
        <w:t>En 2012, dans un contexte marqué par une augmentation significative du volume d’activités du Secrétariat général de la Commission de l’océan Indien (SG-COI), plusieurs études (notamment Ernst &amp; Young en 2007 et STRADEVCO en 2012) ont mis en évidence le décalage entre l’ampleur de l’agenda thématique de la COI et les moyens humains et financiers disponibles pour y répondre efficacement.</w:t>
      </w:r>
    </w:p>
    <w:p w14:paraId="1C4257D7" w14:textId="75A44F65" w:rsidR="00CE415D" w:rsidRPr="004062B4" w:rsidRDefault="00CE415D" w:rsidP="002116ED">
      <w:pPr>
        <w:pStyle w:val="Paragraphe"/>
        <w:spacing w:after="120"/>
      </w:pPr>
      <w:r w:rsidRPr="004062B4">
        <w:t>Prenant acte de ces constats, le 2</w:t>
      </w:r>
      <w:r w:rsidR="00A53E0F" w:rsidRPr="004062B4">
        <w:t>8</w:t>
      </w:r>
      <w:r w:rsidRPr="004062B4">
        <w:rPr>
          <w:rFonts w:ascii="Arial" w:hAnsi="Arial" w:cs="Arial"/>
        </w:rPr>
        <w:t>ᵉ</w:t>
      </w:r>
      <w:r w:rsidRPr="004062B4">
        <w:t xml:space="preserve"> Conseil des ministres de la COI, tenu en 2013, a décidé d’engager un processus de renforcement du SG-COI. À cette occasion, les États membres ont invité le Secrétariat général à poursuivre une réflexion globale sur la restructuration et le renforcement durable du Secrétariat général. Dans ce cadre, le SG-COI a exploré différentes options visant à améliorer sa capacité opérationnelle et managériale.</w:t>
      </w:r>
    </w:p>
    <w:p w14:paraId="383096C4" w14:textId="323FF98F" w:rsidR="00CE415D" w:rsidRPr="004062B4" w:rsidRDefault="00CE415D" w:rsidP="002116ED">
      <w:pPr>
        <w:pStyle w:val="Paragraphe"/>
        <w:spacing w:after="120"/>
        <w:contextualSpacing/>
      </w:pPr>
      <w:r w:rsidRPr="004062B4">
        <w:t>Cette démarche a conduit, lors du 28</w:t>
      </w:r>
      <w:r w:rsidRPr="004062B4">
        <w:rPr>
          <w:rFonts w:ascii="Arial" w:hAnsi="Arial" w:cs="Arial"/>
        </w:rPr>
        <w:t>ᵉ</w:t>
      </w:r>
      <w:r w:rsidRPr="004062B4">
        <w:t xml:space="preserve"> Conseil des ministres, à la création de postes essentiels pour assurer pleinement les fonctions du Secrétariat général (SG-COI), notamment celui d’administrateur auprès du </w:t>
      </w:r>
      <w:r w:rsidR="00705A9F" w:rsidRPr="004062B4">
        <w:t>S</w:t>
      </w:r>
      <w:r w:rsidRPr="004062B4">
        <w:t xml:space="preserve">ecrétariat général. </w:t>
      </w:r>
    </w:p>
    <w:p w14:paraId="3B14B7DE" w14:textId="77777777" w:rsidR="00CE415D" w:rsidRPr="004062B4" w:rsidRDefault="00CE415D" w:rsidP="002116ED">
      <w:pPr>
        <w:spacing w:after="120" w:line="240" w:lineRule="auto"/>
        <w:jc w:val="both"/>
        <w:rPr>
          <w:rFonts w:ascii="Verdana" w:hAnsi="Verdana" w:cs="Calibri"/>
          <w:sz w:val="20"/>
          <w:szCs w:val="20"/>
        </w:rPr>
      </w:pPr>
      <w:r w:rsidRPr="004062B4">
        <w:rPr>
          <w:rFonts w:ascii="Verdana" w:hAnsi="Verdana" w:cs="Calibri"/>
          <w:sz w:val="20"/>
          <w:szCs w:val="20"/>
        </w:rPr>
        <w:t>L’idée de doter le Secrétaire général d’un appui à la gestion n’était pas nouvelle. Au fil des années, plusieurs propositions avaient été formulées, notamment la création d’un poste de Secrétaire général adjoint, puis de Directeur des opérations. Toutefois, ces propositions ont été confrontées à divers obstacles internes et externes, qui ont freiné leur mise en œuvre.</w:t>
      </w:r>
    </w:p>
    <w:p w14:paraId="0976F050" w14:textId="77777777" w:rsidR="00CE415D" w:rsidRPr="004062B4" w:rsidRDefault="00CE415D" w:rsidP="002116ED">
      <w:pPr>
        <w:spacing w:after="120" w:line="240" w:lineRule="auto"/>
        <w:jc w:val="both"/>
        <w:rPr>
          <w:rFonts w:ascii="Verdana" w:eastAsia="SimSun" w:hAnsi="Verdana" w:cs="Calibri"/>
          <w:color w:val="000000"/>
          <w:sz w:val="20"/>
          <w:szCs w:val="20"/>
          <w:lang w:eastAsia="zh-CN"/>
        </w:rPr>
      </w:pPr>
      <w:r w:rsidRPr="004062B4">
        <w:rPr>
          <w:rFonts w:ascii="Verdana" w:eastAsia="SimSun" w:hAnsi="Verdana" w:cs="Calibri"/>
          <w:color w:val="000000"/>
          <w:sz w:val="20"/>
          <w:szCs w:val="20"/>
          <w:lang w:eastAsia="zh-CN"/>
        </w:rPr>
        <w:t>Néanmoins, le principe de créer un poste de cadre supérieur chargé de seconder le Secrétaire général dans ses fonctions managériales a toujours fait consensus. Ce poste visait à apporter un appui stratégique à la prise de décision (notamment en matière de planification du futur plan de développement stratégique de la COI et de suivi de son exécution), tout en veillant à la bonne gestion administrative du SG-COI. Il a été proposé de créer un poste initialement intitulé Administrateur, puis renommé Directeur, de niveau équivalent à celui de Chargé de mission lors du 28</w:t>
      </w:r>
      <w:r w:rsidRPr="004062B4">
        <w:rPr>
          <w:rFonts w:ascii="Arial" w:eastAsia="SimSun" w:hAnsi="Arial" w:cs="Arial"/>
          <w:color w:val="000000"/>
          <w:sz w:val="20"/>
          <w:szCs w:val="20"/>
          <w:lang w:eastAsia="zh-CN"/>
        </w:rPr>
        <w:t>ᵉ</w:t>
      </w:r>
      <w:r w:rsidRPr="004062B4">
        <w:rPr>
          <w:rFonts w:ascii="Verdana" w:eastAsia="SimSun" w:hAnsi="Verdana" w:cs="Calibri"/>
          <w:color w:val="000000"/>
          <w:sz w:val="20"/>
          <w:szCs w:val="20"/>
          <w:lang w:eastAsia="zh-CN"/>
        </w:rPr>
        <w:t xml:space="preserve"> Conseil des ministres de 2013.</w:t>
      </w:r>
    </w:p>
    <w:p w14:paraId="69AC6CBC" w14:textId="287265EA" w:rsidR="00CE415D" w:rsidRPr="004062B4" w:rsidRDefault="00CE415D" w:rsidP="002116ED">
      <w:pPr>
        <w:spacing w:after="120" w:line="240" w:lineRule="auto"/>
        <w:jc w:val="both"/>
        <w:rPr>
          <w:rFonts w:ascii="Verdana" w:eastAsia="SimSun" w:hAnsi="Verdana" w:cs="Calibri"/>
          <w:color w:val="000000"/>
          <w:sz w:val="20"/>
          <w:szCs w:val="20"/>
          <w:lang w:eastAsia="zh-CN"/>
        </w:rPr>
      </w:pPr>
      <w:r w:rsidRPr="004062B4">
        <w:rPr>
          <w:rFonts w:ascii="Verdana" w:eastAsia="SimSun" w:hAnsi="Verdana" w:cs="Calibri"/>
          <w:color w:val="000000"/>
          <w:sz w:val="20"/>
          <w:szCs w:val="20"/>
          <w:lang w:eastAsia="zh-CN"/>
        </w:rPr>
        <w:t>S’ag</w:t>
      </w:r>
      <w:r w:rsidR="002116ED" w:rsidRPr="004062B4">
        <w:rPr>
          <w:rFonts w:ascii="Verdana" w:eastAsia="SimSun" w:hAnsi="Verdana" w:cs="Calibri"/>
          <w:color w:val="000000"/>
          <w:sz w:val="20"/>
          <w:szCs w:val="20"/>
          <w:lang w:eastAsia="zh-CN"/>
        </w:rPr>
        <w:t>i</w:t>
      </w:r>
      <w:r w:rsidRPr="004062B4">
        <w:rPr>
          <w:rFonts w:ascii="Verdana" w:eastAsia="SimSun" w:hAnsi="Verdana" w:cs="Calibri"/>
          <w:color w:val="000000"/>
          <w:sz w:val="20"/>
          <w:szCs w:val="20"/>
          <w:lang w:eastAsia="zh-CN"/>
        </w:rPr>
        <w:t>ssant des termes de référence initiaux, le Secrétariat général avait proposé d’engager les discussions à partir de ceux élaborés pour le poste de Secrétaire général adjoint, présentés au Comité des OPL en mars 2012.</w:t>
      </w:r>
    </w:p>
    <w:p w14:paraId="16D45E29" w14:textId="36FAD019" w:rsidR="00CE415D" w:rsidRPr="004062B4" w:rsidRDefault="00CE415D" w:rsidP="002116ED">
      <w:pPr>
        <w:spacing w:after="120" w:line="240" w:lineRule="auto"/>
        <w:jc w:val="both"/>
        <w:rPr>
          <w:rFonts w:ascii="Verdana" w:eastAsia="SimSun" w:hAnsi="Verdana" w:cs="Calibri"/>
          <w:color w:val="000000"/>
          <w:sz w:val="20"/>
          <w:szCs w:val="20"/>
          <w:lang w:eastAsia="zh-CN"/>
        </w:rPr>
      </w:pPr>
      <w:r w:rsidRPr="004062B4">
        <w:rPr>
          <w:rFonts w:ascii="Verdana" w:eastAsia="SimSun" w:hAnsi="Verdana" w:cs="Calibri"/>
          <w:color w:val="000000"/>
          <w:sz w:val="20"/>
          <w:szCs w:val="20"/>
          <w:lang w:eastAsia="zh-CN"/>
        </w:rPr>
        <w:t>Les termes de référence du poste de Directeur auprès du SG-COI ont été révisés à chaque nouveau processus de sélection. La durée du poste a également été revu</w:t>
      </w:r>
      <w:r w:rsidR="002A2155">
        <w:rPr>
          <w:rFonts w:ascii="Verdana" w:eastAsia="SimSun" w:hAnsi="Verdana" w:cs="Calibri"/>
          <w:color w:val="000000"/>
          <w:sz w:val="20"/>
          <w:szCs w:val="20"/>
          <w:lang w:eastAsia="zh-CN"/>
        </w:rPr>
        <w:t>e</w:t>
      </w:r>
      <w:r w:rsidRPr="004062B4">
        <w:rPr>
          <w:rFonts w:ascii="Verdana" w:eastAsia="SimSun" w:hAnsi="Verdana" w:cs="Calibri"/>
          <w:color w:val="000000"/>
          <w:sz w:val="20"/>
          <w:szCs w:val="20"/>
          <w:lang w:eastAsia="zh-CN"/>
        </w:rPr>
        <w:t xml:space="preserve"> en </w:t>
      </w:r>
      <w:r w:rsidRPr="004062B4">
        <w:rPr>
          <w:rFonts w:ascii="Verdana" w:hAnsi="Verdana"/>
          <w:sz w:val="20"/>
          <w:szCs w:val="20"/>
        </w:rPr>
        <w:t xml:space="preserve">tenant compte des délais dans la ratification de l’accord de </w:t>
      </w:r>
      <w:r w:rsidR="00EE085E" w:rsidRPr="004062B4">
        <w:rPr>
          <w:rFonts w:ascii="Verdana" w:hAnsi="Verdana"/>
          <w:sz w:val="20"/>
          <w:szCs w:val="20"/>
        </w:rPr>
        <w:t>V</w:t>
      </w:r>
      <w:r w:rsidRPr="004062B4">
        <w:rPr>
          <w:rFonts w:ascii="Verdana" w:hAnsi="Verdana"/>
          <w:sz w:val="20"/>
          <w:szCs w:val="20"/>
        </w:rPr>
        <w:t xml:space="preserve">ictoria et les recommandations de la </w:t>
      </w:r>
      <w:r w:rsidRPr="004062B4">
        <w:rPr>
          <w:rFonts w:ascii="Verdana" w:hAnsi="Verdana"/>
          <w:sz w:val="20"/>
          <w:szCs w:val="20"/>
        </w:rPr>
        <w:lastRenderedPageBreak/>
        <w:t>déclaration de Moroni – Article 16 - endossé aux Seychelles par le 34</w:t>
      </w:r>
      <w:r w:rsidRPr="004062B4">
        <w:rPr>
          <w:rFonts w:ascii="Verdana" w:hAnsi="Verdana"/>
          <w:sz w:val="20"/>
          <w:szCs w:val="20"/>
          <w:vertAlign w:val="superscript"/>
        </w:rPr>
        <w:t>eme</w:t>
      </w:r>
      <w:r w:rsidRPr="004062B4">
        <w:rPr>
          <w:rFonts w:ascii="Verdana" w:hAnsi="Verdana"/>
          <w:sz w:val="20"/>
          <w:szCs w:val="20"/>
        </w:rPr>
        <w:t xml:space="preserve"> Conseil des ministres le 06 mars 2020 stipulant que « </w:t>
      </w:r>
      <w:r w:rsidRPr="004062B4">
        <w:rPr>
          <w:rFonts w:ascii="Verdana" w:hAnsi="Verdana" w:cstheme="minorHAnsi"/>
          <w:i/>
          <w:iCs/>
          <w:sz w:val="20"/>
          <w:szCs w:val="20"/>
        </w:rPr>
        <w:t>Les décisions antérieures relatives à la structure actuelle de l’organisation demeurent en vigueur jusqu’à la mise en place de la nouvelle structure ».</w:t>
      </w:r>
    </w:p>
    <w:p w14:paraId="194C0477" w14:textId="77777777" w:rsidR="00CE415D" w:rsidRPr="004062B4" w:rsidRDefault="00CE415D" w:rsidP="002116ED">
      <w:pPr>
        <w:spacing w:after="120" w:line="240" w:lineRule="auto"/>
        <w:contextualSpacing/>
        <w:jc w:val="both"/>
        <w:rPr>
          <w:rFonts w:ascii="Verdana" w:hAnsi="Verdana"/>
          <w:sz w:val="20"/>
          <w:szCs w:val="20"/>
        </w:rPr>
      </w:pPr>
      <w:r w:rsidRPr="004062B4">
        <w:rPr>
          <w:rFonts w:ascii="Verdana" w:hAnsi="Verdana"/>
          <w:sz w:val="20"/>
          <w:szCs w:val="20"/>
        </w:rPr>
        <w:t>Depuis sa création, trois Directeurs ont successivement été mis à disposition :</w:t>
      </w:r>
    </w:p>
    <w:p w14:paraId="14540A32" w14:textId="77777777" w:rsidR="00CE415D" w:rsidRPr="004062B4" w:rsidRDefault="00CE415D" w:rsidP="002116ED">
      <w:pPr>
        <w:pStyle w:val="Paragraphedeliste"/>
        <w:numPr>
          <w:ilvl w:val="0"/>
          <w:numId w:val="21"/>
        </w:numPr>
        <w:spacing w:after="120" w:line="240" w:lineRule="auto"/>
        <w:jc w:val="both"/>
        <w:rPr>
          <w:rFonts w:ascii="Verdana" w:hAnsi="Verdana"/>
          <w:sz w:val="20"/>
          <w:szCs w:val="20"/>
        </w:rPr>
      </w:pPr>
      <w:r w:rsidRPr="004062B4">
        <w:rPr>
          <w:rFonts w:ascii="Verdana" w:hAnsi="Verdana"/>
          <w:sz w:val="20"/>
          <w:szCs w:val="20"/>
        </w:rPr>
        <w:t xml:space="preserve">François VUILLEMIN, Réunion / France, juillet 2013 à août 2019 </w:t>
      </w:r>
    </w:p>
    <w:p w14:paraId="7717E625" w14:textId="12312DF0" w:rsidR="00CE415D" w:rsidRPr="004062B4" w:rsidRDefault="00CE415D" w:rsidP="002116ED">
      <w:pPr>
        <w:pStyle w:val="Paragraphedeliste"/>
        <w:numPr>
          <w:ilvl w:val="0"/>
          <w:numId w:val="21"/>
        </w:numPr>
        <w:spacing w:after="120" w:line="240" w:lineRule="auto"/>
        <w:jc w:val="both"/>
        <w:rPr>
          <w:rFonts w:ascii="Verdana" w:hAnsi="Verdana"/>
          <w:sz w:val="20"/>
          <w:szCs w:val="20"/>
        </w:rPr>
      </w:pPr>
      <w:r w:rsidRPr="004062B4">
        <w:rPr>
          <w:rFonts w:ascii="Verdana" w:hAnsi="Verdana"/>
          <w:sz w:val="20"/>
          <w:szCs w:val="20"/>
        </w:rPr>
        <w:t xml:space="preserve">Mooniswar Dev PHOKEER, Maurice, </w:t>
      </w:r>
      <w:r w:rsidR="00520AE5">
        <w:rPr>
          <w:rFonts w:ascii="Verdana" w:hAnsi="Verdana"/>
          <w:sz w:val="20"/>
          <w:szCs w:val="20"/>
        </w:rPr>
        <w:t>j</w:t>
      </w:r>
      <w:r w:rsidRPr="004062B4">
        <w:rPr>
          <w:rFonts w:ascii="Verdana" w:hAnsi="Verdana"/>
          <w:sz w:val="20"/>
          <w:szCs w:val="20"/>
        </w:rPr>
        <w:t>uillet 2020 à juillet 2023</w:t>
      </w:r>
    </w:p>
    <w:p w14:paraId="6AE50C4E" w14:textId="626BF9D2" w:rsidR="00CE415D" w:rsidRPr="004062B4" w:rsidRDefault="00CE415D" w:rsidP="002116ED">
      <w:pPr>
        <w:pStyle w:val="Paragraphedeliste"/>
        <w:numPr>
          <w:ilvl w:val="0"/>
          <w:numId w:val="21"/>
        </w:numPr>
        <w:spacing w:after="120" w:line="240" w:lineRule="auto"/>
        <w:jc w:val="both"/>
        <w:rPr>
          <w:rFonts w:ascii="Verdana" w:hAnsi="Verdana"/>
          <w:sz w:val="20"/>
          <w:szCs w:val="20"/>
        </w:rPr>
      </w:pPr>
      <w:r w:rsidRPr="004062B4">
        <w:rPr>
          <w:rFonts w:ascii="Verdana" w:hAnsi="Verdana"/>
          <w:sz w:val="20"/>
          <w:szCs w:val="20"/>
        </w:rPr>
        <w:t>Alice N’DIAYE, Madagascar, ao</w:t>
      </w:r>
      <w:r w:rsidR="00705A9F" w:rsidRPr="004062B4">
        <w:rPr>
          <w:rFonts w:ascii="Verdana" w:hAnsi="Verdana"/>
          <w:sz w:val="20"/>
          <w:szCs w:val="20"/>
        </w:rPr>
        <w:t>û</w:t>
      </w:r>
      <w:r w:rsidRPr="004062B4">
        <w:rPr>
          <w:rFonts w:ascii="Verdana" w:hAnsi="Verdana"/>
          <w:sz w:val="20"/>
          <w:szCs w:val="20"/>
        </w:rPr>
        <w:t>t 2023 à ao</w:t>
      </w:r>
      <w:r w:rsidR="00520AE5">
        <w:rPr>
          <w:rFonts w:ascii="Verdana" w:hAnsi="Verdana"/>
          <w:sz w:val="20"/>
          <w:szCs w:val="20"/>
        </w:rPr>
        <w:t>û</w:t>
      </w:r>
      <w:r w:rsidRPr="004062B4">
        <w:rPr>
          <w:rFonts w:ascii="Verdana" w:hAnsi="Verdana"/>
          <w:sz w:val="20"/>
          <w:szCs w:val="20"/>
        </w:rPr>
        <w:t>t 2025.</w:t>
      </w:r>
    </w:p>
    <w:p w14:paraId="7015F7B5" w14:textId="77777777" w:rsidR="00CE415D" w:rsidRPr="004062B4" w:rsidRDefault="00CE415D" w:rsidP="002116ED">
      <w:pPr>
        <w:pStyle w:val="Paragraphedeliste"/>
        <w:spacing w:after="120" w:line="240" w:lineRule="auto"/>
        <w:jc w:val="both"/>
        <w:rPr>
          <w:rFonts w:ascii="Verdana" w:hAnsi="Verdana"/>
          <w:sz w:val="20"/>
          <w:szCs w:val="20"/>
        </w:rPr>
      </w:pPr>
    </w:p>
    <w:p w14:paraId="0688EAE1" w14:textId="4867F220" w:rsidR="00CE415D" w:rsidRPr="004062B4" w:rsidRDefault="00CE415D" w:rsidP="002116ED">
      <w:pPr>
        <w:pStyle w:val="Sous-partie2"/>
        <w:spacing w:after="120"/>
      </w:pPr>
      <w:r w:rsidRPr="004062B4">
        <w:t xml:space="preserve"> Etat d’avancement</w:t>
      </w:r>
    </w:p>
    <w:p w14:paraId="4DA76858" w14:textId="4F0E3356" w:rsidR="00CE415D" w:rsidRPr="004062B4" w:rsidRDefault="00A31764" w:rsidP="002116ED">
      <w:pPr>
        <w:spacing w:after="120" w:line="240" w:lineRule="auto"/>
        <w:jc w:val="both"/>
        <w:rPr>
          <w:rFonts w:ascii="Verdana" w:eastAsia="SimSun" w:hAnsi="Verdana" w:cs="Calibri"/>
          <w:color w:val="000000"/>
          <w:sz w:val="20"/>
          <w:szCs w:val="20"/>
          <w:lang w:eastAsia="zh-CN"/>
        </w:rPr>
      </w:pPr>
      <w:r w:rsidRPr="004062B4">
        <w:rPr>
          <w:rFonts w:ascii="Verdana" w:eastAsia="SimSun" w:hAnsi="Verdana" w:cs="Calibri"/>
          <w:color w:val="000000"/>
          <w:sz w:val="20"/>
          <w:szCs w:val="20"/>
          <w:lang w:eastAsia="zh-CN"/>
        </w:rPr>
        <w:t xml:space="preserve">En vue du recrutement prochain </w:t>
      </w:r>
      <w:r w:rsidR="001B4CCC" w:rsidRPr="004062B4">
        <w:rPr>
          <w:rFonts w:ascii="Verdana" w:eastAsia="SimSun" w:hAnsi="Verdana" w:cs="Calibri"/>
          <w:color w:val="000000"/>
          <w:sz w:val="20"/>
          <w:szCs w:val="20"/>
          <w:lang w:eastAsia="zh-CN"/>
        </w:rPr>
        <w:t xml:space="preserve">d’un </w:t>
      </w:r>
      <w:r w:rsidR="00834B94" w:rsidRPr="004062B4">
        <w:rPr>
          <w:rFonts w:ascii="Verdana" w:eastAsia="SimSun" w:hAnsi="Verdana" w:cs="Calibri"/>
          <w:color w:val="000000"/>
          <w:sz w:val="20"/>
          <w:szCs w:val="20"/>
          <w:lang w:eastAsia="zh-CN"/>
        </w:rPr>
        <w:t>D</w:t>
      </w:r>
      <w:r w:rsidRPr="004062B4">
        <w:rPr>
          <w:rFonts w:ascii="Verdana" w:eastAsia="SimSun" w:hAnsi="Verdana" w:cs="Calibri"/>
          <w:color w:val="000000"/>
          <w:sz w:val="20"/>
          <w:szCs w:val="20"/>
          <w:lang w:eastAsia="zh-CN"/>
        </w:rPr>
        <w:t xml:space="preserve">irecteur auprès du </w:t>
      </w:r>
      <w:r w:rsidR="001B4CCC" w:rsidRPr="004062B4">
        <w:rPr>
          <w:rFonts w:ascii="Verdana" w:eastAsia="SimSun" w:hAnsi="Verdana" w:cs="Calibri"/>
          <w:color w:val="000000"/>
          <w:sz w:val="20"/>
          <w:szCs w:val="20"/>
          <w:lang w:eastAsia="zh-CN"/>
        </w:rPr>
        <w:t>S</w:t>
      </w:r>
      <w:r w:rsidRPr="004062B4">
        <w:rPr>
          <w:rFonts w:ascii="Verdana" w:eastAsia="SimSun" w:hAnsi="Verdana" w:cs="Calibri"/>
          <w:color w:val="000000"/>
          <w:sz w:val="20"/>
          <w:szCs w:val="20"/>
          <w:lang w:eastAsia="zh-CN"/>
        </w:rPr>
        <w:t>ecrétariat général, l</w:t>
      </w:r>
      <w:r w:rsidR="00CE415D" w:rsidRPr="004062B4">
        <w:rPr>
          <w:rFonts w:ascii="Verdana" w:eastAsia="SimSun" w:hAnsi="Verdana" w:cs="Calibri"/>
          <w:color w:val="000000"/>
          <w:sz w:val="20"/>
          <w:szCs w:val="20"/>
          <w:lang w:eastAsia="zh-CN"/>
        </w:rPr>
        <w:t>e COPL 02/20</w:t>
      </w:r>
      <w:r w:rsidR="00E429A6" w:rsidRPr="004062B4">
        <w:rPr>
          <w:rFonts w:ascii="Verdana" w:eastAsia="SimSun" w:hAnsi="Verdana" w:cs="Calibri"/>
          <w:color w:val="000000"/>
          <w:sz w:val="20"/>
          <w:szCs w:val="20"/>
          <w:lang w:eastAsia="zh-CN"/>
        </w:rPr>
        <w:t>24</w:t>
      </w:r>
      <w:r w:rsidR="00CE415D" w:rsidRPr="004062B4">
        <w:rPr>
          <w:rFonts w:ascii="Verdana" w:eastAsia="SimSun" w:hAnsi="Verdana" w:cs="Calibri"/>
          <w:color w:val="000000"/>
          <w:sz w:val="20"/>
          <w:szCs w:val="20"/>
          <w:lang w:eastAsia="zh-CN"/>
        </w:rPr>
        <w:t xml:space="preserve">, </w:t>
      </w:r>
      <w:r w:rsidR="00974808" w:rsidRPr="004062B4">
        <w:rPr>
          <w:rFonts w:ascii="Verdana" w:eastAsia="SimSun" w:hAnsi="Verdana" w:cs="Calibri"/>
          <w:color w:val="000000"/>
          <w:sz w:val="20"/>
          <w:szCs w:val="20"/>
          <w:lang w:eastAsia="zh-CN"/>
        </w:rPr>
        <w:t xml:space="preserve">du </w:t>
      </w:r>
      <w:r w:rsidR="00A73750" w:rsidRPr="004062B4">
        <w:rPr>
          <w:rFonts w:ascii="Verdana" w:eastAsia="SimSun" w:hAnsi="Verdana" w:cs="Calibri"/>
          <w:color w:val="000000"/>
          <w:sz w:val="20"/>
          <w:szCs w:val="20"/>
          <w:lang w:eastAsia="zh-CN"/>
        </w:rPr>
        <w:t>02-03 décembre</w:t>
      </w:r>
      <w:r w:rsidRPr="004062B4">
        <w:rPr>
          <w:rFonts w:ascii="Verdana" w:eastAsia="SimSun" w:hAnsi="Verdana" w:cs="Calibri"/>
          <w:color w:val="000000"/>
          <w:sz w:val="20"/>
          <w:szCs w:val="20"/>
          <w:lang w:eastAsia="zh-CN"/>
        </w:rPr>
        <w:t xml:space="preserve"> </w:t>
      </w:r>
      <w:r w:rsidR="00974808" w:rsidRPr="004062B4">
        <w:rPr>
          <w:rFonts w:ascii="Verdana" w:eastAsia="SimSun" w:hAnsi="Verdana" w:cs="Calibri"/>
          <w:color w:val="000000"/>
          <w:sz w:val="20"/>
          <w:szCs w:val="20"/>
          <w:lang w:eastAsia="zh-CN"/>
        </w:rPr>
        <w:t>2024, par</w:t>
      </w:r>
      <w:r w:rsidR="00CE415D" w:rsidRPr="004062B4">
        <w:rPr>
          <w:rFonts w:ascii="Verdana" w:eastAsia="SimSun" w:hAnsi="Verdana" w:cs="Calibri"/>
          <w:color w:val="000000"/>
          <w:sz w:val="20"/>
          <w:szCs w:val="20"/>
          <w:lang w:eastAsia="zh-CN"/>
        </w:rPr>
        <w:t xml:space="preserve"> sa décision 18</w:t>
      </w:r>
      <w:r w:rsidR="006E469A" w:rsidRPr="004062B4">
        <w:rPr>
          <w:rFonts w:ascii="Verdana" w:eastAsia="SimSun" w:hAnsi="Verdana" w:cs="Calibri"/>
          <w:color w:val="000000"/>
          <w:sz w:val="20"/>
          <w:szCs w:val="20"/>
          <w:lang w:eastAsia="zh-CN"/>
        </w:rPr>
        <w:t xml:space="preserve"> (g)</w:t>
      </w:r>
      <w:r w:rsidR="00CE415D" w:rsidRPr="004062B4">
        <w:rPr>
          <w:rFonts w:ascii="Verdana" w:eastAsia="SimSun" w:hAnsi="Verdana" w:cs="Calibri"/>
          <w:color w:val="000000"/>
          <w:sz w:val="20"/>
          <w:szCs w:val="20"/>
          <w:lang w:eastAsia="zh-CN"/>
        </w:rPr>
        <w:t xml:space="preserve">, a convenu de réviser les termes de référence du poste de directeur auprès du </w:t>
      </w:r>
      <w:r w:rsidR="001B4CCC" w:rsidRPr="004062B4">
        <w:rPr>
          <w:rFonts w:ascii="Verdana" w:eastAsia="SimSun" w:hAnsi="Verdana" w:cs="Calibri"/>
          <w:color w:val="000000"/>
          <w:sz w:val="20"/>
          <w:szCs w:val="20"/>
          <w:lang w:eastAsia="zh-CN"/>
        </w:rPr>
        <w:t>S</w:t>
      </w:r>
      <w:r w:rsidR="00CE415D" w:rsidRPr="004062B4">
        <w:rPr>
          <w:rFonts w:ascii="Verdana" w:eastAsia="SimSun" w:hAnsi="Verdana" w:cs="Calibri"/>
          <w:color w:val="000000"/>
          <w:sz w:val="20"/>
          <w:szCs w:val="20"/>
          <w:lang w:eastAsia="zh-CN"/>
        </w:rPr>
        <w:t xml:space="preserve">ecrétariat général </w:t>
      </w:r>
      <w:r w:rsidR="00CE415D" w:rsidRPr="004062B4">
        <w:rPr>
          <w:rFonts w:ascii="Verdana" w:eastAsia="SimSun" w:hAnsi="Verdana" w:cs="Calibri"/>
          <w:b/>
          <w:bCs/>
          <w:color w:val="000000"/>
          <w:sz w:val="20"/>
          <w:szCs w:val="20"/>
          <w:lang w:eastAsia="zh-CN"/>
        </w:rPr>
        <w:t xml:space="preserve">(Annexe </w:t>
      </w:r>
      <w:r w:rsidR="00B13907" w:rsidRPr="004062B4">
        <w:rPr>
          <w:rFonts w:ascii="Verdana" w:eastAsia="SimSun" w:hAnsi="Verdana" w:cs="Calibri"/>
          <w:b/>
          <w:bCs/>
          <w:color w:val="000000"/>
          <w:sz w:val="20"/>
          <w:szCs w:val="20"/>
          <w:lang w:eastAsia="zh-CN"/>
        </w:rPr>
        <w:t>3</w:t>
      </w:r>
      <w:r w:rsidR="00CE415D" w:rsidRPr="004062B4">
        <w:rPr>
          <w:rFonts w:ascii="Verdana" w:eastAsia="SimSun" w:hAnsi="Verdana" w:cs="Calibri"/>
          <w:b/>
          <w:bCs/>
          <w:color w:val="000000"/>
          <w:sz w:val="20"/>
          <w:szCs w:val="20"/>
          <w:lang w:eastAsia="zh-CN"/>
        </w:rPr>
        <w:t>)</w:t>
      </w:r>
      <w:r w:rsidR="00CE415D" w:rsidRPr="004062B4">
        <w:rPr>
          <w:rFonts w:ascii="Verdana" w:eastAsia="SimSun" w:hAnsi="Verdana" w:cs="Calibri"/>
          <w:color w:val="000000"/>
          <w:sz w:val="20"/>
          <w:szCs w:val="20"/>
          <w:lang w:eastAsia="zh-CN"/>
        </w:rPr>
        <w:t xml:space="preserve"> d’ici le 15 janvier 2025</w:t>
      </w:r>
      <w:r w:rsidR="00974808" w:rsidRPr="004062B4">
        <w:rPr>
          <w:rFonts w:ascii="Verdana" w:eastAsia="SimSun" w:hAnsi="Verdana" w:cs="Calibri"/>
          <w:color w:val="000000"/>
          <w:sz w:val="20"/>
          <w:szCs w:val="20"/>
          <w:lang w:eastAsia="zh-CN"/>
        </w:rPr>
        <w:t>,</w:t>
      </w:r>
      <w:r w:rsidR="00CE415D" w:rsidRPr="004062B4">
        <w:rPr>
          <w:rFonts w:ascii="Verdana" w:eastAsia="SimSun" w:hAnsi="Verdana" w:cs="Calibri"/>
          <w:color w:val="000000"/>
          <w:sz w:val="20"/>
          <w:szCs w:val="20"/>
          <w:lang w:eastAsia="zh-CN"/>
        </w:rPr>
        <w:t xml:space="preserve"> afin de permettre le lancement du recrutement le 1er février et une prise de poste début ao</w:t>
      </w:r>
      <w:r w:rsidR="00AF2FDE" w:rsidRPr="004062B4">
        <w:rPr>
          <w:rFonts w:ascii="Verdana" w:eastAsia="SimSun" w:hAnsi="Verdana" w:cs="Calibri"/>
          <w:color w:val="000000"/>
          <w:sz w:val="20"/>
          <w:szCs w:val="20"/>
          <w:lang w:eastAsia="zh-CN"/>
        </w:rPr>
        <w:t>û</w:t>
      </w:r>
      <w:r w:rsidR="00CE415D" w:rsidRPr="004062B4">
        <w:rPr>
          <w:rFonts w:ascii="Verdana" w:eastAsia="SimSun" w:hAnsi="Verdana" w:cs="Calibri"/>
          <w:color w:val="000000"/>
          <w:sz w:val="20"/>
          <w:szCs w:val="20"/>
          <w:lang w:eastAsia="zh-CN"/>
        </w:rPr>
        <w:t>t 2025.</w:t>
      </w:r>
    </w:p>
    <w:p w14:paraId="2A5AD10F" w14:textId="77777777" w:rsidR="00CE415D" w:rsidRPr="004062B4" w:rsidRDefault="00CE415D" w:rsidP="002116ED">
      <w:pPr>
        <w:spacing w:after="120" w:line="240" w:lineRule="auto"/>
        <w:jc w:val="both"/>
        <w:rPr>
          <w:rFonts w:ascii="Verdana" w:hAnsi="Verdana"/>
          <w:sz w:val="20"/>
          <w:szCs w:val="20"/>
        </w:rPr>
      </w:pPr>
      <w:r w:rsidRPr="004062B4">
        <w:rPr>
          <w:rFonts w:ascii="Verdana" w:hAnsi="Verdana"/>
          <w:sz w:val="20"/>
          <w:szCs w:val="20"/>
        </w:rPr>
        <w:t>Les termes de référence du poste de directeur auprès du Secrétariat général ont été communiqués aux États membres en vue de recueillir leurs commentaires.</w:t>
      </w:r>
      <w:r w:rsidRPr="004062B4">
        <w:t xml:space="preserve"> </w:t>
      </w:r>
      <w:r w:rsidRPr="004062B4">
        <w:rPr>
          <w:rFonts w:ascii="Verdana" w:hAnsi="Verdana"/>
          <w:sz w:val="20"/>
          <w:szCs w:val="20"/>
        </w:rPr>
        <w:t>Des observations écrites ont été reçues de la part de la partie mauricienne et la partie française.</w:t>
      </w:r>
    </w:p>
    <w:p w14:paraId="1E7EEAB1" w14:textId="7F67688F" w:rsidR="00CE415D" w:rsidRPr="004062B4" w:rsidRDefault="00CE415D" w:rsidP="002116ED">
      <w:pPr>
        <w:spacing w:after="120" w:line="240" w:lineRule="auto"/>
        <w:contextualSpacing/>
        <w:jc w:val="both"/>
        <w:rPr>
          <w:rFonts w:ascii="Verdana" w:hAnsi="Verdana"/>
          <w:sz w:val="20"/>
          <w:szCs w:val="20"/>
        </w:rPr>
      </w:pPr>
      <w:r w:rsidRPr="004062B4">
        <w:rPr>
          <w:rFonts w:ascii="Verdana" w:hAnsi="Verdana"/>
          <w:sz w:val="20"/>
          <w:szCs w:val="20"/>
        </w:rPr>
        <w:t xml:space="preserve">Afin de faire progresser le dossier, une réunion virtuelle s’est tenue le 24 mars 2025, au cours de laquelle ont été abordés </w:t>
      </w:r>
      <w:r w:rsidR="00D42E6D" w:rsidRPr="004062B4">
        <w:rPr>
          <w:rFonts w:ascii="Verdana" w:hAnsi="Verdana"/>
          <w:sz w:val="20"/>
          <w:szCs w:val="20"/>
        </w:rPr>
        <w:t xml:space="preserve">à la fois </w:t>
      </w:r>
      <w:r w:rsidRPr="004062B4">
        <w:rPr>
          <w:rFonts w:ascii="Verdana" w:hAnsi="Verdana"/>
          <w:sz w:val="20"/>
          <w:szCs w:val="20"/>
        </w:rPr>
        <w:t xml:space="preserve">les termes de référence </w:t>
      </w:r>
      <w:r w:rsidR="00D42E6D" w:rsidRPr="004062B4">
        <w:rPr>
          <w:rFonts w:ascii="Verdana" w:hAnsi="Verdana"/>
          <w:sz w:val="20"/>
          <w:szCs w:val="20"/>
        </w:rPr>
        <w:t>et</w:t>
      </w:r>
      <w:r w:rsidRPr="004062B4">
        <w:rPr>
          <w:rFonts w:ascii="Verdana" w:hAnsi="Verdana"/>
          <w:sz w:val="20"/>
          <w:szCs w:val="20"/>
        </w:rPr>
        <w:t xml:space="preserve"> les modalités de recrutement.</w:t>
      </w:r>
      <w:r w:rsidR="00931BC8" w:rsidRPr="004062B4">
        <w:rPr>
          <w:rFonts w:ascii="Verdana" w:hAnsi="Verdana"/>
          <w:sz w:val="20"/>
          <w:szCs w:val="20"/>
        </w:rPr>
        <w:t xml:space="preserve"> </w:t>
      </w:r>
      <w:r w:rsidRPr="004062B4">
        <w:rPr>
          <w:rFonts w:ascii="Verdana" w:hAnsi="Verdana"/>
          <w:sz w:val="20"/>
          <w:szCs w:val="20"/>
        </w:rPr>
        <w:t xml:space="preserve">Lors </w:t>
      </w:r>
      <w:r w:rsidR="002A2155">
        <w:rPr>
          <w:rFonts w:ascii="Verdana" w:hAnsi="Verdana"/>
          <w:sz w:val="20"/>
          <w:szCs w:val="20"/>
        </w:rPr>
        <w:t xml:space="preserve">de </w:t>
      </w:r>
      <w:r w:rsidR="00D42E6D" w:rsidRPr="004062B4">
        <w:rPr>
          <w:rFonts w:ascii="Verdana" w:hAnsi="Verdana"/>
          <w:sz w:val="20"/>
          <w:szCs w:val="20"/>
        </w:rPr>
        <w:t>cette réu</w:t>
      </w:r>
      <w:r w:rsidR="00931BC8" w:rsidRPr="004062B4">
        <w:rPr>
          <w:rFonts w:ascii="Verdana" w:hAnsi="Verdana"/>
          <w:sz w:val="20"/>
          <w:szCs w:val="20"/>
        </w:rPr>
        <w:t>nion</w:t>
      </w:r>
      <w:r w:rsidRPr="004062B4">
        <w:rPr>
          <w:rFonts w:ascii="Verdana" w:hAnsi="Verdana"/>
          <w:sz w:val="20"/>
          <w:szCs w:val="20"/>
        </w:rPr>
        <w:t xml:space="preserve">, la possibilité de créer </w:t>
      </w:r>
      <w:r w:rsidR="00931BC8" w:rsidRPr="004062B4">
        <w:rPr>
          <w:rFonts w:ascii="Verdana" w:hAnsi="Verdana"/>
          <w:sz w:val="20"/>
          <w:szCs w:val="20"/>
        </w:rPr>
        <w:t>un</w:t>
      </w:r>
      <w:r w:rsidRPr="004062B4">
        <w:rPr>
          <w:rFonts w:ascii="Verdana" w:hAnsi="Verdana"/>
          <w:sz w:val="20"/>
          <w:szCs w:val="20"/>
        </w:rPr>
        <w:t xml:space="preserve"> poste de Secrétaire général adjoint, en amont de la ratification de l’Accord de Victoria révisé, a été </w:t>
      </w:r>
      <w:r w:rsidR="002A2155">
        <w:rPr>
          <w:rFonts w:ascii="Verdana" w:hAnsi="Verdana"/>
          <w:sz w:val="20"/>
          <w:szCs w:val="20"/>
        </w:rPr>
        <w:t>évoquée</w:t>
      </w:r>
      <w:r w:rsidRPr="004062B4">
        <w:rPr>
          <w:rFonts w:ascii="Verdana" w:hAnsi="Verdana"/>
          <w:sz w:val="20"/>
          <w:szCs w:val="20"/>
        </w:rPr>
        <w:t xml:space="preserve">. </w:t>
      </w:r>
    </w:p>
    <w:p w14:paraId="6730D9DA" w14:textId="77777777" w:rsidR="00705A9F" w:rsidRPr="004062B4" w:rsidRDefault="00705A9F" w:rsidP="002116ED">
      <w:pPr>
        <w:spacing w:after="120" w:line="240" w:lineRule="auto"/>
        <w:contextualSpacing/>
        <w:jc w:val="both"/>
        <w:rPr>
          <w:rFonts w:ascii="Verdana" w:hAnsi="Verdana"/>
          <w:sz w:val="20"/>
          <w:szCs w:val="20"/>
        </w:rPr>
      </w:pPr>
    </w:p>
    <w:p w14:paraId="5D074BF6" w14:textId="399CD4AA" w:rsidR="00124804" w:rsidRPr="004062B4" w:rsidRDefault="00F87CC7" w:rsidP="002116ED">
      <w:pPr>
        <w:spacing w:after="120" w:line="240" w:lineRule="auto"/>
        <w:contextualSpacing/>
        <w:jc w:val="both"/>
        <w:rPr>
          <w:rFonts w:ascii="Verdana" w:hAnsi="Verdana"/>
          <w:sz w:val="20"/>
          <w:szCs w:val="20"/>
        </w:rPr>
      </w:pPr>
      <w:r w:rsidRPr="004062B4">
        <w:rPr>
          <w:rFonts w:ascii="Verdana" w:hAnsi="Verdana"/>
          <w:sz w:val="20"/>
          <w:szCs w:val="20"/>
        </w:rPr>
        <w:t>Cette proposition a donc été soumise au COPL 1/2025</w:t>
      </w:r>
      <w:r w:rsidR="002F5914" w:rsidRPr="004062B4">
        <w:rPr>
          <w:rFonts w:ascii="Verdana" w:hAnsi="Verdana"/>
          <w:sz w:val="20"/>
          <w:szCs w:val="20"/>
        </w:rPr>
        <w:t xml:space="preserve">, </w:t>
      </w:r>
      <w:r w:rsidR="009E5A84" w:rsidRPr="004062B4">
        <w:rPr>
          <w:rFonts w:ascii="Verdana" w:hAnsi="Verdana"/>
          <w:sz w:val="20"/>
          <w:szCs w:val="20"/>
        </w:rPr>
        <w:t xml:space="preserve">tenu le </w:t>
      </w:r>
      <w:r w:rsidR="002F5914" w:rsidRPr="004062B4">
        <w:rPr>
          <w:rFonts w:ascii="Verdana" w:hAnsi="Verdana"/>
          <w:sz w:val="20"/>
          <w:szCs w:val="20"/>
        </w:rPr>
        <w:t xml:space="preserve">04-06 avril 2025, </w:t>
      </w:r>
      <w:r w:rsidR="009E5A84" w:rsidRPr="004062B4">
        <w:rPr>
          <w:rFonts w:ascii="Verdana" w:hAnsi="Verdana"/>
          <w:sz w:val="20"/>
          <w:szCs w:val="20"/>
        </w:rPr>
        <w:t xml:space="preserve">à Ebène, </w:t>
      </w:r>
      <w:r w:rsidR="002F5914" w:rsidRPr="004062B4">
        <w:rPr>
          <w:rFonts w:ascii="Verdana" w:hAnsi="Verdana"/>
          <w:sz w:val="20"/>
          <w:szCs w:val="20"/>
        </w:rPr>
        <w:t>Maurice</w:t>
      </w:r>
      <w:r w:rsidR="00F1472B" w:rsidRPr="004062B4">
        <w:rPr>
          <w:rFonts w:ascii="Verdana" w:hAnsi="Verdana"/>
          <w:sz w:val="20"/>
          <w:szCs w:val="20"/>
        </w:rPr>
        <w:t xml:space="preserve">. </w:t>
      </w:r>
      <w:r w:rsidR="00705A9F" w:rsidRPr="004062B4">
        <w:rPr>
          <w:rFonts w:ascii="Verdana" w:hAnsi="Verdana"/>
          <w:sz w:val="20"/>
          <w:szCs w:val="20"/>
        </w:rPr>
        <w:t>À</w:t>
      </w:r>
      <w:r w:rsidR="009E5A84" w:rsidRPr="004062B4">
        <w:rPr>
          <w:rFonts w:ascii="Verdana" w:hAnsi="Verdana"/>
          <w:sz w:val="20"/>
          <w:szCs w:val="20"/>
        </w:rPr>
        <w:t xml:space="preserve"> cette occasion, l</w:t>
      </w:r>
      <w:r w:rsidR="00F1472B" w:rsidRPr="004062B4">
        <w:rPr>
          <w:rFonts w:ascii="Verdana" w:hAnsi="Verdana"/>
          <w:sz w:val="20"/>
          <w:szCs w:val="20"/>
        </w:rPr>
        <w:t>e COPL</w:t>
      </w:r>
      <w:r w:rsidR="00124804" w:rsidRPr="004062B4">
        <w:rPr>
          <w:rFonts w:ascii="Verdana" w:hAnsi="Verdana"/>
          <w:sz w:val="20"/>
          <w:szCs w:val="20"/>
        </w:rPr>
        <w:t>,</w:t>
      </w:r>
      <w:r w:rsidR="00F1472B" w:rsidRPr="004062B4">
        <w:rPr>
          <w:rFonts w:ascii="Verdana" w:hAnsi="Verdana"/>
          <w:sz w:val="20"/>
          <w:szCs w:val="20"/>
        </w:rPr>
        <w:t xml:space="preserve"> </w:t>
      </w:r>
      <w:r w:rsidR="002F6004" w:rsidRPr="004062B4">
        <w:rPr>
          <w:rFonts w:ascii="Verdana" w:hAnsi="Verdana"/>
          <w:sz w:val="20"/>
          <w:szCs w:val="20"/>
        </w:rPr>
        <w:t>par sa</w:t>
      </w:r>
      <w:r w:rsidR="00F1472B" w:rsidRPr="004062B4">
        <w:rPr>
          <w:rFonts w:ascii="Verdana" w:hAnsi="Verdana"/>
          <w:sz w:val="20"/>
          <w:szCs w:val="20"/>
        </w:rPr>
        <w:t xml:space="preserve"> </w:t>
      </w:r>
      <w:r w:rsidR="0086101E" w:rsidRPr="004062B4">
        <w:rPr>
          <w:rFonts w:ascii="Verdana" w:hAnsi="Verdana"/>
          <w:sz w:val="20"/>
          <w:szCs w:val="20"/>
        </w:rPr>
        <w:t>décision</w:t>
      </w:r>
      <w:r w:rsidR="00F1472B" w:rsidRPr="004062B4">
        <w:rPr>
          <w:rFonts w:ascii="Verdana" w:hAnsi="Verdana"/>
          <w:sz w:val="20"/>
          <w:szCs w:val="20"/>
        </w:rPr>
        <w:t xml:space="preserve"> 18 </w:t>
      </w:r>
      <w:r w:rsidR="00B11D7A" w:rsidRPr="004062B4">
        <w:rPr>
          <w:rFonts w:ascii="Verdana" w:hAnsi="Verdana"/>
          <w:sz w:val="20"/>
          <w:szCs w:val="20"/>
        </w:rPr>
        <w:t>(a ii) a invit</w:t>
      </w:r>
      <w:r w:rsidR="00124804" w:rsidRPr="004062B4">
        <w:rPr>
          <w:rFonts w:ascii="Verdana" w:hAnsi="Verdana"/>
          <w:sz w:val="20"/>
          <w:szCs w:val="20"/>
        </w:rPr>
        <w:t>é</w:t>
      </w:r>
      <w:r w:rsidR="00B11D7A" w:rsidRPr="004062B4">
        <w:rPr>
          <w:rFonts w:ascii="Verdana" w:hAnsi="Verdana"/>
          <w:sz w:val="20"/>
          <w:szCs w:val="20"/>
        </w:rPr>
        <w:t xml:space="preserve"> le </w:t>
      </w:r>
      <w:r w:rsidR="0086101E" w:rsidRPr="004062B4">
        <w:rPr>
          <w:rFonts w:ascii="Verdana" w:hAnsi="Verdana"/>
          <w:sz w:val="20"/>
          <w:szCs w:val="20"/>
        </w:rPr>
        <w:t>C</w:t>
      </w:r>
      <w:r w:rsidR="00B11D7A" w:rsidRPr="004062B4">
        <w:rPr>
          <w:rFonts w:ascii="Verdana" w:hAnsi="Verdana"/>
          <w:sz w:val="20"/>
          <w:szCs w:val="20"/>
        </w:rPr>
        <w:t xml:space="preserve">onseil des ministres </w:t>
      </w:r>
      <w:r w:rsidR="00124804" w:rsidRPr="004062B4">
        <w:rPr>
          <w:rFonts w:ascii="Verdana" w:hAnsi="Verdana"/>
          <w:sz w:val="20"/>
          <w:szCs w:val="20"/>
        </w:rPr>
        <w:t xml:space="preserve">à : </w:t>
      </w:r>
    </w:p>
    <w:p w14:paraId="67AAB06B" w14:textId="2E0CB772" w:rsidR="00124804" w:rsidRPr="004062B4" w:rsidRDefault="00C44506" w:rsidP="002116ED">
      <w:pPr>
        <w:pStyle w:val="Paragraphedeliste"/>
        <w:numPr>
          <w:ilvl w:val="0"/>
          <w:numId w:val="28"/>
        </w:numPr>
        <w:spacing w:after="120" w:line="240" w:lineRule="auto"/>
        <w:jc w:val="both"/>
        <w:rPr>
          <w:rFonts w:ascii="Verdana" w:hAnsi="Verdana"/>
          <w:i/>
          <w:iCs/>
          <w:sz w:val="20"/>
          <w:szCs w:val="20"/>
        </w:rPr>
      </w:pPr>
      <w:r w:rsidRPr="004062B4">
        <w:rPr>
          <w:rFonts w:ascii="Verdana" w:hAnsi="Verdana"/>
          <w:i/>
          <w:iCs/>
          <w:sz w:val="20"/>
          <w:szCs w:val="20"/>
        </w:rPr>
        <w:t>« S</w:t>
      </w:r>
      <w:r w:rsidR="00B11D7A" w:rsidRPr="004062B4">
        <w:rPr>
          <w:rFonts w:ascii="Verdana" w:hAnsi="Verdana"/>
          <w:i/>
          <w:iCs/>
          <w:sz w:val="20"/>
          <w:szCs w:val="20"/>
        </w:rPr>
        <w:t xml:space="preserve">e prononcer sur la possibilité </w:t>
      </w:r>
      <w:r w:rsidR="00ED77E4" w:rsidRPr="004062B4">
        <w:rPr>
          <w:rFonts w:ascii="Verdana" w:hAnsi="Verdana"/>
          <w:i/>
          <w:iCs/>
          <w:sz w:val="20"/>
          <w:szCs w:val="20"/>
        </w:rPr>
        <w:t xml:space="preserve">de créer la fonction de </w:t>
      </w:r>
      <w:r w:rsidRPr="004062B4">
        <w:rPr>
          <w:rFonts w:ascii="Verdana" w:hAnsi="Verdana"/>
          <w:i/>
          <w:iCs/>
          <w:sz w:val="20"/>
          <w:szCs w:val="20"/>
        </w:rPr>
        <w:t>S</w:t>
      </w:r>
      <w:r w:rsidR="00ED77E4" w:rsidRPr="004062B4">
        <w:rPr>
          <w:rFonts w:ascii="Verdana" w:hAnsi="Verdana"/>
          <w:i/>
          <w:iCs/>
          <w:sz w:val="20"/>
          <w:szCs w:val="20"/>
        </w:rPr>
        <w:t xml:space="preserve">ecrétaire général adjoint </w:t>
      </w:r>
      <w:r w:rsidR="000D13EE" w:rsidRPr="004062B4">
        <w:rPr>
          <w:rFonts w:ascii="Verdana" w:hAnsi="Verdana"/>
          <w:i/>
          <w:iCs/>
          <w:sz w:val="20"/>
          <w:szCs w:val="20"/>
        </w:rPr>
        <w:t xml:space="preserve">conformément à la </w:t>
      </w:r>
      <w:r w:rsidR="0086101E" w:rsidRPr="004062B4">
        <w:rPr>
          <w:rFonts w:ascii="Verdana" w:hAnsi="Verdana"/>
          <w:i/>
          <w:iCs/>
          <w:sz w:val="20"/>
          <w:szCs w:val="20"/>
        </w:rPr>
        <w:t>D</w:t>
      </w:r>
      <w:r w:rsidR="000D13EE" w:rsidRPr="004062B4">
        <w:rPr>
          <w:rFonts w:ascii="Verdana" w:hAnsi="Verdana"/>
          <w:i/>
          <w:iCs/>
          <w:sz w:val="20"/>
          <w:szCs w:val="20"/>
        </w:rPr>
        <w:t xml:space="preserve">éclaration de Moroni de 2019 </w:t>
      </w:r>
    </w:p>
    <w:p w14:paraId="69E656B4" w14:textId="66D72B72" w:rsidR="00124804" w:rsidRPr="004062B4" w:rsidRDefault="000D13EE" w:rsidP="002116ED">
      <w:pPr>
        <w:pStyle w:val="Paragraphedeliste"/>
        <w:spacing w:after="120" w:line="240" w:lineRule="auto"/>
        <w:jc w:val="both"/>
        <w:rPr>
          <w:rFonts w:ascii="Verdana" w:hAnsi="Verdana"/>
          <w:i/>
          <w:iCs/>
          <w:sz w:val="20"/>
          <w:szCs w:val="20"/>
        </w:rPr>
      </w:pPr>
      <w:r w:rsidRPr="004062B4">
        <w:rPr>
          <w:rFonts w:ascii="Verdana" w:hAnsi="Verdana"/>
          <w:i/>
          <w:iCs/>
          <w:sz w:val="20"/>
          <w:szCs w:val="20"/>
        </w:rPr>
        <w:t xml:space="preserve">ou </w:t>
      </w:r>
    </w:p>
    <w:p w14:paraId="37363D84" w14:textId="77B8F962" w:rsidR="00F87CC7" w:rsidRPr="004062B4" w:rsidRDefault="00C44506" w:rsidP="002116ED">
      <w:pPr>
        <w:pStyle w:val="Paragraphedeliste"/>
        <w:numPr>
          <w:ilvl w:val="0"/>
          <w:numId w:val="28"/>
        </w:numPr>
        <w:spacing w:after="120" w:line="240" w:lineRule="auto"/>
        <w:jc w:val="both"/>
        <w:rPr>
          <w:rFonts w:ascii="Verdana" w:hAnsi="Verdana"/>
          <w:i/>
          <w:iCs/>
          <w:sz w:val="20"/>
          <w:szCs w:val="20"/>
        </w:rPr>
      </w:pPr>
      <w:r w:rsidRPr="004062B4">
        <w:rPr>
          <w:rFonts w:ascii="Verdana" w:hAnsi="Verdana"/>
          <w:i/>
          <w:iCs/>
          <w:sz w:val="20"/>
          <w:szCs w:val="20"/>
        </w:rPr>
        <w:t>D</w:t>
      </w:r>
      <w:r w:rsidR="000D13EE" w:rsidRPr="004062B4">
        <w:rPr>
          <w:rFonts w:ascii="Verdana" w:hAnsi="Verdana"/>
          <w:i/>
          <w:iCs/>
          <w:sz w:val="20"/>
          <w:szCs w:val="20"/>
        </w:rPr>
        <w:t xml:space="preserve">onner mandat au </w:t>
      </w:r>
      <w:r w:rsidRPr="004062B4">
        <w:rPr>
          <w:rFonts w:ascii="Verdana" w:hAnsi="Verdana"/>
          <w:i/>
          <w:iCs/>
          <w:sz w:val="20"/>
          <w:szCs w:val="20"/>
        </w:rPr>
        <w:t>C</w:t>
      </w:r>
      <w:r w:rsidR="000D13EE" w:rsidRPr="004062B4">
        <w:rPr>
          <w:rFonts w:ascii="Verdana" w:hAnsi="Verdana"/>
          <w:i/>
          <w:iCs/>
          <w:sz w:val="20"/>
          <w:szCs w:val="20"/>
        </w:rPr>
        <w:t xml:space="preserve">omité des OPL </w:t>
      </w:r>
      <w:r w:rsidR="0086101E" w:rsidRPr="004062B4">
        <w:rPr>
          <w:rFonts w:ascii="Verdana" w:hAnsi="Verdana"/>
          <w:i/>
          <w:iCs/>
          <w:sz w:val="20"/>
          <w:szCs w:val="20"/>
        </w:rPr>
        <w:t xml:space="preserve">de réviser les termes de référence du poste de </w:t>
      </w:r>
      <w:r w:rsidR="002A2155">
        <w:rPr>
          <w:rFonts w:ascii="Verdana" w:hAnsi="Verdana"/>
          <w:i/>
          <w:iCs/>
          <w:sz w:val="20"/>
          <w:szCs w:val="20"/>
        </w:rPr>
        <w:t>D</w:t>
      </w:r>
      <w:r w:rsidR="0086101E" w:rsidRPr="004062B4">
        <w:rPr>
          <w:rFonts w:ascii="Verdana" w:hAnsi="Verdana"/>
          <w:i/>
          <w:iCs/>
          <w:sz w:val="20"/>
          <w:szCs w:val="20"/>
        </w:rPr>
        <w:t>irecteur dans le cadre de l’Accord de Victoria</w:t>
      </w:r>
      <w:r w:rsidRPr="004062B4">
        <w:rPr>
          <w:rFonts w:ascii="Verdana" w:hAnsi="Verdana"/>
          <w:i/>
          <w:iCs/>
          <w:sz w:val="20"/>
          <w:szCs w:val="20"/>
        </w:rPr>
        <w:t> »</w:t>
      </w:r>
      <w:r w:rsidR="0086101E" w:rsidRPr="004062B4">
        <w:rPr>
          <w:rFonts w:ascii="Verdana" w:hAnsi="Verdana"/>
          <w:i/>
          <w:iCs/>
          <w:sz w:val="20"/>
          <w:szCs w:val="20"/>
        </w:rPr>
        <w:t>.</w:t>
      </w:r>
    </w:p>
    <w:p w14:paraId="2AC017B9" w14:textId="66814D60" w:rsidR="00881D25" w:rsidRPr="004062B4" w:rsidRDefault="00881D25" w:rsidP="002116ED">
      <w:pPr>
        <w:spacing w:after="120" w:line="240" w:lineRule="auto"/>
        <w:contextualSpacing/>
        <w:jc w:val="both"/>
        <w:rPr>
          <w:rFonts w:ascii="Verdana" w:hAnsi="Verdana"/>
          <w:sz w:val="20"/>
          <w:szCs w:val="20"/>
        </w:rPr>
      </w:pPr>
      <w:r w:rsidRPr="004062B4">
        <w:rPr>
          <w:rFonts w:ascii="Verdana" w:hAnsi="Verdana"/>
          <w:sz w:val="20"/>
          <w:szCs w:val="20"/>
        </w:rPr>
        <w:t xml:space="preserve">Le </w:t>
      </w:r>
      <w:r w:rsidR="009C4A8E" w:rsidRPr="004062B4">
        <w:rPr>
          <w:rFonts w:ascii="Verdana" w:hAnsi="Verdana"/>
          <w:sz w:val="20"/>
          <w:szCs w:val="20"/>
        </w:rPr>
        <w:t>39</w:t>
      </w:r>
      <w:r w:rsidR="009C4A8E" w:rsidRPr="004062B4">
        <w:rPr>
          <w:rFonts w:ascii="Verdana" w:hAnsi="Verdana"/>
          <w:sz w:val="20"/>
          <w:szCs w:val="20"/>
          <w:vertAlign w:val="superscript"/>
        </w:rPr>
        <w:t>e</w:t>
      </w:r>
      <w:r w:rsidR="009C4A8E" w:rsidRPr="004062B4">
        <w:rPr>
          <w:rFonts w:ascii="Verdana" w:hAnsi="Verdana"/>
          <w:sz w:val="20"/>
          <w:szCs w:val="20"/>
        </w:rPr>
        <w:t xml:space="preserve"> </w:t>
      </w:r>
      <w:r w:rsidRPr="004062B4">
        <w:rPr>
          <w:rFonts w:ascii="Verdana" w:hAnsi="Verdana"/>
          <w:sz w:val="20"/>
          <w:szCs w:val="20"/>
        </w:rPr>
        <w:t>Conseil</w:t>
      </w:r>
      <w:r w:rsidR="0080777F" w:rsidRPr="004062B4">
        <w:rPr>
          <w:rFonts w:ascii="Verdana" w:hAnsi="Verdana"/>
          <w:sz w:val="20"/>
          <w:szCs w:val="20"/>
        </w:rPr>
        <w:t xml:space="preserve"> du </w:t>
      </w:r>
      <w:r w:rsidR="00AD7403" w:rsidRPr="004062B4">
        <w:rPr>
          <w:rFonts w:ascii="Verdana" w:hAnsi="Verdana"/>
          <w:sz w:val="20"/>
          <w:szCs w:val="20"/>
        </w:rPr>
        <w:t>16 avril 2025</w:t>
      </w:r>
      <w:r w:rsidR="0080777F" w:rsidRPr="004062B4">
        <w:rPr>
          <w:rFonts w:ascii="Verdana" w:hAnsi="Verdana"/>
          <w:sz w:val="20"/>
          <w:szCs w:val="20"/>
        </w:rPr>
        <w:t xml:space="preserve"> aux</w:t>
      </w:r>
      <w:r w:rsidR="00AD7403" w:rsidRPr="004062B4">
        <w:rPr>
          <w:rFonts w:ascii="Verdana" w:hAnsi="Verdana"/>
          <w:sz w:val="20"/>
          <w:szCs w:val="20"/>
        </w:rPr>
        <w:t xml:space="preserve"> </w:t>
      </w:r>
      <w:r w:rsidR="00124804" w:rsidRPr="004062B4">
        <w:rPr>
          <w:rFonts w:ascii="Verdana" w:hAnsi="Verdana"/>
          <w:sz w:val="20"/>
          <w:szCs w:val="20"/>
        </w:rPr>
        <w:t>Seychelles, par</w:t>
      </w:r>
      <w:r w:rsidR="00D216A1" w:rsidRPr="004062B4">
        <w:rPr>
          <w:rFonts w:ascii="Verdana" w:hAnsi="Verdana"/>
          <w:sz w:val="20"/>
          <w:szCs w:val="20"/>
        </w:rPr>
        <w:t xml:space="preserve"> sa décision 10 (c)</w:t>
      </w:r>
      <w:r w:rsidR="00D92FB5" w:rsidRPr="004062B4">
        <w:rPr>
          <w:rFonts w:ascii="Verdana" w:hAnsi="Verdana"/>
          <w:sz w:val="20"/>
          <w:szCs w:val="20"/>
        </w:rPr>
        <w:t xml:space="preserve"> </w:t>
      </w:r>
      <w:r w:rsidR="00124804" w:rsidRPr="004062B4">
        <w:rPr>
          <w:rFonts w:ascii="Verdana" w:hAnsi="Verdana"/>
          <w:sz w:val="20"/>
          <w:szCs w:val="20"/>
        </w:rPr>
        <w:t xml:space="preserve">a </w:t>
      </w:r>
      <w:r w:rsidR="00D92FB5" w:rsidRPr="004062B4">
        <w:rPr>
          <w:rFonts w:ascii="Verdana" w:hAnsi="Verdana"/>
          <w:sz w:val="20"/>
          <w:szCs w:val="20"/>
        </w:rPr>
        <w:t>mandat</w:t>
      </w:r>
      <w:r w:rsidR="00124804" w:rsidRPr="004062B4">
        <w:rPr>
          <w:rFonts w:ascii="Verdana" w:hAnsi="Verdana"/>
          <w:sz w:val="20"/>
          <w:szCs w:val="20"/>
        </w:rPr>
        <w:t>é</w:t>
      </w:r>
      <w:r w:rsidR="00D92FB5" w:rsidRPr="004062B4">
        <w:rPr>
          <w:rFonts w:ascii="Verdana" w:hAnsi="Verdana"/>
          <w:sz w:val="20"/>
          <w:szCs w:val="20"/>
        </w:rPr>
        <w:t xml:space="preserve"> le Comité des </w:t>
      </w:r>
      <w:r w:rsidR="00124804" w:rsidRPr="004062B4">
        <w:rPr>
          <w:rFonts w:ascii="Verdana" w:hAnsi="Verdana"/>
          <w:sz w:val="20"/>
          <w:szCs w:val="20"/>
        </w:rPr>
        <w:t xml:space="preserve">OPL </w:t>
      </w:r>
      <w:r w:rsidR="00D92FB5" w:rsidRPr="004062B4">
        <w:rPr>
          <w:rFonts w:ascii="Verdana" w:hAnsi="Verdana"/>
          <w:sz w:val="20"/>
          <w:szCs w:val="20"/>
        </w:rPr>
        <w:t xml:space="preserve">pour </w:t>
      </w:r>
      <w:r w:rsidR="00C44506" w:rsidRPr="004062B4">
        <w:rPr>
          <w:rFonts w:ascii="Verdana" w:hAnsi="Verdana"/>
          <w:sz w:val="20"/>
          <w:szCs w:val="20"/>
        </w:rPr>
        <w:t>« </w:t>
      </w:r>
      <w:r w:rsidR="00D92FB5" w:rsidRPr="004062B4">
        <w:rPr>
          <w:rFonts w:ascii="Verdana" w:hAnsi="Verdana"/>
          <w:i/>
          <w:iCs/>
          <w:sz w:val="20"/>
          <w:szCs w:val="20"/>
        </w:rPr>
        <w:t>réviser</w:t>
      </w:r>
      <w:r w:rsidR="002C6707" w:rsidRPr="004062B4">
        <w:rPr>
          <w:rFonts w:ascii="Verdana" w:hAnsi="Verdana"/>
          <w:i/>
          <w:iCs/>
          <w:sz w:val="20"/>
          <w:szCs w:val="20"/>
        </w:rPr>
        <w:t xml:space="preserve">, </w:t>
      </w:r>
      <w:r w:rsidR="00124804" w:rsidRPr="004062B4">
        <w:rPr>
          <w:rFonts w:ascii="Verdana" w:hAnsi="Verdana"/>
          <w:i/>
          <w:iCs/>
          <w:sz w:val="20"/>
          <w:szCs w:val="20"/>
        </w:rPr>
        <w:t>conformément</w:t>
      </w:r>
      <w:r w:rsidR="002C6707" w:rsidRPr="004062B4">
        <w:rPr>
          <w:rFonts w:ascii="Verdana" w:hAnsi="Verdana"/>
          <w:i/>
          <w:iCs/>
          <w:sz w:val="20"/>
          <w:szCs w:val="20"/>
        </w:rPr>
        <w:t xml:space="preserve"> aux orientations données par le Conseil des ministres, les termes du poste de </w:t>
      </w:r>
      <w:r w:rsidR="002A2155">
        <w:rPr>
          <w:rFonts w:ascii="Verdana" w:hAnsi="Verdana"/>
          <w:i/>
          <w:iCs/>
          <w:sz w:val="20"/>
          <w:szCs w:val="20"/>
        </w:rPr>
        <w:t>D</w:t>
      </w:r>
      <w:r w:rsidR="002C6707" w:rsidRPr="004062B4">
        <w:rPr>
          <w:rFonts w:ascii="Verdana" w:hAnsi="Verdana"/>
          <w:i/>
          <w:iCs/>
          <w:sz w:val="20"/>
          <w:szCs w:val="20"/>
        </w:rPr>
        <w:t xml:space="preserve">irecteur en vue de </w:t>
      </w:r>
      <w:r w:rsidR="00D216A1" w:rsidRPr="004062B4">
        <w:rPr>
          <w:rFonts w:ascii="Verdana" w:hAnsi="Verdana"/>
          <w:i/>
          <w:iCs/>
          <w:sz w:val="20"/>
          <w:szCs w:val="20"/>
        </w:rPr>
        <w:t xml:space="preserve">sa validation dans les plus brefs délais et afin de procéder </w:t>
      </w:r>
      <w:r w:rsidR="00365703" w:rsidRPr="004062B4">
        <w:rPr>
          <w:rFonts w:ascii="Verdana" w:hAnsi="Verdana"/>
          <w:i/>
          <w:iCs/>
          <w:sz w:val="20"/>
          <w:szCs w:val="20"/>
        </w:rPr>
        <w:t>au recrutement</w:t>
      </w:r>
      <w:r w:rsidR="00C44506" w:rsidRPr="004062B4">
        <w:rPr>
          <w:rFonts w:ascii="Verdana" w:hAnsi="Verdana"/>
          <w:i/>
          <w:iCs/>
          <w:sz w:val="20"/>
          <w:szCs w:val="20"/>
        </w:rPr>
        <w:t> »</w:t>
      </w:r>
      <w:r w:rsidR="00365703" w:rsidRPr="004062B4">
        <w:rPr>
          <w:rFonts w:ascii="Verdana" w:hAnsi="Verdana"/>
          <w:i/>
          <w:iCs/>
          <w:sz w:val="20"/>
          <w:szCs w:val="20"/>
        </w:rPr>
        <w:t>.</w:t>
      </w:r>
    </w:p>
    <w:p w14:paraId="7F851D55" w14:textId="098247ED" w:rsidR="0002498D" w:rsidRPr="004062B4" w:rsidRDefault="00365703" w:rsidP="002116ED">
      <w:pPr>
        <w:pStyle w:val="Paragraphe"/>
        <w:spacing w:after="120"/>
      </w:pPr>
      <w:r w:rsidRPr="004062B4">
        <w:t xml:space="preserve">Après plusieurs tentatives de réunion virtuelle, une réunion </w:t>
      </w:r>
      <w:r w:rsidR="008A65AB" w:rsidRPr="004062B4">
        <w:t xml:space="preserve">de travail en </w:t>
      </w:r>
      <w:r w:rsidR="00E43101" w:rsidRPr="004062B4">
        <w:t>présentiel</w:t>
      </w:r>
      <w:r w:rsidRPr="004062B4">
        <w:t xml:space="preserve"> a pu être organisé</w:t>
      </w:r>
      <w:r w:rsidR="002A2155">
        <w:t>e</w:t>
      </w:r>
      <w:r w:rsidRPr="004062B4">
        <w:t xml:space="preserve"> </w:t>
      </w:r>
      <w:r w:rsidR="00E43101" w:rsidRPr="004062B4">
        <w:t>le 11 septembre 2025</w:t>
      </w:r>
      <w:r w:rsidR="00DD723A" w:rsidRPr="004062B4">
        <w:t xml:space="preserve"> </w:t>
      </w:r>
      <w:r w:rsidR="00C44506" w:rsidRPr="004062B4">
        <w:t>au S</w:t>
      </w:r>
      <w:r w:rsidR="00DD723A" w:rsidRPr="004062B4">
        <w:t>ecrétariat général</w:t>
      </w:r>
      <w:r w:rsidR="00E43101" w:rsidRPr="004062B4">
        <w:t>.</w:t>
      </w:r>
      <w:r w:rsidR="001B21B2" w:rsidRPr="004062B4">
        <w:t xml:space="preserve"> </w:t>
      </w:r>
      <w:r w:rsidR="00755DE5" w:rsidRPr="004062B4">
        <w:t>Il convient de noter que l</w:t>
      </w:r>
      <w:r w:rsidR="0002498D" w:rsidRPr="004062B4">
        <w:t>a partie mauricienne n’a pas pu prendre part à cette réunion, qui s’est néanmoins tenue en présence des autres OPL.</w:t>
      </w:r>
    </w:p>
    <w:p w14:paraId="5072218C" w14:textId="75F45CA6" w:rsidR="00CF7687" w:rsidRPr="004062B4" w:rsidRDefault="00E43101" w:rsidP="002116ED">
      <w:pPr>
        <w:pStyle w:val="Paragraphe"/>
        <w:spacing w:after="120"/>
      </w:pPr>
      <w:r w:rsidRPr="004062B4">
        <w:t xml:space="preserve">Les dernières versions de </w:t>
      </w:r>
      <w:r w:rsidR="008A65AB" w:rsidRPr="004062B4">
        <w:t xml:space="preserve">termes de référence ont </w:t>
      </w:r>
      <w:r w:rsidR="0006001B" w:rsidRPr="004062B4">
        <w:t>ensuite</w:t>
      </w:r>
      <w:r w:rsidR="008A65AB" w:rsidRPr="004062B4">
        <w:t xml:space="preserve"> été partagé</w:t>
      </w:r>
      <w:r w:rsidR="00F827C5" w:rsidRPr="004062B4">
        <w:t>e</w:t>
      </w:r>
      <w:r w:rsidR="008A65AB" w:rsidRPr="004062B4">
        <w:t xml:space="preserve">s pour les </w:t>
      </w:r>
      <w:r w:rsidR="00F827C5" w:rsidRPr="004062B4">
        <w:t>ult</w:t>
      </w:r>
      <w:r w:rsidR="00195524" w:rsidRPr="004062B4">
        <w:t>imes</w:t>
      </w:r>
      <w:r w:rsidR="008A65AB" w:rsidRPr="004062B4">
        <w:t xml:space="preserve"> consultations nationales</w:t>
      </w:r>
      <w:r w:rsidR="002A2155">
        <w:t>,</w:t>
      </w:r>
      <w:r w:rsidR="008A65AB" w:rsidRPr="004062B4">
        <w:t xml:space="preserve"> en vue de la présentation </w:t>
      </w:r>
      <w:r w:rsidR="00EC6E21" w:rsidRPr="004062B4">
        <w:t xml:space="preserve">du texte pour validation au COPL </w:t>
      </w:r>
      <w:r w:rsidR="00EB20C7" w:rsidRPr="004062B4">
        <w:t>0</w:t>
      </w:r>
      <w:r w:rsidR="00EC6E21" w:rsidRPr="004062B4">
        <w:t>2/2025</w:t>
      </w:r>
      <w:r w:rsidR="002F6004" w:rsidRPr="004062B4">
        <w:t xml:space="preserve"> (</w:t>
      </w:r>
      <w:r w:rsidR="002F6004" w:rsidRPr="004062B4">
        <w:rPr>
          <w:b/>
          <w:bCs/>
        </w:rPr>
        <w:t>Annexe 3a et Annexe 3b</w:t>
      </w:r>
      <w:r w:rsidR="002F6004" w:rsidRPr="004062B4">
        <w:t>)</w:t>
      </w:r>
      <w:r w:rsidR="002A2155">
        <w:t>.</w:t>
      </w:r>
    </w:p>
    <w:p w14:paraId="3608247D" w14:textId="52C8FC19" w:rsidR="008E6496" w:rsidRPr="004062B4" w:rsidRDefault="008E6496" w:rsidP="002116ED">
      <w:pPr>
        <w:pStyle w:val="Paragraphe"/>
        <w:spacing w:after="120"/>
        <w:rPr>
          <w:lang w:bidi="fr-FR"/>
        </w:rPr>
      </w:pPr>
      <w:r w:rsidRPr="004062B4">
        <w:rPr>
          <w:lang w:bidi="fr-FR"/>
        </w:rPr>
        <w:t>Veuillez trouver ci-dessous une proposition</w:t>
      </w:r>
      <w:r w:rsidR="00671C05" w:rsidRPr="004062B4">
        <w:rPr>
          <w:lang w:bidi="fr-FR"/>
        </w:rPr>
        <w:t xml:space="preserve"> de calendrier prévision</w:t>
      </w:r>
      <w:r w:rsidR="002A2155">
        <w:rPr>
          <w:lang w:bidi="fr-FR"/>
        </w:rPr>
        <w:t>nel</w:t>
      </w:r>
      <w:r w:rsidR="00671C05" w:rsidRPr="004062B4">
        <w:rPr>
          <w:lang w:bidi="fr-FR"/>
        </w:rPr>
        <w:t xml:space="preserve"> qui pourra être ajusté</w:t>
      </w:r>
      <w:r w:rsidR="002A2155">
        <w:rPr>
          <w:lang w:bidi="fr-FR"/>
        </w:rPr>
        <w:t>e</w:t>
      </w:r>
      <w:r w:rsidR="00671C05" w:rsidRPr="004062B4">
        <w:rPr>
          <w:lang w:bidi="fr-FR"/>
        </w:rPr>
        <w:t xml:space="preserve"> </w:t>
      </w:r>
      <w:r w:rsidR="00EB20C7" w:rsidRPr="004062B4">
        <w:rPr>
          <w:lang w:bidi="fr-FR"/>
        </w:rPr>
        <w:t>à la suite des</w:t>
      </w:r>
      <w:r w:rsidR="00671C05" w:rsidRPr="004062B4">
        <w:rPr>
          <w:lang w:bidi="fr-FR"/>
        </w:rPr>
        <w:t xml:space="preserve"> discussions du Comité des OPL</w:t>
      </w:r>
      <w:r w:rsidRPr="004062B4">
        <w:rPr>
          <w:lang w:bidi="fr-FR"/>
        </w:rPr>
        <w:t xml:space="preserve"> : </w:t>
      </w:r>
    </w:p>
    <w:p w14:paraId="716CA726" w14:textId="3C0E1576" w:rsidR="008E6496" w:rsidRPr="004062B4" w:rsidRDefault="008E6496" w:rsidP="008E6496">
      <w:pPr>
        <w:pStyle w:val="Paragraphe"/>
        <w:numPr>
          <w:ilvl w:val="0"/>
          <w:numId w:val="29"/>
        </w:numPr>
        <w:rPr>
          <w:lang w:bidi="fr-FR"/>
        </w:rPr>
      </w:pPr>
      <w:r w:rsidRPr="004062B4">
        <w:rPr>
          <w:b/>
          <w:bCs/>
          <w:lang w:bidi="fr-FR"/>
        </w:rPr>
        <w:t>Mi-</w:t>
      </w:r>
      <w:r w:rsidR="002A2155">
        <w:rPr>
          <w:b/>
          <w:bCs/>
          <w:lang w:bidi="fr-FR"/>
        </w:rPr>
        <w:t>n</w:t>
      </w:r>
      <w:r w:rsidRPr="004062B4">
        <w:rPr>
          <w:b/>
          <w:bCs/>
          <w:lang w:bidi="fr-FR"/>
        </w:rPr>
        <w:t>ovembre</w:t>
      </w:r>
      <w:r w:rsidRPr="004062B4">
        <w:rPr>
          <w:lang w:bidi="fr-FR"/>
        </w:rPr>
        <w:t> : Validation des termes de référence</w:t>
      </w:r>
    </w:p>
    <w:p w14:paraId="7055518A" w14:textId="77777777" w:rsidR="008E6496" w:rsidRPr="004062B4" w:rsidRDefault="008E6496" w:rsidP="008E6496">
      <w:pPr>
        <w:pStyle w:val="Paragraphe"/>
        <w:numPr>
          <w:ilvl w:val="0"/>
          <w:numId w:val="29"/>
        </w:numPr>
        <w:rPr>
          <w:b/>
          <w:bCs/>
          <w:lang w:bidi="fr-FR"/>
        </w:rPr>
      </w:pPr>
      <w:r w:rsidRPr="004062B4">
        <w:rPr>
          <w:b/>
          <w:bCs/>
          <w:lang w:bidi="fr-FR"/>
        </w:rPr>
        <w:t>Décembre</w:t>
      </w:r>
      <w:r w:rsidRPr="004062B4">
        <w:rPr>
          <w:lang w:bidi="fr-FR"/>
        </w:rPr>
        <w:t xml:space="preserve"> (au plus tard) : Invitation de soumission des candidatures par les États membres avec une date limite au </w:t>
      </w:r>
      <w:r w:rsidRPr="004062B4">
        <w:rPr>
          <w:b/>
          <w:bCs/>
          <w:lang w:bidi="fr-FR"/>
        </w:rPr>
        <w:t>15/01/2026</w:t>
      </w:r>
    </w:p>
    <w:p w14:paraId="14261B57" w14:textId="4E6D2EB7" w:rsidR="008E6496" w:rsidRPr="004062B4" w:rsidRDefault="008E6496" w:rsidP="008E6496">
      <w:pPr>
        <w:pStyle w:val="Paragraphe"/>
        <w:numPr>
          <w:ilvl w:val="0"/>
          <w:numId w:val="29"/>
        </w:numPr>
        <w:rPr>
          <w:lang w:bidi="fr-FR"/>
        </w:rPr>
      </w:pPr>
      <w:r w:rsidRPr="004062B4">
        <w:rPr>
          <w:b/>
          <w:bCs/>
          <w:lang w:bidi="fr-FR"/>
        </w:rPr>
        <w:t>Janvier</w:t>
      </w:r>
      <w:r w:rsidRPr="004062B4">
        <w:rPr>
          <w:lang w:bidi="fr-FR"/>
        </w:rPr>
        <w:t xml:space="preserve"> : Mise en place d’un comité de sélection, tel que stipulé </w:t>
      </w:r>
      <w:r w:rsidR="00492737" w:rsidRPr="004062B4">
        <w:rPr>
          <w:lang w:bidi="fr-FR"/>
        </w:rPr>
        <w:t>dans les termes de référence</w:t>
      </w:r>
      <w:r w:rsidRPr="004062B4">
        <w:rPr>
          <w:lang w:bidi="fr-FR"/>
        </w:rPr>
        <w:t>.</w:t>
      </w:r>
      <w:r w:rsidR="00492737" w:rsidRPr="004062B4">
        <w:rPr>
          <w:lang w:bidi="fr-FR"/>
        </w:rPr>
        <w:t xml:space="preserve"> </w:t>
      </w:r>
      <w:r w:rsidR="00520AE5" w:rsidRPr="004062B4">
        <w:t>À</w:t>
      </w:r>
      <w:r w:rsidR="00492737" w:rsidRPr="004062B4">
        <w:t xml:space="preserve"> l’instar de la méthode appliquée en 2019 et 2023, les </w:t>
      </w:r>
      <w:r w:rsidR="00705A9F" w:rsidRPr="004062B4">
        <w:t>États</w:t>
      </w:r>
      <w:r w:rsidR="00492737" w:rsidRPr="004062B4">
        <w:t xml:space="preserve"> membres </w:t>
      </w:r>
      <w:r w:rsidR="00492737" w:rsidRPr="004062B4">
        <w:lastRenderedPageBreak/>
        <w:t>n’ayant pas soumis de candidatures seront invités à soumettre le nom d’un assesseur pour siéger au comité de sélection.</w:t>
      </w:r>
    </w:p>
    <w:p w14:paraId="14F383FE" w14:textId="43900269" w:rsidR="008E6496" w:rsidRPr="004062B4" w:rsidRDefault="008E6496" w:rsidP="008E6496">
      <w:pPr>
        <w:pStyle w:val="Paragraphe"/>
        <w:numPr>
          <w:ilvl w:val="0"/>
          <w:numId w:val="29"/>
        </w:numPr>
        <w:rPr>
          <w:lang w:bidi="fr-FR"/>
        </w:rPr>
      </w:pPr>
      <w:r w:rsidRPr="004062B4">
        <w:rPr>
          <w:b/>
          <w:bCs/>
          <w:lang w:bidi="fr-FR"/>
        </w:rPr>
        <w:t xml:space="preserve">Fin janvier/début février </w:t>
      </w:r>
      <w:r w:rsidRPr="004062B4">
        <w:rPr>
          <w:lang w:bidi="fr-FR"/>
        </w:rPr>
        <w:t xml:space="preserve">: Entretiens conduits par le panel désigné, et la Gestionnaire des Ressources Humaines en assure le </w:t>
      </w:r>
      <w:r w:rsidR="002A2155">
        <w:rPr>
          <w:lang w:bidi="fr-FR"/>
        </w:rPr>
        <w:t>s</w:t>
      </w:r>
      <w:r w:rsidRPr="004062B4">
        <w:rPr>
          <w:lang w:bidi="fr-FR"/>
        </w:rPr>
        <w:t>ecrétariat</w:t>
      </w:r>
      <w:r w:rsidR="002A2155">
        <w:rPr>
          <w:lang w:bidi="fr-FR"/>
        </w:rPr>
        <w:t>.</w:t>
      </w:r>
    </w:p>
    <w:p w14:paraId="5D1B6144" w14:textId="44CA61B5" w:rsidR="008E6496" w:rsidRPr="004062B4" w:rsidRDefault="008E6496" w:rsidP="008E6496">
      <w:pPr>
        <w:pStyle w:val="Paragraphe"/>
        <w:numPr>
          <w:ilvl w:val="0"/>
          <w:numId w:val="29"/>
        </w:numPr>
        <w:rPr>
          <w:lang w:bidi="fr-FR"/>
        </w:rPr>
      </w:pPr>
      <w:r w:rsidRPr="004062B4">
        <w:rPr>
          <w:b/>
          <w:bCs/>
          <w:lang w:bidi="fr-FR"/>
        </w:rPr>
        <w:t>Février :</w:t>
      </w:r>
      <w:r w:rsidRPr="004062B4">
        <w:rPr>
          <w:lang w:bidi="fr-FR"/>
        </w:rPr>
        <w:t xml:space="preserve"> </w:t>
      </w:r>
      <w:r w:rsidR="00492737" w:rsidRPr="004062B4">
        <w:rPr>
          <w:lang w:bidi="fr-FR"/>
        </w:rPr>
        <w:t>Rédaction du r</w:t>
      </w:r>
      <w:r w:rsidRPr="004062B4">
        <w:rPr>
          <w:lang w:bidi="fr-FR"/>
        </w:rPr>
        <w:t xml:space="preserve">apport de sélection </w:t>
      </w:r>
    </w:p>
    <w:p w14:paraId="7E6F5E2B" w14:textId="77777777" w:rsidR="008E6496" w:rsidRPr="004062B4" w:rsidRDefault="008E6496" w:rsidP="008E6496">
      <w:pPr>
        <w:pStyle w:val="Paragraphe"/>
        <w:numPr>
          <w:ilvl w:val="0"/>
          <w:numId w:val="29"/>
        </w:numPr>
        <w:rPr>
          <w:lang w:bidi="fr-FR"/>
        </w:rPr>
      </w:pPr>
      <w:r w:rsidRPr="004062B4">
        <w:rPr>
          <w:b/>
          <w:bCs/>
          <w:lang w:bidi="fr-FR"/>
        </w:rPr>
        <w:t>Fin février / début mars</w:t>
      </w:r>
      <w:r w:rsidRPr="004062B4">
        <w:rPr>
          <w:lang w:bidi="fr-FR"/>
        </w:rPr>
        <w:t xml:space="preserve"> : Notification et demande d’approbation finale des États membres</w:t>
      </w:r>
    </w:p>
    <w:p w14:paraId="117C8A1D" w14:textId="77777777" w:rsidR="008E6496" w:rsidRPr="004062B4" w:rsidRDefault="008E6496" w:rsidP="008E6496">
      <w:pPr>
        <w:pStyle w:val="Paragraphe"/>
        <w:numPr>
          <w:ilvl w:val="0"/>
          <w:numId w:val="29"/>
        </w:numPr>
        <w:rPr>
          <w:lang w:bidi="fr-FR"/>
        </w:rPr>
      </w:pPr>
      <w:r w:rsidRPr="004062B4">
        <w:rPr>
          <w:b/>
          <w:bCs/>
          <w:lang w:bidi="fr-FR"/>
        </w:rPr>
        <w:t>Mars/Avril 2026</w:t>
      </w:r>
      <w:r w:rsidRPr="004062B4">
        <w:rPr>
          <w:lang w:bidi="fr-FR"/>
        </w:rPr>
        <w:t xml:space="preserve"> : Prise de fonction </w:t>
      </w:r>
    </w:p>
    <w:p w14:paraId="67F8388A" w14:textId="77777777" w:rsidR="003F038B" w:rsidRPr="004062B4" w:rsidRDefault="003F038B" w:rsidP="003F038B">
      <w:pPr>
        <w:spacing w:after="0" w:line="240" w:lineRule="auto"/>
        <w:jc w:val="both"/>
        <w:rPr>
          <w:rFonts w:ascii="Verdana" w:hAnsi="Verdana"/>
          <w:sz w:val="20"/>
          <w:szCs w:val="20"/>
        </w:rPr>
      </w:pPr>
    </w:p>
    <w:p w14:paraId="389DF9F9" w14:textId="77777777" w:rsidR="003F038B" w:rsidRPr="004062B4" w:rsidRDefault="003F038B" w:rsidP="00862A19">
      <w:pPr>
        <w:pStyle w:val="Titrepartie"/>
      </w:pPr>
      <w:r w:rsidRPr="004062B4">
        <w:t>Postes d’Assistants aux Chargés de mission</w:t>
      </w:r>
    </w:p>
    <w:p w14:paraId="591D06AC" w14:textId="3F35BF14" w:rsidR="00733BF8" w:rsidRPr="004062B4" w:rsidRDefault="009F79ED" w:rsidP="003F038B">
      <w:pPr>
        <w:spacing w:after="0" w:line="240" w:lineRule="auto"/>
        <w:jc w:val="both"/>
        <w:rPr>
          <w:rFonts w:ascii="Verdana" w:hAnsi="Verdana"/>
          <w:sz w:val="20"/>
          <w:szCs w:val="20"/>
        </w:rPr>
      </w:pPr>
      <w:r w:rsidRPr="004062B4">
        <w:rPr>
          <w:rFonts w:ascii="Verdana" w:hAnsi="Verdana"/>
          <w:sz w:val="20"/>
          <w:szCs w:val="20"/>
        </w:rPr>
        <w:t>À la suite de</w:t>
      </w:r>
      <w:r w:rsidR="001842D1" w:rsidRPr="004062B4">
        <w:rPr>
          <w:rFonts w:ascii="Verdana" w:hAnsi="Verdana"/>
          <w:sz w:val="20"/>
          <w:szCs w:val="20"/>
        </w:rPr>
        <w:t xml:space="preserve"> la décision n°18 du COPL 01/2025, tenue du 4 au 6 avril 2025, invitant le Secrétariat général de la COI à transmettre dans les meilleurs délais la proposition de termes de référence des assistants chargés de mission auprès des États membres, vous trouverez en </w:t>
      </w:r>
      <w:r w:rsidR="001842D1" w:rsidRPr="004062B4">
        <w:rPr>
          <w:rFonts w:ascii="Verdana" w:hAnsi="Verdana"/>
          <w:b/>
          <w:bCs/>
          <w:sz w:val="20"/>
          <w:szCs w:val="20"/>
        </w:rPr>
        <w:t>Annexe 4</w:t>
      </w:r>
      <w:r w:rsidR="001842D1" w:rsidRPr="004062B4">
        <w:rPr>
          <w:rFonts w:ascii="Verdana" w:hAnsi="Verdana"/>
          <w:sz w:val="20"/>
          <w:szCs w:val="20"/>
        </w:rPr>
        <w:t xml:space="preserve"> ladite proposition, incluant également un calendrier prévisionnel pour le lancement des recrutements.</w:t>
      </w:r>
    </w:p>
    <w:p w14:paraId="6AC15306" w14:textId="77777777" w:rsidR="009E5A5B" w:rsidRPr="004062B4" w:rsidRDefault="009E5A5B" w:rsidP="009E5A5B">
      <w:pPr>
        <w:pStyle w:val="Titrepartie"/>
        <w:numPr>
          <w:ilvl w:val="0"/>
          <w:numId w:val="0"/>
        </w:numPr>
        <w:ind w:left="720" w:hanging="360"/>
        <w:rPr>
          <w:b w:val="0"/>
          <w:bCs w:val="0"/>
          <w:color w:val="auto"/>
          <w:sz w:val="20"/>
        </w:rPr>
      </w:pPr>
    </w:p>
    <w:p w14:paraId="2F7F5914" w14:textId="608AD6BB" w:rsidR="00955BB3" w:rsidRPr="004062B4" w:rsidRDefault="00955BB3" w:rsidP="00A70123">
      <w:pPr>
        <w:pStyle w:val="Titrepartie"/>
      </w:pPr>
      <w:r w:rsidRPr="004062B4">
        <w:t>Proposition de décision</w:t>
      </w:r>
    </w:p>
    <w:p w14:paraId="05F1F967" w14:textId="20D253B9" w:rsidR="0008468B" w:rsidRPr="004062B4" w:rsidRDefault="0008468B" w:rsidP="00FE285D">
      <w:pPr>
        <w:pStyle w:val="Paragraphe"/>
      </w:pPr>
      <w:bookmarkStart w:id="1" w:name="_Hlk213083710"/>
      <w:r w:rsidRPr="004062B4">
        <w:t>Le Comité des OPL</w:t>
      </w:r>
      <w:r w:rsidR="00A76B07" w:rsidRPr="004062B4">
        <w:t> :</w:t>
      </w:r>
    </w:p>
    <w:p w14:paraId="762D8CAC" w14:textId="5F1D6ADA" w:rsidR="00D5274F" w:rsidRPr="004062B4" w:rsidRDefault="00D5274F" w:rsidP="00B13907">
      <w:pPr>
        <w:pStyle w:val="Paragraphe"/>
        <w:numPr>
          <w:ilvl w:val="0"/>
          <w:numId w:val="23"/>
        </w:numPr>
      </w:pPr>
      <w:r w:rsidRPr="004062B4">
        <w:t>Approuve le cadre de mise à disposition de personnel et d’experts auprès du Secrétariat général ;</w:t>
      </w:r>
    </w:p>
    <w:p w14:paraId="1928F4CC" w14:textId="6CADB59E" w:rsidR="008E70AB" w:rsidRPr="004062B4" w:rsidRDefault="008E70AB" w:rsidP="003F1305">
      <w:pPr>
        <w:pStyle w:val="Paragraphe"/>
        <w:numPr>
          <w:ilvl w:val="0"/>
          <w:numId w:val="23"/>
        </w:numPr>
      </w:pPr>
      <w:r w:rsidRPr="004062B4">
        <w:t xml:space="preserve">Félicite le </w:t>
      </w:r>
      <w:r w:rsidR="00676D6F" w:rsidRPr="004062B4">
        <w:t>S</w:t>
      </w:r>
      <w:r w:rsidRPr="004062B4">
        <w:t xml:space="preserve">ecrétariat général </w:t>
      </w:r>
      <w:r w:rsidR="000C46E9" w:rsidRPr="004062B4">
        <w:t xml:space="preserve">pour les initiatives engagées dans le cadre du projet </w:t>
      </w:r>
      <w:r w:rsidR="000C46E9" w:rsidRPr="004062B4">
        <w:rPr>
          <w:i/>
          <w:iCs/>
        </w:rPr>
        <w:t>Safe Seas Africa (SSA)</w:t>
      </w:r>
      <w:r w:rsidR="000C46E9" w:rsidRPr="004062B4">
        <w:t>, prend note des discussions en cours pour le renforcement des procédures internes et encourage la poursuite des échanges avec les parties prenantes et les comités compétent</w:t>
      </w:r>
      <w:r w:rsidR="009F79ED" w:rsidRPr="004062B4">
        <w:t> ;</w:t>
      </w:r>
    </w:p>
    <w:p w14:paraId="0B008DC9" w14:textId="05AD0CB5" w:rsidR="00F3688F" w:rsidRPr="004062B4" w:rsidRDefault="007B6555" w:rsidP="00D5274F">
      <w:pPr>
        <w:pStyle w:val="Paragraphe"/>
        <w:numPr>
          <w:ilvl w:val="0"/>
          <w:numId w:val="23"/>
        </w:numPr>
      </w:pPr>
      <w:r w:rsidRPr="004062B4">
        <w:t>Approuve</w:t>
      </w:r>
      <w:r w:rsidR="00760405" w:rsidRPr="004062B4">
        <w:t xml:space="preserve"> </w:t>
      </w:r>
      <w:r w:rsidR="00F3688F" w:rsidRPr="004062B4">
        <w:t>les termes de référence</w:t>
      </w:r>
      <w:r w:rsidR="003F1305" w:rsidRPr="004062B4">
        <w:t xml:space="preserve">, le calendrier prévisionnel et </w:t>
      </w:r>
      <w:r w:rsidR="008909B5" w:rsidRPr="004062B4">
        <w:t>le</w:t>
      </w:r>
      <w:r w:rsidR="00F3688F" w:rsidRPr="004062B4">
        <w:t xml:space="preserve"> processus de recrutement proposé </w:t>
      </w:r>
      <w:r w:rsidR="00022EC7" w:rsidRPr="004062B4">
        <w:t xml:space="preserve">pour le poste de </w:t>
      </w:r>
      <w:r w:rsidR="002A2155">
        <w:t>D</w:t>
      </w:r>
      <w:r w:rsidR="00022EC7" w:rsidRPr="004062B4">
        <w:t>irecteur</w:t>
      </w:r>
      <w:r w:rsidR="005E54D5" w:rsidRPr="004062B4">
        <w:t xml:space="preserve"> </w:t>
      </w:r>
      <w:r w:rsidR="003F7937" w:rsidRPr="004062B4">
        <w:t xml:space="preserve">et encourage le </w:t>
      </w:r>
      <w:r w:rsidR="00F01B64" w:rsidRPr="004062B4">
        <w:t>Secrétariat général</w:t>
      </w:r>
      <w:r w:rsidR="003F7937" w:rsidRPr="004062B4">
        <w:t xml:space="preserve"> </w:t>
      </w:r>
      <w:r w:rsidR="004F687D" w:rsidRPr="004062B4">
        <w:t>à</w:t>
      </w:r>
      <w:r w:rsidR="003F7937" w:rsidRPr="004062B4">
        <w:t xml:space="preserve"> </w:t>
      </w:r>
      <w:r w:rsidR="00FE63A1" w:rsidRPr="004062B4">
        <w:t xml:space="preserve">procéder au lancement de ce </w:t>
      </w:r>
      <w:r w:rsidR="005E54D5" w:rsidRPr="004062B4">
        <w:t>recrutement</w:t>
      </w:r>
      <w:r w:rsidR="00FE63A1" w:rsidRPr="004062B4">
        <w:t xml:space="preserve"> dans les </w:t>
      </w:r>
      <w:r w:rsidR="005E54D5" w:rsidRPr="004062B4">
        <w:t>meilleurs</w:t>
      </w:r>
      <w:r w:rsidR="00FE63A1" w:rsidRPr="004062B4">
        <w:t xml:space="preserve"> délais</w:t>
      </w:r>
      <w:r w:rsidR="00851C19">
        <w:t> ;</w:t>
      </w:r>
    </w:p>
    <w:p w14:paraId="7BD38514" w14:textId="0C895BE1" w:rsidR="00DE6902" w:rsidRPr="004062B4" w:rsidRDefault="00DE6902" w:rsidP="00DE6902">
      <w:pPr>
        <w:pStyle w:val="Paragraphe"/>
        <w:numPr>
          <w:ilvl w:val="0"/>
          <w:numId w:val="23"/>
        </w:numPr>
      </w:pPr>
      <w:r w:rsidRPr="004062B4">
        <w:t xml:space="preserve">Approuve les termes de référence, le calendrier prévisionnel et le processus de recrutement proposé pour les postes d’assistants chargés de mission et encourage le </w:t>
      </w:r>
      <w:r w:rsidR="002116ED" w:rsidRPr="004062B4">
        <w:t>Secrétariat général</w:t>
      </w:r>
      <w:r w:rsidRPr="004062B4">
        <w:t xml:space="preserve"> à procéder au lancement de ce</w:t>
      </w:r>
      <w:r w:rsidR="00406CD3" w:rsidRPr="004062B4">
        <w:t>s</w:t>
      </w:r>
      <w:r w:rsidRPr="004062B4">
        <w:t xml:space="preserve"> recrutement</w:t>
      </w:r>
      <w:r w:rsidR="00406CD3" w:rsidRPr="004062B4">
        <w:t>s</w:t>
      </w:r>
      <w:r w:rsidRPr="004062B4">
        <w:t xml:space="preserve"> dans les meilleurs délais.</w:t>
      </w:r>
    </w:p>
    <w:bookmarkEnd w:id="1"/>
    <w:p w14:paraId="430A2641" w14:textId="77777777" w:rsidR="008573BA" w:rsidRPr="004062B4" w:rsidRDefault="008573BA" w:rsidP="008573BA">
      <w:pPr>
        <w:pStyle w:val="Paragraphe"/>
        <w:ind w:left="720"/>
        <w:rPr>
          <w:sz w:val="8"/>
          <w:szCs w:val="8"/>
        </w:rPr>
      </w:pPr>
    </w:p>
    <w:bookmarkEnd w:id="0"/>
    <w:p w14:paraId="467C7EBD" w14:textId="77777777" w:rsidR="00D5274F" w:rsidRPr="004062B4" w:rsidRDefault="00D5274F" w:rsidP="00D5274F">
      <w:pPr>
        <w:pStyle w:val="Titrepartie"/>
      </w:pPr>
      <w:r w:rsidRPr="004062B4">
        <w:t>Annexes :</w:t>
      </w:r>
    </w:p>
    <w:p w14:paraId="018DF45C" w14:textId="77777777" w:rsidR="00FC1D31" w:rsidRPr="004062B4" w:rsidRDefault="00D5274F" w:rsidP="00FC1D31">
      <w:pPr>
        <w:pStyle w:val="Paragraphe"/>
        <w:numPr>
          <w:ilvl w:val="0"/>
          <w:numId w:val="13"/>
        </w:numPr>
      </w:pPr>
      <w:r w:rsidRPr="004062B4">
        <w:t>Annexe 1</w:t>
      </w:r>
      <w:r w:rsidR="00AC5499" w:rsidRPr="004062B4">
        <w:t>(a)</w:t>
      </w:r>
      <w:r w:rsidRPr="004062B4">
        <w:t> : Cadre de mise à disposition</w:t>
      </w:r>
      <w:r w:rsidR="00AC5499" w:rsidRPr="004062B4">
        <w:t xml:space="preserve"> sans commentaire</w:t>
      </w:r>
      <w:r w:rsidR="00FC1D31" w:rsidRPr="004062B4">
        <w:t xml:space="preserve"> – version du 11 septembre 2025</w:t>
      </w:r>
    </w:p>
    <w:p w14:paraId="572816B4" w14:textId="69C939B3" w:rsidR="00A11667" w:rsidRPr="004062B4" w:rsidRDefault="00A11667" w:rsidP="00FC1D31">
      <w:pPr>
        <w:pStyle w:val="Paragraphe"/>
        <w:numPr>
          <w:ilvl w:val="0"/>
          <w:numId w:val="13"/>
        </w:numPr>
      </w:pPr>
      <w:r w:rsidRPr="004062B4">
        <w:t>Annexe 1(</w:t>
      </w:r>
      <w:r w:rsidR="00FC1D31" w:rsidRPr="004062B4">
        <w:t>b</w:t>
      </w:r>
      <w:r w:rsidRPr="004062B4">
        <w:t xml:space="preserve">) : Cadre de mise à disposition </w:t>
      </w:r>
      <w:r w:rsidR="00FC1D31" w:rsidRPr="004062B4">
        <w:t>avec</w:t>
      </w:r>
      <w:r w:rsidRPr="004062B4">
        <w:t xml:space="preserve"> </w:t>
      </w:r>
      <w:r w:rsidR="00863674" w:rsidRPr="004062B4">
        <w:t>toutes les modifications surlignées</w:t>
      </w:r>
      <w:r w:rsidR="00FC1D31" w:rsidRPr="004062B4">
        <w:t xml:space="preserve"> – version du 11 septembre 2025</w:t>
      </w:r>
    </w:p>
    <w:p w14:paraId="57B851CD" w14:textId="77777777" w:rsidR="00D5274F" w:rsidRPr="004062B4" w:rsidRDefault="00D5274F" w:rsidP="00D5274F">
      <w:pPr>
        <w:pStyle w:val="Paragraphe"/>
        <w:numPr>
          <w:ilvl w:val="0"/>
          <w:numId w:val="13"/>
        </w:numPr>
      </w:pPr>
      <w:r w:rsidRPr="004062B4">
        <w:t>Annexe 2 : Liste des mises à disposition</w:t>
      </w:r>
    </w:p>
    <w:p w14:paraId="4D1F0A06" w14:textId="29CA6284" w:rsidR="00D5274F" w:rsidRPr="004062B4" w:rsidRDefault="00D5274F" w:rsidP="00D5274F">
      <w:pPr>
        <w:pStyle w:val="Paragraphe"/>
        <w:numPr>
          <w:ilvl w:val="0"/>
          <w:numId w:val="13"/>
        </w:numPr>
      </w:pPr>
      <w:r w:rsidRPr="004062B4">
        <w:t xml:space="preserve">Annexe </w:t>
      </w:r>
      <w:r w:rsidR="00B13907" w:rsidRPr="004062B4">
        <w:t>3</w:t>
      </w:r>
      <w:r w:rsidR="002F6004" w:rsidRPr="004062B4">
        <w:t xml:space="preserve">a </w:t>
      </w:r>
      <w:r w:rsidRPr="004062B4">
        <w:t>: Projet de terme</w:t>
      </w:r>
      <w:r w:rsidR="00B64FC2" w:rsidRPr="004062B4">
        <w:t>s</w:t>
      </w:r>
      <w:r w:rsidRPr="004062B4">
        <w:t xml:space="preserve"> de référence pour le poste de directeur</w:t>
      </w:r>
      <w:r w:rsidR="00DE1FBF" w:rsidRPr="004062B4">
        <w:t xml:space="preserve"> sans commentaires– version du 05/10/2025</w:t>
      </w:r>
    </w:p>
    <w:p w14:paraId="5DC96FBB" w14:textId="6A976508" w:rsidR="002F6004" w:rsidRPr="004062B4" w:rsidRDefault="002F6004" w:rsidP="00D5274F">
      <w:pPr>
        <w:pStyle w:val="Paragraphe"/>
        <w:numPr>
          <w:ilvl w:val="0"/>
          <w:numId w:val="13"/>
        </w:numPr>
      </w:pPr>
      <w:r w:rsidRPr="004062B4">
        <w:t>Annexe 3b : Projet de terme</w:t>
      </w:r>
      <w:r w:rsidR="00B64FC2" w:rsidRPr="004062B4">
        <w:t>s</w:t>
      </w:r>
      <w:r w:rsidRPr="004062B4">
        <w:t xml:space="preserve"> de référence pour le poste de directeur</w:t>
      </w:r>
      <w:r w:rsidR="00DE1FBF" w:rsidRPr="004062B4">
        <w:t xml:space="preserve"> avec toutes les modifications surlignées – version du 05/10/2025</w:t>
      </w:r>
    </w:p>
    <w:p w14:paraId="6C05E065" w14:textId="7C2A88B5" w:rsidR="004062B4" w:rsidRPr="004062B4" w:rsidRDefault="00AE1177" w:rsidP="006C607F">
      <w:pPr>
        <w:pStyle w:val="Paragraphe"/>
        <w:numPr>
          <w:ilvl w:val="0"/>
          <w:numId w:val="13"/>
        </w:numPr>
      </w:pPr>
      <w:r w:rsidRPr="004062B4">
        <w:t>Annexe 4 : Projet de terme</w:t>
      </w:r>
      <w:r w:rsidR="00B64FC2" w:rsidRPr="004062B4">
        <w:t>s</w:t>
      </w:r>
      <w:r w:rsidRPr="004062B4">
        <w:t xml:space="preserve"> de référence des assistants chargés de mission</w:t>
      </w:r>
    </w:p>
    <w:sectPr w:rsidR="004062B4" w:rsidRPr="004062B4" w:rsidSect="002116ED">
      <w:headerReference w:type="default" r:id="rId8"/>
      <w:footerReference w:type="default" r:id="rId9"/>
      <w:pgSz w:w="11906" w:h="16838"/>
      <w:pgMar w:top="1276" w:right="1417" w:bottom="993"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78A29" w14:textId="77777777" w:rsidR="000B0679" w:rsidRDefault="000B0679">
      <w:pPr>
        <w:spacing w:after="0" w:line="240" w:lineRule="auto"/>
      </w:pPr>
      <w:r>
        <w:separator/>
      </w:r>
    </w:p>
  </w:endnote>
  <w:endnote w:type="continuationSeparator" w:id="0">
    <w:p w14:paraId="2EA145DC" w14:textId="77777777" w:rsidR="000B0679" w:rsidRDefault="000B0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392675"/>
      <w:docPartObj>
        <w:docPartGallery w:val="Page Numbers (Bottom of Page)"/>
        <w:docPartUnique/>
      </w:docPartObj>
    </w:sdt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t>2</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59450" w14:textId="77777777" w:rsidR="000B0679" w:rsidRDefault="000B0679">
      <w:pPr>
        <w:spacing w:after="0" w:line="240" w:lineRule="auto"/>
      </w:pPr>
      <w:r>
        <w:separator/>
      </w:r>
    </w:p>
  </w:footnote>
  <w:footnote w:type="continuationSeparator" w:id="0">
    <w:p w14:paraId="7450F4EA" w14:textId="77777777" w:rsidR="000B0679" w:rsidRDefault="000B06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B6C79" w14:textId="6C61A0E9" w:rsidR="00063A26" w:rsidRDefault="00854EEA" w:rsidP="00063A26">
    <w:pPr>
      <w:pStyle w:val="En-tte"/>
      <w:tabs>
        <w:tab w:val="clear" w:pos="4536"/>
        <w:tab w:val="clear" w:pos="9072"/>
        <w:tab w:val="center" w:pos="0"/>
      </w:tabs>
      <w:rPr>
        <w:b/>
        <w:bCs/>
      </w:rPr>
    </w:pPr>
    <w:r>
      <w:rPr>
        <w:i/>
        <w:iCs/>
        <w:noProof/>
      </w:rPr>
      <w:drawing>
        <wp:inline distT="0" distB="0" distL="0" distR="0" wp14:anchorId="09635A91" wp14:editId="3A6A5A2C">
          <wp:extent cx="1090909" cy="360000"/>
          <wp:effectExtent l="0" t="0" r="0" b="2540"/>
          <wp:docPr id="495917180" name="Image 495917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tab/>
    </w:r>
    <w:r w:rsidR="003604B9" w:rsidRPr="0018252D">
      <w:rPr>
        <w:rFonts w:ascii="Verdana" w:hAnsi="Verdana"/>
        <w:b/>
        <w:bCs/>
        <w:sz w:val="20"/>
        <w:szCs w:val="20"/>
      </w:rPr>
      <w:t xml:space="preserve">Point. </w:t>
    </w:r>
    <w:r w:rsidR="00745ECE">
      <w:rPr>
        <w:rFonts w:ascii="Verdana" w:hAnsi="Verdana"/>
        <w:b/>
        <w:bCs/>
        <w:sz w:val="20"/>
        <w:szCs w:val="20"/>
      </w:rPr>
      <w:t>3.</w:t>
    </w:r>
    <w:r w:rsidR="00BF765A">
      <w:rPr>
        <w:rFonts w:ascii="Verdana" w:hAnsi="Verdana"/>
        <w:b/>
        <w:bCs/>
        <w:sz w:val="20"/>
        <w:szCs w:val="20"/>
      </w:rPr>
      <w:t>2</w:t>
    </w:r>
  </w:p>
  <w:p w14:paraId="7FE17793" w14:textId="77777777" w:rsidR="00AA63A3" w:rsidRDefault="00AA63A3" w:rsidP="00AA63A3">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839B0"/>
    <w:multiLevelType w:val="multilevel"/>
    <w:tmpl w:val="A67A0F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9EE1CA3"/>
    <w:multiLevelType w:val="hybridMultilevel"/>
    <w:tmpl w:val="753E279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57856E0"/>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4AE6FB7"/>
    <w:multiLevelType w:val="hybridMultilevel"/>
    <w:tmpl w:val="8A7AD03E"/>
    <w:lvl w:ilvl="0" w:tplc="2000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5B17328"/>
    <w:multiLevelType w:val="hybridMultilevel"/>
    <w:tmpl w:val="351AA16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40D60A85"/>
    <w:multiLevelType w:val="multilevel"/>
    <w:tmpl w:val="98D21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106DED"/>
    <w:multiLevelType w:val="hybridMultilevel"/>
    <w:tmpl w:val="7D246900"/>
    <w:lvl w:ilvl="0" w:tplc="C664A47A">
      <w:start w:val="2"/>
      <w:numFmt w:val="bullet"/>
      <w:lvlText w:val="-"/>
      <w:lvlJc w:val="left"/>
      <w:pPr>
        <w:ind w:left="1080" w:hanging="360"/>
      </w:pPr>
      <w:rPr>
        <w:rFonts w:ascii="Verdana" w:eastAsiaTheme="minorHAnsi" w:hAnsi="Verdana" w:cstheme="minorBidi"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3" w15:restartNumberingAfterBreak="0">
    <w:nsid w:val="56F53915"/>
    <w:multiLevelType w:val="hybridMultilevel"/>
    <w:tmpl w:val="75BC507E"/>
    <w:lvl w:ilvl="0" w:tplc="9C5047B6">
      <w:start w:val="2022"/>
      <w:numFmt w:val="bullet"/>
      <w:lvlText w:val="-"/>
      <w:lvlJc w:val="left"/>
      <w:pPr>
        <w:ind w:left="720" w:hanging="360"/>
      </w:pPr>
      <w:rPr>
        <w:rFonts w:ascii="Verdana" w:eastAsiaTheme="minorHAnsi" w:hAnsi="Verdana"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9E745D8"/>
    <w:multiLevelType w:val="multilevel"/>
    <w:tmpl w:val="C09A773A"/>
    <w:lvl w:ilvl="0">
      <w:start w:val="1"/>
      <w:numFmt w:val="bullet"/>
      <w:lvlText w:val=""/>
      <w:lvlJc w:val="left"/>
      <w:pPr>
        <w:ind w:left="720" w:hanging="360"/>
      </w:pPr>
      <w:rPr>
        <w:rFonts w:ascii="Symbol" w:hAnsi="Symbol"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6695931"/>
    <w:multiLevelType w:val="hybridMultilevel"/>
    <w:tmpl w:val="753E279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06857274">
    <w:abstractNumId w:val="7"/>
  </w:num>
  <w:num w:numId="2" w16cid:durableId="693463901">
    <w:abstractNumId w:val="16"/>
  </w:num>
  <w:num w:numId="3" w16cid:durableId="821701795">
    <w:abstractNumId w:val="4"/>
  </w:num>
  <w:num w:numId="4" w16cid:durableId="1419017904">
    <w:abstractNumId w:val="1"/>
  </w:num>
  <w:num w:numId="5" w16cid:durableId="1097139959">
    <w:abstractNumId w:val="14"/>
  </w:num>
  <w:num w:numId="6" w16cid:durableId="2071610087">
    <w:abstractNumId w:val="6"/>
  </w:num>
  <w:num w:numId="7" w16cid:durableId="2107577626">
    <w:abstractNumId w:val="8"/>
  </w:num>
  <w:num w:numId="8" w16cid:durableId="1778521923">
    <w:abstractNumId w:val="4"/>
    <w:lvlOverride w:ilvl="0">
      <w:startOverride w:val="1"/>
    </w:lvlOverride>
  </w:num>
  <w:num w:numId="9" w16cid:durableId="2010212023">
    <w:abstractNumId w:val="3"/>
  </w:num>
  <w:num w:numId="10" w16cid:durableId="1521746232">
    <w:abstractNumId w:val="9"/>
  </w:num>
  <w:num w:numId="11" w16cid:durableId="11909506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55048064">
    <w:abstractNumId w:val="4"/>
  </w:num>
  <w:num w:numId="13" w16cid:durableId="607735705">
    <w:abstractNumId w:val="15"/>
  </w:num>
  <w:num w:numId="14" w16cid:durableId="246353209">
    <w:abstractNumId w:val="4"/>
  </w:num>
  <w:num w:numId="15" w16cid:durableId="438792381">
    <w:abstractNumId w:val="4"/>
  </w:num>
  <w:num w:numId="16" w16cid:durableId="1429961536">
    <w:abstractNumId w:val="0"/>
  </w:num>
  <w:num w:numId="17" w16cid:durableId="656954349">
    <w:abstractNumId w:val="12"/>
  </w:num>
  <w:num w:numId="18" w16cid:durableId="1868371592">
    <w:abstractNumId w:val="11"/>
  </w:num>
  <w:num w:numId="19" w16cid:durableId="1790582272">
    <w:abstractNumId w:val="5"/>
  </w:num>
  <w:num w:numId="20" w16cid:durableId="1307054224">
    <w:abstractNumId w:val="2"/>
  </w:num>
  <w:num w:numId="21" w16cid:durableId="1843550282">
    <w:abstractNumId w:val="13"/>
  </w:num>
  <w:num w:numId="22" w16cid:durableId="548341543">
    <w:abstractNumId w:val="4"/>
  </w:num>
  <w:num w:numId="23" w16cid:durableId="1681589232">
    <w:abstractNumId w:val="17"/>
  </w:num>
  <w:num w:numId="24" w16cid:durableId="1090659182">
    <w:abstractNumId w:val="4"/>
  </w:num>
  <w:num w:numId="25" w16cid:durableId="694967238">
    <w:abstractNumId w:val="4"/>
  </w:num>
  <w:num w:numId="26" w16cid:durableId="1560094187">
    <w:abstractNumId w:val="4"/>
  </w:num>
  <w:num w:numId="27" w16cid:durableId="439881608">
    <w:abstractNumId w:val="4"/>
  </w:num>
  <w:num w:numId="28" w16cid:durableId="2016616197">
    <w:abstractNumId w:val="10"/>
  </w:num>
  <w:num w:numId="29" w16cid:durableId="12827588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0036D"/>
    <w:rsid w:val="00022EC7"/>
    <w:rsid w:val="00023F49"/>
    <w:rsid w:val="0002498D"/>
    <w:rsid w:val="00030009"/>
    <w:rsid w:val="0003441F"/>
    <w:rsid w:val="000373B2"/>
    <w:rsid w:val="00042CF5"/>
    <w:rsid w:val="00046928"/>
    <w:rsid w:val="000556C9"/>
    <w:rsid w:val="00056C26"/>
    <w:rsid w:val="0006001B"/>
    <w:rsid w:val="00060CA0"/>
    <w:rsid w:val="00063A26"/>
    <w:rsid w:val="000716A8"/>
    <w:rsid w:val="0008468B"/>
    <w:rsid w:val="000A23AA"/>
    <w:rsid w:val="000A468A"/>
    <w:rsid w:val="000A46C0"/>
    <w:rsid w:val="000A6422"/>
    <w:rsid w:val="000B0679"/>
    <w:rsid w:val="000B0FBD"/>
    <w:rsid w:val="000C46E9"/>
    <w:rsid w:val="000D0EB1"/>
    <w:rsid w:val="000D13EE"/>
    <w:rsid w:val="000D72DA"/>
    <w:rsid w:val="000F4728"/>
    <w:rsid w:val="00100726"/>
    <w:rsid w:val="0010770A"/>
    <w:rsid w:val="00107D9D"/>
    <w:rsid w:val="00112550"/>
    <w:rsid w:val="001127CD"/>
    <w:rsid w:val="001177D1"/>
    <w:rsid w:val="00124804"/>
    <w:rsid w:val="00136B62"/>
    <w:rsid w:val="0015136A"/>
    <w:rsid w:val="0015294B"/>
    <w:rsid w:val="00155011"/>
    <w:rsid w:val="00156EE3"/>
    <w:rsid w:val="0016192F"/>
    <w:rsid w:val="0016246C"/>
    <w:rsid w:val="00170269"/>
    <w:rsid w:val="001729B2"/>
    <w:rsid w:val="0018252D"/>
    <w:rsid w:val="00183D04"/>
    <w:rsid w:val="00183E3B"/>
    <w:rsid w:val="001842D1"/>
    <w:rsid w:val="0018498A"/>
    <w:rsid w:val="00195524"/>
    <w:rsid w:val="00197B37"/>
    <w:rsid w:val="001A1B43"/>
    <w:rsid w:val="001A56F1"/>
    <w:rsid w:val="001B21B2"/>
    <w:rsid w:val="001B3A8D"/>
    <w:rsid w:val="001B4738"/>
    <w:rsid w:val="001B4CCC"/>
    <w:rsid w:val="001B71A4"/>
    <w:rsid w:val="001D6D52"/>
    <w:rsid w:val="001E35DE"/>
    <w:rsid w:val="001E592A"/>
    <w:rsid w:val="00201AE9"/>
    <w:rsid w:val="00206E8F"/>
    <w:rsid w:val="0021063C"/>
    <w:rsid w:val="002116ED"/>
    <w:rsid w:val="00214D5A"/>
    <w:rsid w:val="00215683"/>
    <w:rsid w:val="00221E0B"/>
    <w:rsid w:val="0022240D"/>
    <w:rsid w:val="002242D3"/>
    <w:rsid w:val="002274FC"/>
    <w:rsid w:val="00227B22"/>
    <w:rsid w:val="00236E50"/>
    <w:rsid w:val="00253E85"/>
    <w:rsid w:val="00254C08"/>
    <w:rsid w:val="002662B2"/>
    <w:rsid w:val="00272D9E"/>
    <w:rsid w:val="00281C93"/>
    <w:rsid w:val="0029209A"/>
    <w:rsid w:val="0029272D"/>
    <w:rsid w:val="002A0933"/>
    <w:rsid w:val="002A096E"/>
    <w:rsid w:val="002A2155"/>
    <w:rsid w:val="002B62D4"/>
    <w:rsid w:val="002C56ED"/>
    <w:rsid w:val="002C6707"/>
    <w:rsid w:val="002D512A"/>
    <w:rsid w:val="002F5914"/>
    <w:rsid w:val="002F6004"/>
    <w:rsid w:val="003202A9"/>
    <w:rsid w:val="00333481"/>
    <w:rsid w:val="003376D1"/>
    <w:rsid w:val="00344FBE"/>
    <w:rsid w:val="003604B9"/>
    <w:rsid w:val="00360B33"/>
    <w:rsid w:val="0036287B"/>
    <w:rsid w:val="00365703"/>
    <w:rsid w:val="003772FB"/>
    <w:rsid w:val="00380B24"/>
    <w:rsid w:val="0038531E"/>
    <w:rsid w:val="00391152"/>
    <w:rsid w:val="003953C5"/>
    <w:rsid w:val="003A0CE5"/>
    <w:rsid w:val="003A2E01"/>
    <w:rsid w:val="003A335B"/>
    <w:rsid w:val="003A3425"/>
    <w:rsid w:val="003A4ED0"/>
    <w:rsid w:val="003A506E"/>
    <w:rsid w:val="003A6631"/>
    <w:rsid w:val="003A6EEB"/>
    <w:rsid w:val="003A73E9"/>
    <w:rsid w:val="003B0954"/>
    <w:rsid w:val="003B2ADC"/>
    <w:rsid w:val="003C2538"/>
    <w:rsid w:val="003D485F"/>
    <w:rsid w:val="003D5328"/>
    <w:rsid w:val="003D7611"/>
    <w:rsid w:val="003E0417"/>
    <w:rsid w:val="003E5CCF"/>
    <w:rsid w:val="003F038B"/>
    <w:rsid w:val="003F1305"/>
    <w:rsid w:val="003F2170"/>
    <w:rsid w:val="003F4C68"/>
    <w:rsid w:val="003F7937"/>
    <w:rsid w:val="004062B4"/>
    <w:rsid w:val="00406CD3"/>
    <w:rsid w:val="00407172"/>
    <w:rsid w:val="0041278C"/>
    <w:rsid w:val="00414789"/>
    <w:rsid w:val="004167CA"/>
    <w:rsid w:val="00417683"/>
    <w:rsid w:val="004218E9"/>
    <w:rsid w:val="004234B8"/>
    <w:rsid w:val="0042442D"/>
    <w:rsid w:val="0042455B"/>
    <w:rsid w:val="00426673"/>
    <w:rsid w:val="00433CD5"/>
    <w:rsid w:val="00442532"/>
    <w:rsid w:val="00454457"/>
    <w:rsid w:val="004607F7"/>
    <w:rsid w:val="00480D04"/>
    <w:rsid w:val="0048229E"/>
    <w:rsid w:val="00491281"/>
    <w:rsid w:val="00492737"/>
    <w:rsid w:val="0049438B"/>
    <w:rsid w:val="004A2698"/>
    <w:rsid w:val="004A27C7"/>
    <w:rsid w:val="004A4DA1"/>
    <w:rsid w:val="004A708D"/>
    <w:rsid w:val="004C74DF"/>
    <w:rsid w:val="004E5297"/>
    <w:rsid w:val="004E56C3"/>
    <w:rsid w:val="004F5C4B"/>
    <w:rsid w:val="004F687D"/>
    <w:rsid w:val="00511F93"/>
    <w:rsid w:val="00513A6A"/>
    <w:rsid w:val="00515A1D"/>
    <w:rsid w:val="00520AE5"/>
    <w:rsid w:val="00523ECE"/>
    <w:rsid w:val="00527180"/>
    <w:rsid w:val="0053773D"/>
    <w:rsid w:val="00543788"/>
    <w:rsid w:val="00547C67"/>
    <w:rsid w:val="005528DF"/>
    <w:rsid w:val="00556B7A"/>
    <w:rsid w:val="005611F7"/>
    <w:rsid w:val="005625CC"/>
    <w:rsid w:val="0056546F"/>
    <w:rsid w:val="00576329"/>
    <w:rsid w:val="00585186"/>
    <w:rsid w:val="00587A32"/>
    <w:rsid w:val="00597F09"/>
    <w:rsid w:val="005A3E13"/>
    <w:rsid w:val="005A7948"/>
    <w:rsid w:val="005B3350"/>
    <w:rsid w:val="005B3353"/>
    <w:rsid w:val="005B71FC"/>
    <w:rsid w:val="005B7D30"/>
    <w:rsid w:val="005C5AB0"/>
    <w:rsid w:val="005D5B1B"/>
    <w:rsid w:val="005E14AB"/>
    <w:rsid w:val="005E2F5F"/>
    <w:rsid w:val="005E4952"/>
    <w:rsid w:val="005E54D5"/>
    <w:rsid w:val="005E65F4"/>
    <w:rsid w:val="005E7D0E"/>
    <w:rsid w:val="005F0D98"/>
    <w:rsid w:val="005F3FED"/>
    <w:rsid w:val="005F4A14"/>
    <w:rsid w:val="006046C9"/>
    <w:rsid w:val="00607EBF"/>
    <w:rsid w:val="00620B90"/>
    <w:rsid w:val="00621943"/>
    <w:rsid w:val="00623E75"/>
    <w:rsid w:val="00624B5C"/>
    <w:rsid w:val="006250DE"/>
    <w:rsid w:val="00631BF9"/>
    <w:rsid w:val="006356AF"/>
    <w:rsid w:val="00636697"/>
    <w:rsid w:val="00650370"/>
    <w:rsid w:val="0065177D"/>
    <w:rsid w:val="00652699"/>
    <w:rsid w:val="006548BF"/>
    <w:rsid w:val="00654CFE"/>
    <w:rsid w:val="00660504"/>
    <w:rsid w:val="006609B8"/>
    <w:rsid w:val="0066387A"/>
    <w:rsid w:val="00671C05"/>
    <w:rsid w:val="00676356"/>
    <w:rsid w:val="00676D6F"/>
    <w:rsid w:val="00694B9C"/>
    <w:rsid w:val="006A4C6F"/>
    <w:rsid w:val="006A60DB"/>
    <w:rsid w:val="006A772F"/>
    <w:rsid w:val="006C0E5D"/>
    <w:rsid w:val="006C42E2"/>
    <w:rsid w:val="006C696D"/>
    <w:rsid w:val="006E219F"/>
    <w:rsid w:val="006E2D9E"/>
    <w:rsid w:val="006E3C85"/>
    <w:rsid w:val="006E469A"/>
    <w:rsid w:val="006F6D81"/>
    <w:rsid w:val="006F74B4"/>
    <w:rsid w:val="00705325"/>
    <w:rsid w:val="00705A9F"/>
    <w:rsid w:val="0071410F"/>
    <w:rsid w:val="007210EC"/>
    <w:rsid w:val="0073304B"/>
    <w:rsid w:val="00733BF8"/>
    <w:rsid w:val="00734D35"/>
    <w:rsid w:val="00736609"/>
    <w:rsid w:val="0074235F"/>
    <w:rsid w:val="00742398"/>
    <w:rsid w:val="00743516"/>
    <w:rsid w:val="00745ECE"/>
    <w:rsid w:val="00746020"/>
    <w:rsid w:val="007508CC"/>
    <w:rsid w:val="00755DE5"/>
    <w:rsid w:val="00760405"/>
    <w:rsid w:val="00761F87"/>
    <w:rsid w:val="00763270"/>
    <w:rsid w:val="0077212B"/>
    <w:rsid w:val="00775835"/>
    <w:rsid w:val="0078076F"/>
    <w:rsid w:val="00783B45"/>
    <w:rsid w:val="00793469"/>
    <w:rsid w:val="007A4E86"/>
    <w:rsid w:val="007B1C8A"/>
    <w:rsid w:val="007B245C"/>
    <w:rsid w:val="007B6555"/>
    <w:rsid w:val="007C141B"/>
    <w:rsid w:val="007C78FC"/>
    <w:rsid w:val="007D15DA"/>
    <w:rsid w:val="007E7EF3"/>
    <w:rsid w:val="00804D7A"/>
    <w:rsid w:val="00805FA4"/>
    <w:rsid w:val="0080777F"/>
    <w:rsid w:val="00816DAC"/>
    <w:rsid w:val="0082083E"/>
    <w:rsid w:val="0082762E"/>
    <w:rsid w:val="0083290E"/>
    <w:rsid w:val="00833A35"/>
    <w:rsid w:val="00834B94"/>
    <w:rsid w:val="008357BB"/>
    <w:rsid w:val="00843FF2"/>
    <w:rsid w:val="008453AB"/>
    <w:rsid w:val="00851C19"/>
    <w:rsid w:val="00854EEA"/>
    <w:rsid w:val="008551DA"/>
    <w:rsid w:val="008573BA"/>
    <w:rsid w:val="008577F2"/>
    <w:rsid w:val="0086101E"/>
    <w:rsid w:val="008629B5"/>
    <w:rsid w:val="00862A19"/>
    <w:rsid w:val="00863674"/>
    <w:rsid w:val="00866FC7"/>
    <w:rsid w:val="00873171"/>
    <w:rsid w:val="00881D25"/>
    <w:rsid w:val="008909B5"/>
    <w:rsid w:val="008A1133"/>
    <w:rsid w:val="008A3181"/>
    <w:rsid w:val="008A65AB"/>
    <w:rsid w:val="008B1A22"/>
    <w:rsid w:val="008B1AAD"/>
    <w:rsid w:val="008D193F"/>
    <w:rsid w:val="008D6A3D"/>
    <w:rsid w:val="008E6496"/>
    <w:rsid w:val="008E70AB"/>
    <w:rsid w:val="008F173C"/>
    <w:rsid w:val="00902F5E"/>
    <w:rsid w:val="00905A0D"/>
    <w:rsid w:val="00905C2C"/>
    <w:rsid w:val="009116DE"/>
    <w:rsid w:val="00915853"/>
    <w:rsid w:val="009242CD"/>
    <w:rsid w:val="00931BC8"/>
    <w:rsid w:val="009328EA"/>
    <w:rsid w:val="00933A89"/>
    <w:rsid w:val="00946CCD"/>
    <w:rsid w:val="009526D7"/>
    <w:rsid w:val="00955BB3"/>
    <w:rsid w:val="00960A70"/>
    <w:rsid w:val="00961DAA"/>
    <w:rsid w:val="009662CA"/>
    <w:rsid w:val="00974808"/>
    <w:rsid w:val="00974CFB"/>
    <w:rsid w:val="00977A3E"/>
    <w:rsid w:val="009845C1"/>
    <w:rsid w:val="009A38AD"/>
    <w:rsid w:val="009B06FC"/>
    <w:rsid w:val="009B1A44"/>
    <w:rsid w:val="009C3D43"/>
    <w:rsid w:val="009C4A8E"/>
    <w:rsid w:val="009C7E92"/>
    <w:rsid w:val="009D681B"/>
    <w:rsid w:val="009E030F"/>
    <w:rsid w:val="009E5765"/>
    <w:rsid w:val="009E5A5B"/>
    <w:rsid w:val="009E5A84"/>
    <w:rsid w:val="009F09F3"/>
    <w:rsid w:val="009F5CB0"/>
    <w:rsid w:val="009F6177"/>
    <w:rsid w:val="009F79ED"/>
    <w:rsid w:val="00A11667"/>
    <w:rsid w:val="00A13072"/>
    <w:rsid w:val="00A138A1"/>
    <w:rsid w:val="00A142C7"/>
    <w:rsid w:val="00A148A1"/>
    <w:rsid w:val="00A20DD7"/>
    <w:rsid w:val="00A23319"/>
    <w:rsid w:val="00A2450B"/>
    <w:rsid w:val="00A31764"/>
    <w:rsid w:val="00A348E1"/>
    <w:rsid w:val="00A36C09"/>
    <w:rsid w:val="00A37C9F"/>
    <w:rsid w:val="00A42092"/>
    <w:rsid w:val="00A42493"/>
    <w:rsid w:val="00A45DF1"/>
    <w:rsid w:val="00A469FE"/>
    <w:rsid w:val="00A51AA5"/>
    <w:rsid w:val="00A53E0F"/>
    <w:rsid w:val="00A70123"/>
    <w:rsid w:val="00A71718"/>
    <w:rsid w:val="00A71AA1"/>
    <w:rsid w:val="00A73750"/>
    <w:rsid w:val="00A73F34"/>
    <w:rsid w:val="00A74438"/>
    <w:rsid w:val="00A76B07"/>
    <w:rsid w:val="00A81B98"/>
    <w:rsid w:val="00A81BFE"/>
    <w:rsid w:val="00A82AA5"/>
    <w:rsid w:val="00A851BF"/>
    <w:rsid w:val="00A90305"/>
    <w:rsid w:val="00A948D4"/>
    <w:rsid w:val="00A94CBF"/>
    <w:rsid w:val="00A97494"/>
    <w:rsid w:val="00AA17C1"/>
    <w:rsid w:val="00AA63A3"/>
    <w:rsid w:val="00AA74AB"/>
    <w:rsid w:val="00AB0FFE"/>
    <w:rsid w:val="00AB5EB7"/>
    <w:rsid w:val="00AB712D"/>
    <w:rsid w:val="00AC3CC8"/>
    <w:rsid w:val="00AC5499"/>
    <w:rsid w:val="00AD32F9"/>
    <w:rsid w:val="00AD4CCE"/>
    <w:rsid w:val="00AD4D97"/>
    <w:rsid w:val="00AD7403"/>
    <w:rsid w:val="00AE1177"/>
    <w:rsid w:val="00AE15C5"/>
    <w:rsid w:val="00AE2453"/>
    <w:rsid w:val="00AE4A93"/>
    <w:rsid w:val="00AF02AA"/>
    <w:rsid w:val="00AF2FDE"/>
    <w:rsid w:val="00AF4AE2"/>
    <w:rsid w:val="00B00115"/>
    <w:rsid w:val="00B05DFC"/>
    <w:rsid w:val="00B11D7A"/>
    <w:rsid w:val="00B13158"/>
    <w:rsid w:val="00B13907"/>
    <w:rsid w:val="00B22EC6"/>
    <w:rsid w:val="00B2572E"/>
    <w:rsid w:val="00B27119"/>
    <w:rsid w:val="00B33CD3"/>
    <w:rsid w:val="00B36EEA"/>
    <w:rsid w:val="00B40EC9"/>
    <w:rsid w:val="00B44F01"/>
    <w:rsid w:val="00B452CA"/>
    <w:rsid w:val="00B571FA"/>
    <w:rsid w:val="00B6433A"/>
    <w:rsid w:val="00B64FC2"/>
    <w:rsid w:val="00B76B0F"/>
    <w:rsid w:val="00B82CC7"/>
    <w:rsid w:val="00B865DB"/>
    <w:rsid w:val="00B94A56"/>
    <w:rsid w:val="00BA4B55"/>
    <w:rsid w:val="00BC5500"/>
    <w:rsid w:val="00BD2DEA"/>
    <w:rsid w:val="00BE6CA3"/>
    <w:rsid w:val="00BF58A7"/>
    <w:rsid w:val="00BF765A"/>
    <w:rsid w:val="00C02228"/>
    <w:rsid w:val="00C11C9C"/>
    <w:rsid w:val="00C12C93"/>
    <w:rsid w:val="00C1575A"/>
    <w:rsid w:val="00C325F5"/>
    <w:rsid w:val="00C35ED7"/>
    <w:rsid w:val="00C3612B"/>
    <w:rsid w:val="00C43FB6"/>
    <w:rsid w:val="00C44506"/>
    <w:rsid w:val="00C457E8"/>
    <w:rsid w:val="00C45BFC"/>
    <w:rsid w:val="00C567C5"/>
    <w:rsid w:val="00C5712F"/>
    <w:rsid w:val="00C609B9"/>
    <w:rsid w:val="00C61D15"/>
    <w:rsid w:val="00C91A58"/>
    <w:rsid w:val="00CA28AD"/>
    <w:rsid w:val="00CA73A9"/>
    <w:rsid w:val="00CD384B"/>
    <w:rsid w:val="00CD52EF"/>
    <w:rsid w:val="00CE2386"/>
    <w:rsid w:val="00CE415D"/>
    <w:rsid w:val="00CE42B4"/>
    <w:rsid w:val="00CE7347"/>
    <w:rsid w:val="00CF2450"/>
    <w:rsid w:val="00CF4ED9"/>
    <w:rsid w:val="00CF7687"/>
    <w:rsid w:val="00D05557"/>
    <w:rsid w:val="00D109F0"/>
    <w:rsid w:val="00D216A1"/>
    <w:rsid w:val="00D2497D"/>
    <w:rsid w:val="00D324FA"/>
    <w:rsid w:val="00D37487"/>
    <w:rsid w:val="00D424FF"/>
    <w:rsid w:val="00D42E6D"/>
    <w:rsid w:val="00D5274F"/>
    <w:rsid w:val="00D5308B"/>
    <w:rsid w:val="00D557DD"/>
    <w:rsid w:val="00D60761"/>
    <w:rsid w:val="00D718BD"/>
    <w:rsid w:val="00D77712"/>
    <w:rsid w:val="00D8050E"/>
    <w:rsid w:val="00D83DEF"/>
    <w:rsid w:val="00D92FB5"/>
    <w:rsid w:val="00DA2B4A"/>
    <w:rsid w:val="00DA2EE0"/>
    <w:rsid w:val="00DA4009"/>
    <w:rsid w:val="00DA53DC"/>
    <w:rsid w:val="00DB78E4"/>
    <w:rsid w:val="00DC7986"/>
    <w:rsid w:val="00DD43DD"/>
    <w:rsid w:val="00DD723A"/>
    <w:rsid w:val="00DE1FBF"/>
    <w:rsid w:val="00DE5263"/>
    <w:rsid w:val="00DE6902"/>
    <w:rsid w:val="00DF05A1"/>
    <w:rsid w:val="00E2774E"/>
    <w:rsid w:val="00E32408"/>
    <w:rsid w:val="00E324EC"/>
    <w:rsid w:val="00E344E0"/>
    <w:rsid w:val="00E3543E"/>
    <w:rsid w:val="00E429A6"/>
    <w:rsid w:val="00E43101"/>
    <w:rsid w:val="00E47070"/>
    <w:rsid w:val="00E51DD6"/>
    <w:rsid w:val="00E61F54"/>
    <w:rsid w:val="00E77CDC"/>
    <w:rsid w:val="00E80F6E"/>
    <w:rsid w:val="00E831DE"/>
    <w:rsid w:val="00E845D4"/>
    <w:rsid w:val="00EA2518"/>
    <w:rsid w:val="00EA259F"/>
    <w:rsid w:val="00EB1650"/>
    <w:rsid w:val="00EB20C7"/>
    <w:rsid w:val="00EB2C98"/>
    <w:rsid w:val="00EB38A5"/>
    <w:rsid w:val="00EB3DCF"/>
    <w:rsid w:val="00EB5011"/>
    <w:rsid w:val="00EB6D9E"/>
    <w:rsid w:val="00EC22CC"/>
    <w:rsid w:val="00EC2430"/>
    <w:rsid w:val="00EC36F7"/>
    <w:rsid w:val="00EC58D3"/>
    <w:rsid w:val="00EC63C8"/>
    <w:rsid w:val="00EC6E21"/>
    <w:rsid w:val="00ED07C0"/>
    <w:rsid w:val="00ED1185"/>
    <w:rsid w:val="00ED1F94"/>
    <w:rsid w:val="00ED30E8"/>
    <w:rsid w:val="00ED3D2A"/>
    <w:rsid w:val="00ED6B69"/>
    <w:rsid w:val="00ED77E4"/>
    <w:rsid w:val="00EE085E"/>
    <w:rsid w:val="00EE34F4"/>
    <w:rsid w:val="00EE4D6A"/>
    <w:rsid w:val="00EF22A4"/>
    <w:rsid w:val="00F00C50"/>
    <w:rsid w:val="00F01B64"/>
    <w:rsid w:val="00F060FC"/>
    <w:rsid w:val="00F12B14"/>
    <w:rsid w:val="00F13A29"/>
    <w:rsid w:val="00F14443"/>
    <w:rsid w:val="00F1472B"/>
    <w:rsid w:val="00F20BBD"/>
    <w:rsid w:val="00F26658"/>
    <w:rsid w:val="00F33FDB"/>
    <w:rsid w:val="00F34A73"/>
    <w:rsid w:val="00F3688F"/>
    <w:rsid w:val="00F36C98"/>
    <w:rsid w:val="00F37BB2"/>
    <w:rsid w:val="00F43983"/>
    <w:rsid w:val="00F510C3"/>
    <w:rsid w:val="00F51750"/>
    <w:rsid w:val="00F54EA0"/>
    <w:rsid w:val="00F6614F"/>
    <w:rsid w:val="00F71F8D"/>
    <w:rsid w:val="00F81965"/>
    <w:rsid w:val="00F827C5"/>
    <w:rsid w:val="00F87CC7"/>
    <w:rsid w:val="00F92844"/>
    <w:rsid w:val="00F93DF1"/>
    <w:rsid w:val="00F96812"/>
    <w:rsid w:val="00F96EE9"/>
    <w:rsid w:val="00F97508"/>
    <w:rsid w:val="00FA07F3"/>
    <w:rsid w:val="00FA0C43"/>
    <w:rsid w:val="00FA1E3E"/>
    <w:rsid w:val="00FB40DA"/>
    <w:rsid w:val="00FB4231"/>
    <w:rsid w:val="00FC1D31"/>
    <w:rsid w:val="00FC30F8"/>
    <w:rsid w:val="00FC4FBC"/>
    <w:rsid w:val="00FC5C38"/>
    <w:rsid w:val="00FE0298"/>
    <w:rsid w:val="00FE285D"/>
    <w:rsid w:val="00FE5DB0"/>
    <w:rsid w:val="00FE63A1"/>
    <w:rsid w:val="00FE642F"/>
    <w:rsid w:val="00FF554E"/>
    <w:rsid w:val="00FF6F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unhideWhenUsed/>
    <w:rsid w:val="001B4738"/>
    <w:pPr>
      <w:spacing w:line="240" w:lineRule="auto"/>
    </w:pPr>
    <w:rPr>
      <w:sz w:val="20"/>
      <w:szCs w:val="20"/>
    </w:rPr>
  </w:style>
  <w:style w:type="character" w:customStyle="1" w:styleId="CommentaireCar">
    <w:name w:val="Commentaire Car"/>
    <w:basedOn w:val="Policepardfaut"/>
    <w:link w:val="Commentaire"/>
    <w:uiPriority w:val="99"/>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basedOn w:val="Policepardfaut"/>
    <w:link w:val="Paragraphedeliste"/>
    <w:uiPriority w:val="34"/>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character" w:styleId="Lienhypertexte">
    <w:name w:val="Hyperlink"/>
    <w:basedOn w:val="Policepardfaut"/>
    <w:uiPriority w:val="99"/>
    <w:unhideWhenUsed/>
    <w:rsid w:val="00156EE3"/>
    <w:rPr>
      <w:color w:val="0563C1" w:themeColor="hyperlink"/>
      <w:u w:val="single"/>
    </w:rPr>
  </w:style>
  <w:style w:type="character" w:styleId="Mentionnonrsolue">
    <w:name w:val="Unresolved Mention"/>
    <w:basedOn w:val="Policepardfaut"/>
    <w:uiPriority w:val="99"/>
    <w:semiHidden/>
    <w:unhideWhenUsed/>
    <w:rsid w:val="00156EE3"/>
    <w:rPr>
      <w:color w:val="605E5C"/>
      <w:shd w:val="clear" w:color="auto" w:fill="E1DFDD"/>
    </w:rPr>
  </w:style>
  <w:style w:type="paragraph" w:styleId="NormalWeb">
    <w:name w:val="Normal (Web)"/>
    <w:basedOn w:val="Normal"/>
    <w:uiPriority w:val="99"/>
    <w:semiHidden/>
    <w:unhideWhenUsed/>
    <w:rsid w:val="000D72DA"/>
    <w:pPr>
      <w:spacing w:before="100" w:beforeAutospacing="1" w:after="100" w:afterAutospacing="1" w:line="240" w:lineRule="auto"/>
    </w:pPr>
    <w:rPr>
      <w:rFonts w:ascii="Times New Roman" w:eastAsia="Times New Roman" w:hAnsi="Times New Roman" w:cs="Times New Roman"/>
      <w:sz w:val="24"/>
      <w:szCs w:val="24"/>
    </w:rPr>
  </w:style>
  <w:style w:type="paragraph" w:styleId="Rvision">
    <w:name w:val="Revision"/>
    <w:hidden/>
    <w:uiPriority w:val="99"/>
    <w:semiHidden/>
    <w:rsid w:val="00AE15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75541">
      <w:bodyDiv w:val="1"/>
      <w:marLeft w:val="0"/>
      <w:marRight w:val="0"/>
      <w:marTop w:val="0"/>
      <w:marBottom w:val="0"/>
      <w:divBdr>
        <w:top w:val="none" w:sz="0" w:space="0" w:color="auto"/>
        <w:left w:val="none" w:sz="0" w:space="0" w:color="auto"/>
        <w:bottom w:val="none" w:sz="0" w:space="0" w:color="auto"/>
        <w:right w:val="none" w:sz="0" w:space="0" w:color="auto"/>
      </w:divBdr>
    </w:div>
    <w:div w:id="288780226">
      <w:bodyDiv w:val="1"/>
      <w:marLeft w:val="0"/>
      <w:marRight w:val="0"/>
      <w:marTop w:val="0"/>
      <w:marBottom w:val="0"/>
      <w:divBdr>
        <w:top w:val="none" w:sz="0" w:space="0" w:color="auto"/>
        <w:left w:val="none" w:sz="0" w:space="0" w:color="auto"/>
        <w:bottom w:val="none" w:sz="0" w:space="0" w:color="auto"/>
        <w:right w:val="none" w:sz="0" w:space="0" w:color="auto"/>
      </w:divBdr>
    </w:div>
    <w:div w:id="370114052">
      <w:bodyDiv w:val="1"/>
      <w:marLeft w:val="0"/>
      <w:marRight w:val="0"/>
      <w:marTop w:val="0"/>
      <w:marBottom w:val="0"/>
      <w:divBdr>
        <w:top w:val="none" w:sz="0" w:space="0" w:color="auto"/>
        <w:left w:val="none" w:sz="0" w:space="0" w:color="auto"/>
        <w:bottom w:val="none" w:sz="0" w:space="0" w:color="auto"/>
        <w:right w:val="none" w:sz="0" w:space="0" w:color="auto"/>
      </w:divBdr>
    </w:div>
    <w:div w:id="413597965">
      <w:bodyDiv w:val="1"/>
      <w:marLeft w:val="0"/>
      <w:marRight w:val="0"/>
      <w:marTop w:val="0"/>
      <w:marBottom w:val="0"/>
      <w:divBdr>
        <w:top w:val="none" w:sz="0" w:space="0" w:color="auto"/>
        <w:left w:val="none" w:sz="0" w:space="0" w:color="auto"/>
        <w:bottom w:val="none" w:sz="0" w:space="0" w:color="auto"/>
        <w:right w:val="none" w:sz="0" w:space="0" w:color="auto"/>
      </w:divBdr>
    </w:div>
    <w:div w:id="547834755">
      <w:bodyDiv w:val="1"/>
      <w:marLeft w:val="0"/>
      <w:marRight w:val="0"/>
      <w:marTop w:val="0"/>
      <w:marBottom w:val="0"/>
      <w:divBdr>
        <w:top w:val="none" w:sz="0" w:space="0" w:color="auto"/>
        <w:left w:val="none" w:sz="0" w:space="0" w:color="auto"/>
        <w:bottom w:val="none" w:sz="0" w:space="0" w:color="auto"/>
        <w:right w:val="none" w:sz="0" w:space="0" w:color="auto"/>
      </w:divBdr>
    </w:div>
    <w:div w:id="584270453">
      <w:bodyDiv w:val="1"/>
      <w:marLeft w:val="0"/>
      <w:marRight w:val="0"/>
      <w:marTop w:val="0"/>
      <w:marBottom w:val="0"/>
      <w:divBdr>
        <w:top w:val="none" w:sz="0" w:space="0" w:color="auto"/>
        <w:left w:val="none" w:sz="0" w:space="0" w:color="auto"/>
        <w:bottom w:val="none" w:sz="0" w:space="0" w:color="auto"/>
        <w:right w:val="none" w:sz="0" w:space="0" w:color="auto"/>
      </w:divBdr>
    </w:div>
    <w:div w:id="595480606">
      <w:bodyDiv w:val="1"/>
      <w:marLeft w:val="0"/>
      <w:marRight w:val="0"/>
      <w:marTop w:val="0"/>
      <w:marBottom w:val="0"/>
      <w:divBdr>
        <w:top w:val="none" w:sz="0" w:space="0" w:color="auto"/>
        <w:left w:val="none" w:sz="0" w:space="0" w:color="auto"/>
        <w:bottom w:val="none" w:sz="0" w:space="0" w:color="auto"/>
        <w:right w:val="none" w:sz="0" w:space="0" w:color="auto"/>
      </w:divBdr>
    </w:div>
    <w:div w:id="702293248">
      <w:bodyDiv w:val="1"/>
      <w:marLeft w:val="0"/>
      <w:marRight w:val="0"/>
      <w:marTop w:val="0"/>
      <w:marBottom w:val="0"/>
      <w:divBdr>
        <w:top w:val="none" w:sz="0" w:space="0" w:color="auto"/>
        <w:left w:val="none" w:sz="0" w:space="0" w:color="auto"/>
        <w:bottom w:val="none" w:sz="0" w:space="0" w:color="auto"/>
        <w:right w:val="none" w:sz="0" w:space="0" w:color="auto"/>
      </w:divBdr>
    </w:div>
    <w:div w:id="1025015046">
      <w:bodyDiv w:val="1"/>
      <w:marLeft w:val="0"/>
      <w:marRight w:val="0"/>
      <w:marTop w:val="0"/>
      <w:marBottom w:val="0"/>
      <w:divBdr>
        <w:top w:val="none" w:sz="0" w:space="0" w:color="auto"/>
        <w:left w:val="none" w:sz="0" w:space="0" w:color="auto"/>
        <w:bottom w:val="none" w:sz="0" w:space="0" w:color="auto"/>
        <w:right w:val="none" w:sz="0" w:space="0" w:color="auto"/>
      </w:divBdr>
    </w:div>
    <w:div w:id="1406226210">
      <w:bodyDiv w:val="1"/>
      <w:marLeft w:val="0"/>
      <w:marRight w:val="0"/>
      <w:marTop w:val="0"/>
      <w:marBottom w:val="0"/>
      <w:divBdr>
        <w:top w:val="none" w:sz="0" w:space="0" w:color="auto"/>
        <w:left w:val="none" w:sz="0" w:space="0" w:color="auto"/>
        <w:bottom w:val="none" w:sz="0" w:space="0" w:color="auto"/>
        <w:right w:val="none" w:sz="0" w:space="0" w:color="auto"/>
      </w:divBdr>
    </w:div>
    <w:div w:id="1605839827">
      <w:bodyDiv w:val="1"/>
      <w:marLeft w:val="0"/>
      <w:marRight w:val="0"/>
      <w:marTop w:val="0"/>
      <w:marBottom w:val="0"/>
      <w:divBdr>
        <w:top w:val="none" w:sz="0" w:space="0" w:color="auto"/>
        <w:left w:val="none" w:sz="0" w:space="0" w:color="auto"/>
        <w:bottom w:val="none" w:sz="0" w:space="0" w:color="auto"/>
        <w:right w:val="none" w:sz="0" w:space="0" w:color="auto"/>
      </w:divBdr>
    </w:div>
    <w:div w:id="1629168666">
      <w:bodyDiv w:val="1"/>
      <w:marLeft w:val="0"/>
      <w:marRight w:val="0"/>
      <w:marTop w:val="0"/>
      <w:marBottom w:val="0"/>
      <w:divBdr>
        <w:top w:val="none" w:sz="0" w:space="0" w:color="auto"/>
        <w:left w:val="none" w:sz="0" w:space="0" w:color="auto"/>
        <w:bottom w:val="none" w:sz="0" w:space="0" w:color="auto"/>
        <w:right w:val="none" w:sz="0" w:space="0" w:color="auto"/>
      </w:divBdr>
    </w:div>
    <w:div w:id="1922442281">
      <w:bodyDiv w:val="1"/>
      <w:marLeft w:val="0"/>
      <w:marRight w:val="0"/>
      <w:marTop w:val="0"/>
      <w:marBottom w:val="0"/>
      <w:divBdr>
        <w:top w:val="none" w:sz="0" w:space="0" w:color="auto"/>
        <w:left w:val="none" w:sz="0" w:space="0" w:color="auto"/>
        <w:bottom w:val="none" w:sz="0" w:space="0" w:color="auto"/>
        <w:right w:val="none" w:sz="0" w:space="0" w:color="auto"/>
      </w:divBdr>
    </w:div>
    <w:div w:id="2130933672">
      <w:bodyDiv w:val="1"/>
      <w:marLeft w:val="0"/>
      <w:marRight w:val="0"/>
      <w:marTop w:val="0"/>
      <w:marBottom w:val="0"/>
      <w:divBdr>
        <w:top w:val="none" w:sz="0" w:space="0" w:color="auto"/>
        <w:left w:val="none" w:sz="0" w:space="0" w:color="auto"/>
        <w:bottom w:val="none" w:sz="0" w:space="0" w:color="auto"/>
        <w:right w:val="none" w:sz="0" w:space="0" w:color="auto"/>
      </w:divBdr>
    </w:div>
    <w:div w:id="213910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FF90B-6C3D-49EE-B1C6-EBE2C0E69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1941</Words>
  <Characters>10677</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Shirley LAW</cp:lastModifiedBy>
  <cp:revision>7</cp:revision>
  <dcterms:created xsi:type="dcterms:W3CDTF">2025-10-16T05:44:00Z</dcterms:created>
  <dcterms:modified xsi:type="dcterms:W3CDTF">2025-11-07T07:00:00Z</dcterms:modified>
</cp:coreProperties>
</file>