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F88B2" w14:textId="1358CC59" w:rsidR="00C12C93" w:rsidRPr="00D357E4" w:rsidRDefault="00C12C93" w:rsidP="006B0F69">
      <w:pPr>
        <w:jc w:val="both"/>
        <w:rPr>
          <w:rFonts w:ascii="Verdana" w:hAnsi="Verdana"/>
          <w:b/>
          <w:bCs/>
          <w:sz w:val="2"/>
          <w:szCs w:val="2"/>
        </w:rPr>
      </w:pPr>
    </w:p>
    <w:tbl>
      <w:tblPr>
        <w:tblStyle w:val="Grilledutableau"/>
        <w:tblW w:w="0" w:type="auto"/>
        <w:tblLook w:val="04A0" w:firstRow="1" w:lastRow="0" w:firstColumn="1" w:lastColumn="0" w:noHBand="0" w:noVBand="1"/>
      </w:tblPr>
      <w:tblGrid>
        <w:gridCol w:w="7225"/>
        <w:gridCol w:w="1837"/>
      </w:tblGrid>
      <w:tr w:rsidR="00EC22CC" w:rsidRPr="00D357E4" w14:paraId="51109D41" w14:textId="77777777" w:rsidTr="000E2E1E">
        <w:tc>
          <w:tcPr>
            <w:tcW w:w="9062" w:type="dxa"/>
            <w:gridSpan w:val="2"/>
          </w:tcPr>
          <w:p w14:paraId="6FC76F95" w14:textId="1540101E" w:rsidR="00EC22CC" w:rsidRPr="00D357E4" w:rsidRDefault="00705325" w:rsidP="00D357E4">
            <w:pPr>
              <w:ind w:left="720"/>
              <w:jc w:val="center"/>
              <w:rPr>
                <w:rFonts w:ascii="Verdana" w:hAnsi="Verdana"/>
                <w:b/>
                <w:bCs/>
              </w:rPr>
            </w:pPr>
            <w:r w:rsidRPr="00D357E4">
              <w:rPr>
                <w:rFonts w:ascii="Verdana" w:hAnsi="Verdana"/>
                <w:b/>
                <w:bCs/>
              </w:rPr>
              <w:t>Administration des ressources humaines</w:t>
            </w:r>
          </w:p>
        </w:tc>
      </w:tr>
      <w:tr w:rsidR="00EC22CC" w:rsidRPr="00D357E4" w14:paraId="7F1B63D2" w14:textId="77777777" w:rsidTr="002A0933">
        <w:tc>
          <w:tcPr>
            <w:tcW w:w="7225" w:type="dxa"/>
          </w:tcPr>
          <w:p w14:paraId="056D9B10" w14:textId="402A2EAA" w:rsidR="00EC22CC" w:rsidRPr="00D357E4" w:rsidRDefault="00585186" w:rsidP="006B0F69">
            <w:pPr>
              <w:jc w:val="both"/>
              <w:rPr>
                <w:rFonts w:ascii="Verdana" w:hAnsi="Verdana"/>
                <w:sz w:val="20"/>
                <w:szCs w:val="20"/>
              </w:rPr>
            </w:pPr>
            <w:r w:rsidRPr="00D357E4">
              <w:rPr>
                <w:rFonts w:ascii="Verdana" w:hAnsi="Verdana"/>
                <w:sz w:val="20"/>
                <w:szCs w:val="20"/>
              </w:rPr>
              <w:t>Comité des OPL 0</w:t>
            </w:r>
            <w:r w:rsidR="00430220" w:rsidRPr="00D357E4">
              <w:rPr>
                <w:rFonts w:ascii="Verdana" w:hAnsi="Verdana"/>
                <w:sz w:val="20"/>
                <w:szCs w:val="20"/>
              </w:rPr>
              <w:t>2/2025</w:t>
            </w:r>
            <w:r w:rsidRPr="00D357E4">
              <w:rPr>
                <w:rFonts w:ascii="Verdana" w:hAnsi="Verdana"/>
                <w:sz w:val="20"/>
                <w:szCs w:val="20"/>
              </w:rPr>
              <w:t xml:space="preserve"> </w:t>
            </w:r>
            <w:r w:rsidR="001E1D66" w:rsidRPr="00D357E4">
              <w:rPr>
                <w:rFonts w:ascii="Verdana" w:hAnsi="Verdana"/>
                <w:sz w:val="20"/>
                <w:szCs w:val="20"/>
              </w:rPr>
              <w:t>| N</w:t>
            </w:r>
            <w:r w:rsidR="00430220" w:rsidRPr="00D357E4">
              <w:rPr>
                <w:rFonts w:ascii="Verdana" w:hAnsi="Verdana"/>
                <w:sz w:val="20"/>
                <w:szCs w:val="20"/>
              </w:rPr>
              <w:t xml:space="preserve">ovembre </w:t>
            </w:r>
            <w:r w:rsidR="000D0EB1" w:rsidRPr="00D357E4">
              <w:rPr>
                <w:rFonts w:ascii="Verdana" w:hAnsi="Verdana"/>
                <w:sz w:val="20"/>
                <w:szCs w:val="20"/>
              </w:rPr>
              <w:t>2025</w:t>
            </w:r>
          </w:p>
        </w:tc>
        <w:tc>
          <w:tcPr>
            <w:tcW w:w="1837" w:type="dxa"/>
          </w:tcPr>
          <w:p w14:paraId="58E25D1F" w14:textId="0B9882A1" w:rsidR="00EC22CC" w:rsidRPr="00D357E4" w:rsidRDefault="002A096E" w:rsidP="00D357E4">
            <w:pPr>
              <w:jc w:val="center"/>
              <w:rPr>
                <w:rFonts w:ascii="Verdana" w:hAnsi="Verdana"/>
                <w:sz w:val="20"/>
                <w:szCs w:val="20"/>
              </w:rPr>
            </w:pPr>
            <w:r w:rsidRPr="00D357E4">
              <w:rPr>
                <w:rFonts w:ascii="Verdana" w:hAnsi="Verdana"/>
                <w:sz w:val="20"/>
                <w:szCs w:val="20"/>
              </w:rPr>
              <w:t xml:space="preserve">Point </w:t>
            </w:r>
            <w:r w:rsidR="00585186" w:rsidRPr="00D357E4">
              <w:rPr>
                <w:rFonts w:ascii="Verdana" w:hAnsi="Verdana"/>
                <w:sz w:val="20"/>
                <w:szCs w:val="20"/>
              </w:rPr>
              <w:t>3.1</w:t>
            </w:r>
          </w:p>
        </w:tc>
      </w:tr>
      <w:tr w:rsidR="00EC22CC" w:rsidRPr="00D357E4" w14:paraId="537D1DE5" w14:textId="77777777" w:rsidTr="002A0933">
        <w:tc>
          <w:tcPr>
            <w:tcW w:w="7225" w:type="dxa"/>
          </w:tcPr>
          <w:p w14:paraId="43DEF09E" w14:textId="2283884A" w:rsidR="00EC22CC" w:rsidRPr="00D357E4" w:rsidRDefault="00A148A1" w:rsidP="006B0F69">
            <w:pPr>
              <w:jc w:val="both"/>
              <w:rPr>
                <w:rFonts w:ascii="Verdana" w:hAnsi="Verdana"/>
                <w:sz w:val="20"/>
                <w:szCs w:val="20"/>
              </w:rPr>
            </w:pPr>
            <w:r w:rsidRPr="00D357E4">
              <w:rPr>
                <w:rFonts w:ascii="Verdana" w:hAnsi="Verdana"/>
                <w:i/>
                <w:iCs/>
                <w:sz w:val="20"/>
                <w:szCs w:val="20"/>
              </w:rPr>
              <w:t>Dossier suivi par :</w:t>
            </w:r>
            <w:r w:rsidR="00EC22CC" w:rsidRPr="00D357E4">
              <w:rPr>
                <w:rFonts w:ascii="Verdana" w:hAnsi="Verdana"/>
                <w:sz w:val="20"/>
                <w:szCs w:val="20"/>
              </w:rPr>
              <w:t xml:space="preserve"> </w:t>
            </w:r>
            <w:r w:rsidR="00977A3E" w:rsidRPr="00D357E4">
              <w:rPr>
                <w:rFonts w:ascii="Verdana" w:hAnsi="Verdana"/>
                <w:i/>
                <w:iCs/>
                <w:sz w:val="20"/>
                <w:szCs w:val="20"/>
              </w:rPr>
              <w:t>Klervi Congard, GRH</w:t>
            </w:r>
          </w:p>
        </w:tc>
        <w:tc>
          <w:tcPr>
            <w:tcW w:w="1837" w:type="dxa"/>
          </w:tcPr>
          <w:p w14:paraId="5AC1AFAB" w14:textId="3469A8B9" w:rsidR="00EC22CC" w:rsidRPr="00D357E4" w:rsidRDefault="0057744F" w:rsidP="00D357E4">
            <w:pPr>
              <w:jc w:val="center"/>
              <w:rPr>
                <w:rFonts w:ascii="Verdana" w:hAnsi="Verdana"/>
                <w:sz w:val="20"/>
                <w:szCs w:val="20"/>
              </w:rPr>
            </w:pPr>
            <w:r w:rsidRPr="00D357E4">
              <w:rPr>
                <w:rFonts w:ascii="Verdana" w:hAnsi="Verdana"/>
                <w:sz w:val="20"/>
                <w:szCs w:val="20"/>
              </w:rPr>
              <w:t>Information</w:t>
            </w:r>
          </w:p>
        </w:tc>
      </w:tr>
      <w:tr w:rsidR="00A90305" w:rsidRPr="00D357E4" w14:paraId="6896DB30" w14:textId="77777777" w:rsidTr="009F5233">
        <w:tc>
          <w:tcPr>
            <w:tcW w:w="9062" w:type="dxa"/>
            <w:gridSpan w:val="2"/>
          </w:tcPr>
          <w:p w14:paraId="0495241B" w14:textId="7C2B2917" w:rsidR="00A90305" w:rsidRPr="00D357E4" w:rsidRDefault="00A90305" w:rsidP="006B0F69">
            <w:pPr>
              <w:jc w:val="both"/>
              <w:rPr>
                <w:rFonts w:ascii="Verdana" w:hAnsi="Verdana"/>
                <w:sz w:val="20"/>
                <w:szCs w:val="20"/>
              </w:rPr>
            </w:pPr>
            <w:r w:rsidRPr="00D357E4">
              <w:rPr>
                <w:rFonts w:ascii="Verdana" w:hAnsi="Verdana"/>
                <w:i/>
                <w:iCs/>
                <w:sz w:val="20"/>
                <w:szCs w:val="20"/>
              </w:rPr>
              <w:t xml:space="preserve">Version du </w:t>
            </w:r>
            <w:r w:rsidR="00430220" w:rsidRPr="00D357E4">
              <w:rPr>
                <w:rFonts w:ascii="Verdana" w:hAnsi="Verdana"/>
                <w:i/>
                <w:iCs/>
                <w:sz w:val="20"/>
                <w:szCs w:val="20"/>
              </w:rPr>
              <w:t>09 octobre 2025</w:t>
            </w:r>
          </w:p>
        </w:tc>
      </w:tr>
    </w:tbl>
    <w:p w14:paraId="1611BCC4" w14:textId="77777777" w:rsidR="00854EEA" w:rsidRPr="00D357E4" w:rsidRDefault="00854EEA" w:rsidP="006B0F69">
      <w:pPr>
        <w:pStyle w:val="Paragraphe"/>
      </w:pPr>
      <w:bookmarkStart w:id="0" w:name="_Hlk24535240"/>
    </w:p>
    <w:p w14:paraId="678F0DFC" w14:textId="7AB20D66" w:rsidR="00854EEA" w:rsidRPr="00D357E4" w:rsidRDefault="00C35ED7" w:rsidP="006B0F69">
      <w:pPr>
        <w:pStyle w:val="Titrepartie"/>
      </w:pPr>
      <w:proofErr w:type="spellStart"/>
      <w:r w:rsidRPr="00D357E4">
        <w:t>Etats</w:t>
      </w:r>
      <w:proofErr w:type="spellEnd"/>
      <w:r w:rsidRPr="00D357E4">
        <w:t xml:space="preserve"> des lieux </w:t>
      </w:r>
      <w:r w:rsidR="00C567C5" w:rsidRPr="00D357E4">
        <w:t xml:space="preserve">au </w:t>
      </w:r>
      <w:r w:rsidR="00150AC5" w:rsidRPr="00D357E4">
        <w:t>09 octobre</w:t>
      </w:r>
      <w:r w:rsidR="00EB2C98" w:rsidRPr="00D357E4">
        <w:t>2025</w:t>
      </w:r>
    </w:p>
    <w:p w14:paraId="0F3EF4FD" w14:textId="2140998E" w:rsidR="008A1133" w:rsidRPr="00D357E4" w:rsidRDefault="008A1133" w:rsidP="006B0F69">
      <w:pPr>
        <w:spacing w:after="0" w:line="240" w:lineRule="auto"/>
        <w:jc w:val="both"/>
        <w:rPr>
          <w:rFonts w:ascii="Verdana" w:hAnsi="Verdana"/>
          <w:sz w:val="20"/>
          <w:szCs w:val="20"/>
        </w:rPr>
      </w:pPr>
      <w:r w:rsidRPr="00D357E4">
        <w:rPr>
          <w:rFonts w:ascii="Verdana" w:hAnsi="Verdana"/>
          <w:sz w:val="20"/>
          <w:szCs w:val="20"/>
        </w:rPr>
        <w:t>L’année 202</w:t>
      </w:r>
      <w:r w:rsidR="00430220" w:rsidRPr="00D357E4">
        <w:rPr>
          <w:rFonts w:ascii="Verdana" w:hAnsi="Verdana"/>
          <w:sz w:val="20"/>
          <w:szCs w:val="20"/>
        </w:rPr>
        <w:t>5</w:t>
      </w:r>
      <w:r w:rsidRPr="00D357E4">
        <w:rPr>
          <w:rFonts w:ascii="Verdana" w:hAnsi="Verdana"/>
          <w:sz w:val="20"/>
          <w:szCs w:val="20"/>
        </w:rPr>
        <w:t xml:space="preserve"> a été marquée</w:t>
      </w:r>
      <w:r w:rsidR="001E1D66" w:rsidRPr="00D357E4">
        <w:rPr>
          <w:rFonts w:ascii="Verdana" w:hAnsi="Verdana"/>
          <w:sz w:val="20"/>
          <w:szCs w:val="20"/>
        </w:rPr>
        <w:t xml:space="preserve"> par</w:t>
      </w:r>
      <w:r w:rsidR="00F00C50" w:rsidRPr="00D357E4" w:rsidDel="00A67E71">
        <w:rPr>
          <w:rFonts w:ascii="Verdana" w:hAnsi="Verdana"/>
          <w:sz w:val="20"/>
          <w:szCs w:val="20"/>
        </w:rPr>
        <w:t xml:space="preserve"> </w:t>
      </w:r>
      <w:r w:rsidR="004C0474" w:rsidRPr="00D357E4">
        <w:rPr>
          <w:rFonts w:ascii="Verdana" w:hAnsi="Verdana"/>
          <w:sz w:val="20"/>
          <w:szCs w:val="20"/>
        </w:rPr>
        <w:t xml:space="preserve">38 </w:t>
      </w:r>
      <w:r w:rsidR="00C567C5" w:rsidRPr="00D357E4">
        <w:rPr>
          <w:rFonts w:ascii="Verdana" w:hAnsi="Verdana"/>
          <w:sz w:val="20"/>
          <w:szCs w:val="20"/>
        </w:rPr>
        <w:t>recrutements</w:t>
      </w:r>
      <w:r w:rsidR="00CA73A9" w:rsidRPr="00D357E4">
        <w:rPr>
          <w:rFonts w:ascii="Verdana" w:hAnsi="Verdana"/>
          <w:sz w:val="20"/>
          <w:szCs w:val="20"/>
        </w:rPr>
        <w:t xml:space="preserve"> (dont </w:t>
      </w:r>
      <w:r w:rsidR="002E370A" w:rsidRPr="00D357E4">
        <w:rPr>
          <w:rFonts w:ascii="Verdana" w:hAnsi="Verdana"/>
          <w:sz w:val="20"/>
          <w:szCs w:val="20"/>
        </w:rPr>
        <w:t xml:space="preserve">13 </w:t>
      </w:r>
      <w:r w:rsidR="00CA73A9" w:rsidRPr="00D357E4">
        <w:rPr>
          <w:rFonts w:ascii="Verdana" w:hAnsi="Verdana"/>
          <w:sz w:val="20"/>
          <w:szCs w:val="20"/>
        </w:rPr>
        <w:t>pour le SG</w:t>
      </w:r>
      <w:r w:rsidR="008577F2" w:rsidRPr="00D357E4">
        <w:rPr>
          <w:rFonts w:ascii="Verdana" w:hAnsi="Verdana"/>
          <w:sz w:val="20"/>
          <w:szCs w:val="20"/>
        </w:rPr>
        <w:t xml:space="preserve">, </w:t>
      </w:r>
      <w:r w:rsidR="00A42D23" w:rsidRPr="00D357E4">
        <w:rPr>
          <w:rFonts w:ascii="Verdana" w:hAnsi="Verdana"/>
          <w:sz w:val="20"/>
          <w:szCs w:val="20"/>
        </w:rPr>
        <w:t xml:space="preserve">6 </w:t>
      </w:r>
      <w:r w:rsidR="00CA73A9" w:rsidRPr="00D357E4">
        <w:rPr>
          <w:rFonts w:ascii="Verdana" w:hAnsi="Verdana"/>
          <w:sz w:val="20"/>
          <w:szCs w:val="20"/>
        </w:rPr>
        <w:t>pour les projets</w:t>
      </w:r>
      <w:r w:rsidR="008577F2" w:rsidRPr="00D357E4">
        <w:rPr>
          <w:rFonts w:ascii="Verdana" w:hAnsi="Verdana"/>
          <w:sz w:val="20"/>
          <w:szCs w:val="20"/>
        </w:rPr>
        <w:t xml:space="preserve"> et </w:t>
      </w:r>
      <w:r w:rsidR="003605C7" w:rsidRPr="00D357E4">
        <w:rPr>
          <w:rFonts w:ascii="Verdana" w:hAnsi="Verdana"/>
          <w:sz w:val="20"/>
          <w:szCs w:val="20"/>
        </w:rPr>
        <w:t xml:space="preserve">2 </w:t>
      </w:r>
      <w:r w:rsidR="008577F2" w:rsidRPr="00D357E4">
        <w:rPr>
          <w:rFonts w:ascii="Verdana" w:hAnsi="Verdana"/>
          <w:sz w:val="20"/>
          <w:szCs w:val="20"/>
        </w:rPr>
        <w:t>VSI</w:t>
      </w:r>
      <w:r w:rsidR="00D324FA" w:rsidRPr="00D357E4">
        <w:rPr>
          <w:rFonts w:ascii="Verdana" w:hAnsi="Verdana"/>
          <w:sz w:val="20"/>
          <w:szCs w:val="20"/>
        </w:rPr>
        <w:t>) et</w:t>
      </w:r>
      <w:r w:rsidR="00C567C5" w:rsidRPr="00D357E4">
        <w:rPr>
          <w:rFonts w:ascii="Verdana" w:hAnsi="Verdana"/>
          <w:sz w:val="20"/>
          <w:szCs w:val="20"/>
        </w:rPr>
        <w:t xml:space="preserve"> </w:t>
      </w:r>
      <w:r w:rsidR="00F51750" w:rsidRPr="00D357E4">
        <w:rPr>
          <w:rFonts w:ascii="Verdana" w:hAnsi="Verdana"/>
          <w:sz w:val="20"/>
          <w:szCs w:val="20"/>
        </w:rPr>
        <w:t xml:space="preserve">par </w:t>
      </w:r>
      <w:r w:rsidRPr="00D357E4">
        <w:rPr>
          <w:rFonts w:ascii="Verdana" w:hAnsi="Verdana"/>
          <w:sz w:val="20"/>
          <w:szCs w:val="20"/>
        </w:rPr>
        <w:t xml:space="preserve">l’arrivée </w:t>
      </w:r>
      <w:r w:rsidR="00A348E1" w:rsidRPr="00D357E4">
        <w:rPr>
          <w:rFonts w:ascii="Verdana" w:hAnsi="Verdana"/>
          <w:sz w:val="20"/>
          <w:szCs w:val="20"/>
        </w:rPr>
        <w:t xml:space="preserve">de </w:t>
      </w:r>
      <w:r w:rsidR="002E370A" w:rsidRPr="00D357E4">
        <w:rPr>
          <w:rFonts w:ascii="Verdana" w:hAnsi="Verdana"/>
          <w:sz w:val="20"/>
          <w:szCs w:val="20"/>
        </w:rPr>
        <w:t xml:space="preserve">17 </w:t>
      </w:r>
      <w:r w:rsidR="00A348E1" w:rsidRPr="00D357E4">
        <w:rPr>
          <w:rFonts w:ascii="Verdana" w:hAnsi="Verdana"/>
          <w:sz w:val="20"/>
          <w:szCs w:val="20"/>
        </w:rPr>
        <w:t>nouveaux collègues</w:t>
      </w:r>
      <w:r w:rsidRPr="00D357E4">
        <w:rPr>
          <w:rFonts w:ascii="Verdana" w:hAnsi="Verdana"/>
          <w:sz w:val="20"/>
          <w:szCs w:val="20"/>
        </w:rPr>
        <w:t xml:space="preserve"> (mises à disposition, </w:t>
      </w:r>
      <w:r w:rsidR="00F51750" w:rsidRPr="00D357E4">
        <w:rPr>
          <w:rFonts w:ascii="Verdana" w:hAnsi="Verdana"/>
          <w:sz w:val="20"/>
          <w:szCs w:val="20"/>
        </w:rPr>
        <w:t>assistance technique (</w:t>
      </w:r>
      <w:r w:rsidRPr="00D357E4">
        <w:rPr>
          <w:rFonts w:ascii="Verdana" w:hAnsi="Verdana"/>
          <w:sz w:val="20"/>
          <w:szCs w:val="20"/>
        </w:rPr>
        <w:t>AT</w:t>
      </w:r>
      <w:r w:rsidR="00F51750" w:rsidRPr="00D357E4">
        <w:rPr>
          <w:rFonts w:ascii="Verdana" w:hAnsi="Verdana"/>
          <w:sz w:val="20"/>
          <w:szCs w:val="20"/>
        </w:rPr>
        <w:t>)</w:t>
      </w:r>
      <w:r w:rsidRPr="00D357E4">
        <w:rPr>
          <w:rFonts w:ascii="Verdana" w:hAnsi="Verdana"/>
          <w:sz w:val="20"/>
          <w:szCs w:val="20"/>
        </w:rPr>
        <w:t xml:space="preserve"> et consultants) au bénéfice des projets et du </w:t>
      </w:r>
      <w:r w:rsidR="00F51750" w:rsidRPr="00D357E4">
        <w:rPr>
          <w:rFonts w:ascii="Verdana" w:hAnsi="Verdana"/>
          <w:sz w:val="20"/>
          <w:szCs w:val="20"/>
        </w:rPr>
        <w:t xml:space="preserve">Secrétariat </w:t>
      </w:r>
      <w:r w:rsidRPr="00D357E4">
        <w:rPr>
          <w:rFonts w:ascii="Verdana" w:hAnsi="Verdana"/>
          <w:sz w:val="20"/>
          <w:szCs w:val="20"/>
        </w:rPr>
        <w:t xml:space="preserve">général de la COI. </w:t>
      </w:r>
      <w:r w:rsidRPr="00D357E4">
        <w:rPr>
          <w:rFonts w:ascii="Verdana" w:hAnsi="Verdana"/>
          <w:b/>
          <w:bCs/>
          <w:sz w:val="20"/>
          <w:szCs w:val="20"/>
        </w:rPr>
        <w:t>(Voir tableau des arrivées et départ</w:t>
      </w:r>
      <w:r w:rsidR="003E60F0" w:rsidRPr="00D357E4">
        <w:rPr>
          <w:rFonts w:ascii="Verdana" w:hAnsi="Verdana"/>
          <w:b/>
          <w:bCs/>
          <w:sz w:val="20"/>
          <w:szCs w:val="20"/>
        </w:rPr>
        <w:t>s</w:t>
      </w:r>
      <w:r w:rsidRPr="00D357E4">
        <w:rPr>
          <w:rFonts w:ascii="Verdana" w:hAnsi="Verdana"/>
          <w:b/>
          <w:bCs/>
          <w:sz w:val="20"/>
          <w:szCs w:val="20"/>
        </w:rPr>
        <w:t xml:space="preserve"> en Annexe 1)</w:t>
      </w:r>
      <w:r w:rsidRPr="00D357E4">
        <w:rPr>
          <w:rFonts w:ascii="Verdana" w:hAnsi="Verdana"/>
          <w:sz w:val="20"/>
          <w:szCs w:val="20"/>
        </w:rPr>
        <w:t xml:space="preserve"> </w:t>
      </w:r>
    </w:p>
    <w:p w14:paraId="7D4936F8" w14:textId="77777777" w:rsidR="008A1133" w:rsidRPr="00D357E4" w:rsidRDefault="008A1133" w:rsidP="006B0F69">
      <w:pPr>
        <w:spacing w:after="0" w:line="240" w:lineRule="auto"/>
        <w:jc w:val="both"/>
        <w:rPr>
          <w:rFonts w:ascii="Verdana" w:hAnsi="Verdana"/>
          <w:sz w:val="20"/>
          <w:szCs w:val="20"/>
        </w:rPr>
      </w:pPr>
    </w:p>
    <w:p w14:paraId="50F43FDF" w14:textId="63298602" w:rsidR="00F51750" w:rsidRPr="00D357E4" w:rsidRDefault="00F51750" w:rsidP="006B0F69">
      <w:pPr>
        <w:spacing w:after="0" w:line="240" w:lineRule="auto"/>
        <w:jc w:val="both"/>
        <w:rPr>
          <w:rFonts w:ascii="Verdana" w:hAnsi="Verdana"/>
          <w:sz w:val="20"/>
          <w:szCs w:val="20"/>
        </w:rPr>
      </w:pPr>
      <w:r w:rsidRPr="00D357E4">
        <w:rPr>
          <w:rFonts w:ascii="Verdana" w:hAnsi="Verdana"/>
          <w:sz w:val="20"/>
          <w:szCs w:val="20"/>
        </w:rPr>
        <w:t>L</w:t>
      </w:r>
      <w:r w:rsidR="008A1133" w:rsidRPr="00D357E4">
        <w:rPr>
          <w:rFonts w:ascii="Verdana" w:hAnsi="Verdana"/>
          <w:sz w:val="20"/>
          <w:szCs w:val="20"/>
        </w:rPr>
        <w:t xml:space="preserve">’effectif total </w:t>
      </w:r>
      <w:r w:rsidRPr="00D357E4">
        <w:rPr>
          <w:rFonts w:ascii="Verdana" w:hAnsi="Verdana"/>
          <w:sz w:val="20"/>
          <w:szCs w:val="20"/>
        </w:rPr>
        <w:t xml:space="preserve">du personnel est ainsi porté </w:t>
      </w:r>
      <w:r w:rsidR="008A1133" w:rsidRPr="00D357E4">
        <w:rPr>
          <w:rFonts w:ascii="Verdana" w:hAnsi="Verdana"/>
          <w:sz w:val="20"/>
          <w:szCs w:val="20"/>
        </w:rPr>
        <w:t xml:space="preserve">à </w:t>
      </w:r>
      <w:r w:rsidR="00756917" w:rsidRPr="00D357E4">
        <w:rPr>
          <w:rFonts w:ascii="Verdana" w:hAnsi="Verdana"/>
          <w:sz w:val="20"/>
          <w:szCs w:val="20"/>
        </w:rPr>
        <w:t xml:space="preserve">100 </w:t>
      </w:r>
      <w:r w:rsidR="008A1133" w:rsidRPr="00D357E4">
        <w:rPr>
          <w:rFonts w:ascii="Verdana" w:hAnsi="Verdana"/>
          <w:sz w:val="20"/>
          <w:szCs w:val="20"/>
        </w:rPr>
        <w:t xml:space="preserve">personnes dont </w:t>
      </w:r>
      <w:r w:rsidR="008315C0" w:rsidRPr="00D357E4">
        <w:rPr>
          <w:rFonts w:ascii="Verdana" w:hAnsi="Verdana"/>
          <w:sz w:val="20"/>
          <w:szCs w:val="20"/>
        </w:rPr>
        <w:t xml:space="preserve">50 </w:t>
      </w:r>
      <w:r w:rsidR="008A1133" w:rsidRPr="00D357E4">
        <w:rPr>
          <w:rFonts w:ascii="Verdana" w:hAnsi="Verdana"/>
          <w:sz w:val="20"/>
          <w:szCs w:val="20"/>
        </w:rPr>
        <w:t xml:space="preserve">travaillant sur les projets et </w:t>
      </w:r>
      <w:r w:rsidR="008315C0" w:rsidRPr="00D357E4">
        <w:rPr>
          <w:rFonts w:ascii="Verdana" w:hAnsi="Verdana"/>
          <w:sz w:val="20"/>
          <w:szCs w:val="20"/>
        </w:rPr>
        <w:t xml:space="preserve">50 </w:t>
      </w:r>
      <w:r w:rsidR="008A1133" w:rsidRPr="00D357E4">
        <w:rPr>
          <w:rFonts w:ascii="Verdana" w:hAnsi="Verdana"/>
          <w:sz w:val="20"/>
          <w:szCs w:val="20"/>
        </w:rPr>
        <w:t xml:space="preserve">au Secrétariat, incluant </w:t>
      </w:r>
      <w:r w:rsidR="00EC58D3" w:rsidRPr="00D357E4">
        <w:rPr>
          <w:rFonts w:ascii="Verdana" w:hAnsi="Verdana"/>
          <w:sz w:val="20"/>
          <w:szCs w:val="20"/>
        </w:rPr>
        <w:t>3</w:t>
      </w:r>
      <w:r w:rsidR="008A1133" w:rsidRPr="00D357E4">
        <w:rPr>
          <w:rFonts w:ascii="Verdana" w:hAnsi="Verdana"/>
          <w:sz w:val="20"/>
          <w:szCs w:val="20"/>
        </w:rPr>
        <w:t xml:space="preserve"> volontaire</w:t>
      </w:r>
      <w:r w:rsidR="00EC58D3" w:rsidRPr="00D357E4">
        <w:rPr>
          <w:rFonts w:ascii="Verdana" w:hAnsi="Verdana"/>
          <w:sz w:val="20"/>
          <w:szCs w:val="20"/>
        </w:rPr>
        <w:t>s</w:t>
      </w:r>
      <w:r w:rsidR="008A1133" w:rsidRPr="00D357E4">
        <w:rPr>
          <w:rFonts w:ascii="Verdana" w:hAnsi="Verdana"/>
          <w:sz w:val="20"/>
          <w:szCs w:val="20"/>
        </w:rPr>
        <w:t xml:space="preserve"> de solidarité internationale</w:t>
      </w:r>
      <w:r w:rsidR="00676D6F" w:rsidRPr="00D357E4">
        <w:rPr>
          <w:rFonts w:ascii="Verdana" w:hAnsi="Verdana"/>
          <w:sz w:val="20"/>
          <w:szCs w:val="20"/>
        </w:rPr>
        <w:t xml:space="preserve">. </w:t>
      </w:r>
    </w:p>
    <w:tbl>
      <w:tblPr>
        <w:tblpPr w:leftFromText="180" w:rightFromText="180" w:vertAnchor="text" w:horzAnchor="margin" w:tblpXSpec="right" w:tblpY="695"/>
        <w:tblW w:w="5252" w:type="dxa"/>
        <w:tblLook w:val="04A0" w:firstRow="1" w:lastRow="0" w:firstColumn="1" w:lastColumn="0" w:noHBand="0" w:noVBand="1"/>
      </w:tblPr>
      <w:tblGrid>
        <w:gridCol w:w="1285"/>
        <w:gridCol w:w="822"/>
        <w:gridCol w:w="904"/>
        <w:gridCol w:w="1458"/>
        <w:gridCol w:w="783"/>
      </w:tblGrid>
      <w:tr w:rsidR="00650370" w:rsidRPr="00D357E4" w14:paraId="76852FFD" w14:textId="77777777" w:rsidTr="00367777">
        <w:trPr>
          <w:trHeight w:val="300"/>
        </w:trPr>
        <w:tc>
          <w:tcPr>
            <w:tcW w:w="1285" w:type="dxa"/>
            <w:tcBorders>
              <w:top w:val="single" w:sz="8" w:space="0" w:color="auto"/>
              <w:left w:val="single" w:sz="8" w:space="0" w:color="auto"/>
              <w:bottom w:val="single" w:sz="4" w:space="0" w:color="auto"/>
              <w:right w:val="single" w:sz="4" w:space="0" w:color="auto"/>
            </w:tcBorders>
            <w:shd w:val="clear" w:color="auto" w:fill="8496B0" w:themeFill="text2" w:themeFillTint="99"/>
            <w:vAlign w:val="center"/>
            <w:hideMark/>
          </w:tcPr>
          <w:p w14:paraId="5252253D" w14:textId="77777777" w:rsidR="00650370" w:rsidRPr="00D357E4" w:rsidRDefault="00650370" w:rsidP="00367777">
            <w:pPr>
              <w:spacing w:after="0" w:line="240" w:lineRule="auto"/>
              <w:jc w:val="both"/>
              <w:rPr>
                <w:rFonts w:ascii="Verdana" w:eastAsia="Times New Roman" w:hAnsi="Verdana" w:cs="Calibri"/>
                <w:b/>
                <w:bCs/>
                <w:color w:val="000000"/>
                <w:sz w:val="20"/>
                <w:szCs w:val="20"/>
              </w:rPr>
            </w:pPr>
            <w:r w:rsidRPr="00D357E4">
              <w:rPr>
                <w:rFonts w:ascii="Verdana" w:eastAsia="Times New Roman" w:hAnsi="Verdana" w:cs="Calibri"/>
                <w:b/>
                <w:bCs/>
                <w:color w:val="000000"/>
                <w:sz w:val="20"/>
                <w:szCs w:val="20"/>
              </w:rPr>
              <w:t>TYPE DE CONTRAT</w:t>
            </w:r>
          </w:p>
        </w:tc>
        <w:tc>
          <w:tcPr>
            <w:tcW w:w="822" w:type="dxa"/>
            <w:tcBorders>
              <w:top w:val="single" w:sz="8" w:space="0" w:color="auto"/>
              <w:left w:val="nil"/>
              <w:bottom w:val="single" w:sz="4" w:space="0" w:color="auto"/>
              <w:right w:val="single" w:sz="4" w:space="0" w:color="auto"/>
            </w:tcBorders>
            <w:shd w:val="clear" w:color="auto" w:fill="8496B0" w:themeFill="text2" w:themeFillTint="99"/>
            <w:vAlign w:val="center"/>
          </w:tcPr>
          <w:p w14:paraId="346B876D" w14:textId="77777777" w:rsidR="00650370" w:rsidRPr="00D357E4" w:rsidRDefault="00650370" w:rsidP="00367777">
            <w:pPr>
              <w:spacing w:after="0" w:line="240" w:lineRule="auto"/>
              <w:jc w:val="both"/>
              <w:rPr>
                <w:rFonts w:ascii="Verdana" w:eastAsia="Times New Roman" w:hAnsi="Verdana" w:cs="Calibri"/>
                <w:b/>
                <w:bCs/>
                <w:color w:val="000000"/>
                <w:sz w:val="20"/>
                <w:szCs w:val="20"/>
              </w:rPr>
            </w:pPr>
          </w:p>
        </w:tc>
        <w:tc>
          <w:tcPr>
            <w:tcW w:w="904"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1C373A84" w14:textId="77777777" w:rsidR="00650370" w:rsidRPr="00D357E4" w:rsidRDefault="00650370" w:rsidP="00367777">
            <w:pPr>
              <w:spacing w:after="0" w:line="240" w:lineRule="auto"/>
              <w:jc w:val="both"/>
              <w:rPr>
                <w:rFonts w:ascii="Verdana" w:eastAsia="Times New Roman" w:hAnsi="Verdana" w:cs="Calibri"/>
                <w:b/>
                <w:bCs/>
                <w:color w:val="000000"/>
                <w:sz w:val="20"/>
                <w:szCs w:val="20"/>
              </w:rPr>
            </w:pPr>
            <w:r w:rsidRPr="00D357E4">
              <w:rPr>
                <w:rFonts w:ascii="Verdana" w:eastAsia="Times New Roman" w:hAnsi="Verdana" w:cs="Calibri"/>
                <w:b/>
                <w:bCs/>
                <w:color w:val="000000"/>
                <w:sz w:val="20"/>
                <w:szCs w:val="20"/>
              </w:rPr>
              <w:t>Projet</w:t>
            </w:r>
          </w:p>
        </w:tc>
        <w:tc>
          <w:tcPr>
            <w:tcW w:w="1458" w:type="dxa"/>
            <w:tcBorders>
              <w:top w:val="single" w:sz="8" w:space="0" w:color="auto"/>
              <w:left w:val="single" w:sz="4" w:space="0" w:color="auto"/>
              <w:bottom w:val="single" w:sz="4" w:space="0" w:color="auto"/>
              <w:right w:val="single" w:sz="4" w:space="0" w:color="auto"/>
            </w:tcBorders>
            <w:shd w:val="clear" w:color="auto" w:fill="C5E0B3" w:themeFill="accent6" w:themeFillTint="66"/>
          </w:tcPr>
          <w:p w14:paraId="0DCC8C3C" w14:textId="77777777" w:rsidR="00650370" w:rsidRPr="00D357E4" w:rsidRDefault="00650370" w:rsidP="00367777">
            <w:pPr>
              <w:spacing w:after="0" w:line="240" w:lineRule="auto"/>
              <w:jc w:val="both"/>
              <w:rPr>
                <w:rFonts w:ascii="Verdana" w:eastAsia="Times New Roman" w:hAnsi="Verdana" w:cs="Calibri"/>
                <w:b/>
                <w:bCs/>
                <w:color w:val="000000"/>
                <w:sz w:val="20"/>
                <w:szCs w:val="20"/>
              </w:rPr>
            </w:pPr>
            <w:r w:rsidRPr="00D357E4">
              <w:rPr>
                <w:rFonts w:ascii="Verdana" w:eastAsia="Times New Roman" w:hAnsi="Verdana" w:cs="Calibri"/>
                <w:b/>
                <w:bCs/>
                <w:color w:val="000000"/>
                <w:sz w:val="20"/>
                <w:szCs w:val="20"/>
              </w:rPr>
              <w:t>Secrétariat</w:t>
            </w:r>
          </w:p>
        </w:tc>
        <w:tc>
          <w:tcPr>
            <w:tcW w:w="783" w:type="dxa"/>
            <w:tcBorders>
              <w:top w:val="single" w:sz="8"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14:paraId="7B2C88B3" w14:textId="77777777" w:rsidR="00650370" w:rsidRPr="00D357E4" w:rsidRDefault="00650370" w:rsidP="00367777">
            <w:pPr>
              <w:spacing w:after="0" w:line="240" w:lineRule="auto"/>
              <w:jc w:val="both"/>
              <w:rPr>
                <w:rFonts w:ascii="Verdana" w:eastAsia="Times New Roman" w:hAnsi="Verdana" w:cs="Calibri"/>
                <w:b/>
                <w:bCs/>
                <w:color w:val="000000"/>
                <w:sz w:val="20"/>
                <w:szCs w:val="20"/>
              </w:rPr>
            </w:pPr>
            <w:r w:rsidRPr="00D357E4">
              <w:rPr>
                <w:rFonts w:ascii="Verdana" w:eastAsia="Times New Roman" w:hAnsi="Verdana" w:cs="Calibri"/>
                <w:b/>
                <w:bCs/>
                <w:color w:val="000000"/>
                <w:sz w:val="20"/>
                <w:szCs w:val="20"/>
              </w:rPr>
              <w:t>Total</w:t>
            </w:r>
          </w:p>
        </w:tc>
      </w:tr>
      <w:tr w:rsidR="00650370" w:rsidRPr="00D357E4" w14:paraId="6B0DFE35" w14:textId="77777777" w:rsidTr="00367777">
        <w:trPr>
          <w:trHeight w:val="300"/>
        </w:trPr>
        <w:tc>
          <w:tcPr>
            <w:tcW w:w="1285" w:type="dxa"/>
            <w:vMerge w:val="restart"/>
            <w:tcBorders>
              <w:top w:val="single" w:sz="8" w:space="0" w:color="auto"/>
              <w:left w:val="single" w:sz="8" w:space="0" w:color="auto"/>
              <w:right w:val="single" w:sz="4" w:space="0" w:color="auto"/>
            </w:tcBorders>
            <w:vAlign w:val="center"/>
          </w:tcPr>
          <w:p w14:paraId="6E8EEB94" w14:textId="77777777" w:rsidR="00650370" w:rsidRPr="00D357E4" w:rsidRDefault="00650370" w:rsidP="00367777">
            <w:pPr>
              <w:spacing w:after="0" w:line="240" w:lineRule="auto"/>
              <w:jc w:val="both"/>
              <w:rPr>
                <w:rFonts w:ascii="Verdana" w:eastAsia="Times New Roman" w:hAnsi="Verdana" w:cs="Calibri"/>
                <w:b/>
                <w:bCs/>
                <w:color w:val="000000"/>
                <w:sz w:val="20"/>
                <w:szCs w:val="20"/>
              </w:rPr>
            </w:pPr>
            <w:r w:rsidRPr="00D357E4">
              <w:rPr>
                <w:rFonts w:ascii="Verdana" w:hAnsi="Verdana" w:cs="Calibri"/>
                <w:color w:val="000000"/>
                <w:sz w:val="20"/>
                <w:szCs w:val="20"/>
              </w:rPr>
              <w:t>Contrat COI employés</w:t>
            </w:r>
          </w:p>
        </w:tc>
        <w:tc>
          <w:tcPr>
            <w:tcW w:w="822" w:type="dxa"/>
            <w:tcBorders>
              <w:top w:val="single" w:sz="8" w:space="0" w:color="auto"/>
              <w:left w:val="nil"/>
              <w:bottom w:val="single" w:sz="4" w:space="0" w:color="auto"/>
              <w:right w:val="single" w:sz="4" w:space="0" w:color="auto"/>
            </w:tcBorders>
            <w:vAlign w:val="center"/>
          </w:tcPr>
          <w:p w14:paraId="7BF0718A" w14:textId="77777777" w:rsidR="00650370" w:rsidRPr="00D357E4" w:rsidRDefault="00650370" w:rsidP="00367777">
            <w:pPr>
              <w:spacing w:after="0" w:line="240" w:lineRule="auto"/>
              <w:jc w:val="both"/>
              <w:rPr>
                <w:rFonts w:ascii="Verdana" w:hAnsi="Verdana" w:cs="Calibri"/>
                <w:color w:val="000000"/>
                <w:sz w:val="20"/>
                <w:szCs w:val="20"/>
              </w:rPr>
            </w:pPr>
            <w:r w:rsidRPr="00D357E4">
              <w:rPr>
                <w:rFonts w:ascii="Verdana" w:hAnsi="Verdana" w:cs="Calibri"/>
                <w:color w:val="000000"/>
                <w:sz w:val="20"/>
                <w:szCs w:val="20"/>
              </w:rPr>
              <w:t>SG</w:t>
            </w:r>
          </w:p>
        </w:tc>
        <w:tc>
          <w:tcPr>
            <w:tcW w:w="904" w:type="dxa"/>
            <w:tcBorders>
              <w:top w:val="single" w:sz="4" w:space="0" w:color="auto"/>
              <w:left w:val="single" w:sz="4" w:space="0" w:color="auto"/>
              <w:bottom w:val="single" w:sz="4" w:space="0" w:color="auto"/>
              <w:right w:val="single" w:sz="4" w:space="0" w:color="auto"/>
            </w:tcBorders>
          </w:tcPr>
          <w:p w14:paraId="5240C72C" w14:textId="77777777" w:rsidR="00650370" w:rsidRPr="00D357E4" w:rsidRDefault="00650370" w:rsidP="00367777">
            <w:pPr>
              <w:spacing w:after="0" w:line="240" w:lineRule="auto"/>
              <w:jc w:val="both"/>
              <w:rPr>
                <w:rFonts w:ascii="Verdana" w:hAnsi="Verdana" w:cs="Calibri"/>
                <w:color w:val="000000"/>
                <w:sz w:val="20"/>
                <w:szCs w:val="20"/>
              </w:rPr>
            </w:pPr>
            <w:r w:rsidRPr="00D357E4">
              <w:rPr>
                <w:rFonts w:ascii="Verdana" w:hAnsi="Verdana" w:cs="Calibri"/>
                <w:color w:val="000000"/>
                <w:sz w:val="20"/>
                <w:szCs w:val="20"/>
              </w:rPr>
              <w:t>0</w:t>
            </w:r>
          </w:p>
        </w:tc>
        <w:tc>
          <w:tcPr>
            <w:tcW w:w="1458" w:type="dxa"/>
            <w:tcBorders>
              <w:top w:val="single" w:sz="4" w:space="0" w:color="auto"/>
              <w:left w:val="single" w:sz="4" w:space="0" w:color="auto"/>
              <w:bottom w:val="single" w:sz="4" w:space="0" w:color="auto"/>
              <w:right w:val="single" w:sz="4" w:space="0" w:color="auto"/>
            </w:tcBorders>
          </w:tcPr>
          <w:p w14:paraId="1A25CF8F" w14:textId="77777777" w:rsidR="00650370" w:rsidRPr="00D357E4" w:rsidRDefault="00650370" w:rsidP="00367777">
            <w:pPr>
              <w:spacing w:after="0" w:line="240" w:lineRule="auto"/>
              <w:jc w:val="both"/>
              <w:rPr>
                <w:rFonts w:ascii="Verdana" w:hAnsi="Verdana" w:cs="Calibri"/>
                <w:color w:val="000000"/>
                <w:sz w:val="20"/>
                <w:szCs w:val="20"/>
              </w:rPr>
            </w:pPr>
            <w:r w:rsidRPr="00D357E4">
              <w:rPr>
                <w:rFonts w:ascii="Verdana" w:hAnsi="Verdana" w:cs="Calibri"/>
                <w:color w:val="000000"/>
                <w:sz w:val="20"/>
                <w:szCs w:val="20"/>
              </w:rPr>
              <w:t>1</w:t>
            </w:r>
          </w:p>
        </w:tc>
        <w:tc>
          <w:tcPr>
            <w:tcW w:w="783"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14:paraId="37985BFE" w14:textId="77777777" w:rsidR="00650370" w:rsidRPr="00D357E4" w:rsidRDefault="00650370" w:rsidP="00367777">
            <w:pPr>
              <w:spacing w:after="0" w:line="240" w:lineRule="auto"/>
              <w:jc w:val="both"/>
              <w:rPr>
                <w:rFonts w:ascii="Verdana" w:hAnsi="Verdana" w:cs="Calibri"/>
                <w:color w:val="000000"/>
                <w:sz w:val="20"/>
                <w:szCs w:val="20"/>
              </w:rPr>
            </w:pPr>
            <w:r w:rsidRPr="00D357E4">
              <w:rPr>
                <w:rFonts w:ascii="Verdana" w:hAnsi="Verdana" w:cs="Calibri"/>
                <w:color w:val="000000"/>
                <w:sz w:val="20"/>
                <w:szCs w:val="20"/>
              </w:rPr>
              <w:t>1</w:t>
            </w:r>
          </w:p>
        </w:tc>
      </w:tr>
      <w:tr w:rsidR="00650370" w:rsidRPr="00D357E4" w14:paraId="1DFA791A" w14:textId="77777777" w:rsidTr="00367777">
        <w:trPr>
          <w:trHeight w:val="300"/>
        </w:trPr>
        <w:tc>
          <w:tcPr>
            <w:tcW w:w="1285" w:type="dxa"/>
            <w:vMerge/>
            <w:tcBorders>
              <w:left w:val="single" w:sz="8" w:space="0" w:color="auto"/>
              <w:right w:val="single" w:sz="4" w:space="0" w:color="auto"/>
            </w:tcBorders>
            <w:vAlign w:val="center"/>
          </w:tcPr>
          <w:p w14:paraId="12DE166A" w14:textId="77777777" w:rsidR="00650370" w:rsidRPr="00D357E4" w:rsidRDefault="00650370" w:rsidP="00367777">
            <w:pPr>
              <w:spacing w:after="0" w:line="240" w:lineRule="auto"/>
              <w:jc w:val="both"/>
              <w:rPr>
                <w:rFonts w:ascii="Verdana" w:hAnsi="Verdana" w:cs="Calibri"/>
                <w:color w:val="000000"/>
                <w:sz w:val="20"/>
                <w:szCs w:val="20"/>
              </w:rPr>
            </w:pPr>
          </w:p>
        </w:tc>
        <w:tc>
          <w:tcPr>
            <w:tcW w:w="822" w:type="dxa"/>
            <w:tcBorders>
              <w:top w:val="single" w:sz="4" w:space="0" w:color="auto"/>
              <w:left w:val="nil"/>
              <w:bottom w:val="single" w:sz="4" w:space="0" w:color="auto"/>
              <w:right w:val="single" w:sz="4" w:space="0" w:color="auto"/>
            </w:tcBorders>
          </w:tcPr>
          <w:p w14:paraId="6D0EAE5B" w14:textId="77777777" w:rsidR="00650370" w:rsidRPr="00D357E4" w:rsidRDefault="00650370" w:rsidP="00367777">
            <w:pPr>
              <w:spacing w:after="0" w:line="240" w:lineRule="auto"/>
              <w:jc w:val="both"/>
              <w:rPr>
                <w:rFonts w:ascii="Verdana" w:hAnsi="Verdana" w:cs="Calibri"/>
                <w:color w:val="000000"/>
                <w:sz w:val="20"/>
                <w:szCs w:val="20"/>
              </w:rPr>
            </w:pPr>
            <w:r w:rsidRPr="00D357E4">
              <w:rPr>
                <w:rFonts w:ascii="Verdana" w:hAnsi="Verdana" w:cs="Calibri"/>
                <w:color w:val="000000"/>
                <w:sz w:val="20"/>
                <w:szCs w:val="20"/>
              </w:rPr>
              <w:t>CP</w:t>
            </w:r>
          </w:p>
        </w:tc>
        <w:tc>
          <w:tcPr>
            <w:tcW w:w="904" w:type="dxa"/>
            <w:tcBorders>
              <w:top w:val="single" w:sz="4" w:space="0" w:color="auto"/>
              <w:left w:val="single" w:sz="4" w:space="0" w:color="auto"/>
              <w:bottom w:val="single" w:sz="4" w:space="0" w:color="auto"/>
              <w:right w:val="single" w:sz="4" w:space="0" w:color="auto"/>
            </w:tcBorders>
          </w:tcPr>
          <w:p w14:paraId="6743CEB2" w14:textId="77777777" w:rsidR="00650370" w:rsidRPr="00D357E4" w:rsidRDefault="00650370" w:rsidP="00367777">
            <w:pPr>
              <w:spacing w:after="0" w:line="240" w:lineRule="auto"/>
              <w:jc w:val="both"/>
              <w:rPr>
                <w:rFonts w:ascii="Verdana" w:hAnsi="Verdana" w:cs="Calibri"/>
                <w:color w:val="000000"/>
                <w:sz w:val="20"/>
                <w:szCs w:val="20"/>
              </w:rPr>
            </w:pPr>
            <w:r w:rsidRPr="00D357E4">
              <w:rPr>
                <w:rFonts w:ascii="Verdana" w:hAnsi="Verdana" w:cs="Calibri"/>
                <w:color w:val="000000"/>
                <w:sz w:val="20"/>
                <w:szCs w:val="20"/>
              </w:rPr>
              <w:t>4</w:t>
            </w:r>
          </w:p>
        </w:tc>
        <w:tc>
          <w:tcPr>
            <w:tcW w:w="1458" w:type="dxa"/>
            <w:tcBorders>
              <w:top w:val="single" w:sz="4" w:space="0" w:color="auto"/>
              <w:left w:val="single" w:sz="4" w:space="0" w:color="auto"/>
              <w:bottom w:val="single" w:sz="4" w:space="0" w:color="auto"/>
              <w:right w:val="single" w:sz="4" w:space="0" w:color="auto"/>
            </w:tcBorders>
          </w:tcPr>
          <w:p w14:paraId="2F5D6366" w14:textId="77777777" w:rsidR="00650370" w:rsidRPr="00D357E4" w:rsidRDefault="00650370" w:rsidP="00367777">
            <w:pPr>
              <w:spacing w:after="0" w:line="240" w:lineRule="auto"/>
              <w:jc w:val="both"/>
              <w:rPr>
                <w:rFonts w:ascii="Verdana" w:hAnsi="Verdana" w:cs="Calibri"/>
                <w:color w:val="000000"/>
                <w:sz w:val="20"/>
                <w:szCs w:val="20"/>
              </w:rPr>
            </w:pPr>
            <w:r w:rsidRPr="00D357E4">
              <w:rPr>
                <w:rFonts w:ascii="Verdana" w:hAnsi="Verdana" w:cs="Calibri"/>
                <w:color w:val="000000"/>
                <w:sz w:val="20"/>
                <w:szCs w:val="20"/>
              </w:rPr>
              <w:t>9</w:t>
            </w:r>
          </w:p>
        </w:tc>
        <w:tc>
          <w:tcPr>
            <w:tcW w:w="783"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bottom"/>
          </w:tcPr>
          <w:p w14:paraId="2CBB06A3" w14:textId="77777777" w:rsidR="00650370" w:rsidRPr="00D357E4" w:rsidRDefault="00650370" w:rsidP="00367777">
            <w:pPr>
              <w:spacing w:after="0" w:line="240" w:lineRule="auto"/>
              <w:jc w:val="both"/>
              <w:rPr>
                <w:rFonts w:ascii="Verdana" w:hAnsi="Verdana" w:cs="Calibri"/>
                <w:color w:val="000000"/>
                <w:sz w:val="20"/>
                <w:szCs w:val="20"/>
              </w:rPr>
            </w:pPr>
            <w:r w:rsidRPr="00D357E4">
              <w:rPr>
                <w:rFonts w:ascii="Verdana" w:hAnsi="Verdana" w:cs="Calibri"/>
                <w:color w:val="000000"/>
                <w:sz w:val="20"/>
                <w:szCs w:val="20"/>
              </w:rPr>
              <w:t>13</w:t>
            </w:r>
          </w:p>
        </w:tc>
      </w:tr>
      <w:tr w:rsidR="00650370" w:rsidRPr="00D357E4" w14:paraId="070D3ED4" w14:textId="77777777" w:rsidTr="00367777">
        <w:trPr>
          <w:trHeight w:val="300"/>
        </w:trPr>
        <w:tc>
          <w:tcPr>
            <w:tcW w:w="1285" w:type="dxa"/>
            <w:vMerge/>
            <w:tcBorders>
              <w:left w:val="single" w:sz="8" w:space="0" w:color="auto"/>
              <w:right w:val="single" w:sz="4" w:space="0" w:color="auto"/>
            </w:tcBorders>
          </w:tcPr>
          <w:p w14:paraId="2D04A4C7" w14:textId="77777777" w:rsidR="00650370" w:rsidRPr="00D357E4" w:rsidRDefault="00650370" w:rsidP="00367777">
            <w:pPr>
              <w:spacing w:after="0" w:line="240" w:lineRule="auto"/>
              <w:jc w:val="both"/>
              <w:rPr>
                <w:rFonts w:ascii="Verdana" w:hAnsi="Verdana" w:cs="Calibri"/>
                <w:color w:val="000000"/>
                <w:sz w:val="20"/>
                <w:szCs w:val="20"/>
              </w:rPr>
            </w:pPr>
          </w:p>
        </w:tc>
        <w:tc>
          <w:tcPr>
            <w:tcW w:w="822" w:type="dxa"/>
            <w:tcBorders>
              <w:top w:val="single" w:sz="4" w:space="0" w:color="auto"/>
              <w:left w:val="nil"/>
              <w:bottom w:val="single" w:sz="4" w:space="0" w:color="auto"/>
              <w:right w:val="single" w:sz="4" w:space="0" w:color="auto"/>
            </w:tcBorders>
          </w:tcPr>
          <w:p w14:paraId="263220F7" w14:textId="77777777" w:rsidR="00650370" w:rsidRPr="00D357E4" w:rsidRDefault="00650370" w:rsidP="00367777">
            <w:pPr>
              <w:spacing w:after="0" w:line="240" w:lineRule="auto"/>
              <w:jc w:val="both"/>
              <w:rPr>
                <w:rFonts w:ascii="Verdana" w:hAnsi="Verdana" w:cs="Calibri"/>
                <w:color w:val="000000"/>
                <w:sz w:val="20"/>
                <w:szCs w:val="20"/>
              </w:rPr>
            </w:pPr>
            <w:r w:rsidRPr="00D357E4">
              <w:rPr>
                <w:rFonts w:ascii="Verdana" w:hAnsi="Verdana" w:cs="Calibri"/>
                <w:color w:val="000000"/>
                <w:sz w:val="20"/>
                <w:szCs w:val="20"/>
              </w:rPr>
              <w:t>CI</w:t>
            </w:r>
          </w:p>
        </w:tc>
        <w:tc>
          <w:tcPr>
            <w:tcW w:w="904" w:type="dxa"/>
            <w:tcBorders>
              <w:top w:val="single" w:sz="4" w:space="0" w:color="auto"/>
              <w:left w:val="single" w:sz="4" w:space="0" w:color="auto"/>
              <w:bottom w:val="single" w:sz="4" w:space="0" w:color="auto"/>
              <w:right w:val="single" w:sz="4" w:space="0" w:color="auto"/>
            </w:tcBorders>
          </w:tcPr>
          <w:p w14:paraId="6C275FD2" w14:textId="4CB8942B" w:rsidR="00650370" w:rsidRPr="00D357E4" w:rsidRDefault="00ED71F6" w:rsidP="00367777">
            <w:pPr>
              <w:spacing w:after="0" w:line="240" w:lineRule="auto"/>
              <w:jc w:val="both"/>
              <w:rPr>
                <w:rFonts w:ascii="Verdana" w:hAnsi="Verdana" w:cs="Calibri"/>
                <w:color w:val="000000"/>
                <w:sz w:val="20"/>
                <w:szCs w:val="20"/>
              </w:rPr>
            </w:pPr>
            <w:r w:rsidRPr="00D357E4">
              <w:rPr>
                <w:rFonts w:ascii="Verdana" w:hAnsi="Verdana" w:cs="Calibri"/>
                <w:color w:val="000000"/>
                <w:sz w:val="20"/>
                <w:szCs w:val="20"/>
              </w:rPr>
              <w:t>16</w:t>
            </w:r>
          </w:p>
        </w:tc>
        <w:tc>
          <w:tcPr>
            <w:tcW w:w="1458" w:type="dxa"/>
            <w:tcBorders>
              <w:top w:val="single" w:sz="4" w:space="0" w:color="auto"/>
              <w:left w:val="single" w:sz="4" w:space="0" w:color="auto"/>
              <w:bottom w:val="single" w:sz="4" w:space="0" w:color="auto"/>
              <w:right w:val="single" w:sz="4" w:space="0" w:color="auto"/>
            </w:tcBorders>
          </w:tcPr>
          <w:p w14:paraId="3D93EF0E" w14:textId="6019062B" w:rsidR="00650370" w:rsidRPr="00D357E4" w:rsidRDefault="00650370" w:rsidP="00367777">
            <w:pPr>
              <w:spacing w:after="0" w:line="240" w:lineRule="auto"/>
              <w:jc w:val="both"/>
              <w:rPr>
                <w:rFonts w:ascii="Verdana" w:hAnsi="Verdana" w:cs="Calibri"/>
                <w:color w:val="000000"/>
                <w:sz w:val="20"/>
                <w:szCs w:val="20"/>
              </w:rPr>
            </w:pPr>
            <w:r w:rsidRPr="00D357E4">
              <w:rPr>
                <w:rFonts w:ascii="Verdana" w:hAnsi="Verdana" w:cs="Calibri"/>
                <w:color w:val="000000"/>
                <w:sz w:val="20"/>
                <w:szCs w:val="20"/>
              </w:rPr>
              <w:t>1</w:t>
            </w:r>
            <w:r w:rsidR="00ED71F6" w:rsidRPr="00D357E4">
              <w:rPr>
                <w:rFonts w:ascii="Verdana" w:hAnsi="Verdana" w:cs="Calibri"/>
                <w:color w:val="000000"/>
                <w:sz w:val="20"/>
                <w:szCs w:val="20"/>
              </w:rPr>
              <w:t>4</w:t>
            </w:r>
          </w:p>
        </w:tc>
        <w:tc>
          <w:tcPr>
            <w:tcW w:w="783"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bottom"/>
          </w:tcPr>
          <w:p w14:paraId="6F46B7FC" w14:textId="3B0E8393" w:rsidR="00650370" w:rsidRPr="00D357E4" w:rsidRDefault="00ED71F6" w:rsidP="00367777">
            <w:pPr>
              <w:spacing w:after="0" w:line="240" w:lineRule="auto"/>
              <w:jc w:val="both"/>
              <w:rPr>
                <w:rFonts w:ascii="Verdana" w:hAnsi="Verdana" w:cs="Calibri"/>
                <w:color w:val="000000"/>
                <w:sz w:val="20"/>
                <w:szCs w:val="20"/>
              </w:rPr>
            </w:pPr>
            <w:r w:rsidRPr="00D357E4">
              <w:rPr>
                <w:rFonts w:ascii="Verdana" w:hAnsi="Verdana" w:cs="Calibri"/>
                <w:color w:val="000000"/>
                <w:sz w:val="20"/>
                <w:szCs w:val="20"/>
              </w:rPr>
              <w:t>30</w:t>
            </w:r>
          </w:p>
        </w:tc>
      </w:tr>
      <w:tr w:rsidR="00650370" w:rsidRPr="00D357E4" w14:paraId="33EEE93A" w14:textId="77777777" w:rsidTr="00367777">
        <w:trPr>
          <w:trHeight w:val="300"/>
        </w:trPr>
        <w:tc>
          <w:tcPr>
            <w:tcW w:w="1285" w:type="dxa"/>
            <w:vMerge/>
            <w:tcBorders>
              <w:left w:val="single" w:sz="8" w:space="0" w:color="auto"/>
              <w:bottom w:val="single" w:sz="4" w:space="0" w:color="auto"/>
              <w:right w:val="single" w:sz="4" w:space="0" w:color="auto"/>
            </w:tcBorders>
            <w:hideMark/>
          </w:tcPr>
          <w:p w14:paraId="222FFD4B" w14:textId="77777777" w:rsidR="00650370" w:rsidRPr="00D357E4" w:rsidRDefault="00650370" w:rsidP="00367777">
            <w:pPr>
              <w:spacing w:after="0" w:line="240" w:lineRule="auto"/>
              <w:jc w:val="both"/>
              <w:rPr>
                <w:rFonts w:ascii="Verdana" w:eastAsia="Times New Roman" w:hAnsi="Verdana" w:cs="Calibri"/>
                <w:color w:val="000000"/>
                <w:sz w:val="20"/>
                <w:szCs w:val="20"/>
              </w:rPr>
            </w:pPr>
          </w:p>
        </w:tc>
        <w:tc>
          <w:tcPr>
            <w:tcW w:w="822" w:type="dxa"/>
            <w:tcBorders>
              <w:top w:val="single" w:sz="4" w:space="0" w:color="auto"/>
              <w:left w:val="nil"/>
              <w:bottom w:val="single" w:sz="4" w:space="0" w:color="auto"/>
              <w:right w:val="single" w:sz="4" w:space="0" w:color="auto"/>
            </w:tcBorders>
          </w:tcPr>
          <w:p w14:paraId="2614FB84" w14:textId="77777777" w:rsidR="00650370" w:rsidRPr="00D357E4" w:rsidRDefault="00650370" w:rsidP="00367777">
            <w:pPr>
              <w:spacing w:after="0" w:line="240" w:lineRule="auto"/>
              <w:jc w:val="both"/>
              <w:rPr>
                <w:rFonts w:ascii="Verdana" w:hAnsi="Verdana" w:cs="Calibri"/>
                <w:color w:val="000000"/>
                <w:sz w:val="20"/>
                <w:szCs w:val="20"/>
              </w:rPr>
            </w:pPr>
            <w:r w:rsidRPr="00D357E4">
              <w:rPr>
                <w:rFonts w:ascii="Verdana" w:hAnsi="Verdana" w:cs="Calibri"/>
                <w:color w:val="000000"/>
                <w:sz w:val="20"/>
                <w:szCs w:val="20"/>
              </w:rPr>
              <w:t>PB/PA</w:t>
            </w:r>
          </w:p>
        </w:tc>
        <w:tc>
          <w:tcPr>
            <w:tcW w:w="904" w:type="dxa"/>
            <w:tcBorders>
              <w:top w:val="single" w:sz="4" w:space="0" w:color="auto"/>
              <w:left w:val="single" w:sz="4" w:space="0" w:color="auto"/>
              <w:bottom w:val="single" w:sz="4" w:space="0" w:color="auto"/>
              <w:right w:val="single" w:sz="4" w:space="0" w:color="auto"/>
            </w:tcBorders>
          </w:tcPr>
          <w:p w14:paraId="0E01C58E" w14:textId="36DA8415" w:rsidR="00650370" w:rsidRPr="00D357E4" w:rsidRDefault="00ED71F6" w:rsidP="00367777">
            <w:pPr>
              <w:spacing w:after="0" w:line="240" w:lineRule="auto"/>
              <w:jc w:val="both"/>
              <w:rPr>
                <w:rFonts w:ascii="Verdana" w:hAnsi="Verdana" w:cs="Calibri"/>
                <w:color w:val="000000"/>
                <w:sz w:val="20"/>
                <w:szCs w:val="20"/>
              </w:rPr>
            </w:pPr>
            <w:r w:rsidRPr="00D357E4">
              <w:rPr>
                <w:rFonts w:ascii="Verdana" w:hAnsi="Verdana" w:cs="Calibri"/>
                <w:color w:val="000000"/>
                <w:sz w:val="20"/>
                <w:szCs w:val="20"/>
              </w:rPr>
              <w:t>2</w:t>
            </w:r>
          </w:p>
        </w:tc>
        <w:tc>
          <w:tcPr>
            <w:tcW w:w="1458" w:type="dxa"/>
            <w:tcBorders>
              <w:top w:val="single" w:sz="4" w:space="0" w:color="auto"/>
              <w:left w:val="single" w:sz="4" w:space="0" w:color="auto"/>
              <w:bottom w:val="single" w:sz="4" w:space="0" w:color="auto"/>
              <w:right w:val="single" w:sz="4" w:space="0" w:color="auto"/>
            </w:tcBorders>
          </w:tcPr>
          <w:p w14:paraId="7504A0D0" w14:textId="7809DFC2" w:rsidR="00650370" w:rsidRPr="00D357E4" w:rsidRDefault="00ED71F6" w:rsidP="00367777">
            <w:pPr>
              <w:spacing w:after="0" w:line="240" w:lineRule="auto"/>
              <w:jc w:val="both"/>
              <w:rPr>
                <w:rFonts w:ascii="Verdana" w:hAnsi="Verdana" w:cs="Calibri"/>
                <w:color w:val="000000"/>
                <w:sz w:val="20"/>
                <w:szCs w:val="20"/>
              </w:rPr>
            </w:pPr>
            <w:r w:rsidRPr="00D357E4">
              <w:rPr>
                <w:rFonts w:ascii="Verdana" w:hAnsi="Verdana" w:cs="Calibri"/>
                <w:color w:val="000000"/>
                <w:sz w:val="20"/>
                <w:szCs w:val="20"/>
              </w:rPr>
              <w:t>18</w:t>
            </w:r>
          </w:p>
        </w:tc>
        <w:tc>
          <w:tcPr>
            <w:tcW w:w="783"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bottom"/>
            <w:hideMark/>
          </w:tcPr>
          <w:p w14:paraId="4D9A4FA9" w14:textId="2DDA1648" w:rsidR="00650370" w:rsidRPr="00D357E4" w:rsidRDefault="00ED71F6" w:rsidP="00367777">
            <w:pPr>
              <w:spacing w:after="0" w:line="240" w:lineRule="auto"/>
              <w:jc w:val="both"/>
              <w:rPr>
                <w:rFonts w:ascii="Verdana" w:eastAsia="Times New Roman" w:hAnsi="Verdana" w:cs="Calibri"/>
                <w:color w:val="000000"/>
                <w:sz w:val="20"/>
                <w:szCs w:val="20"/>
              </w:rPr>
            </w:pPr>
            <w:r w:rsidRPr="00D357E4">
              <w:rPr>
                <w:rFonts w:ascii="Verdana" w:hAnsi="Verdana" w:cs="Calibri"/>
                <w:color w:val="000000"/>
                <w:sz w:val="20"/>
                <w:szCs w:val="20"/>
              </w:rPr>
              <w:t>20</w:t>
            </w:r>
          </w:p>
        </w:tc>
      </w:tr>
      <w:tr w:rsidR="00650370" w:rsidRPr="00D357E4" w14:paraId="612B6337" w14:textId="77777777" w:rsidTr="00367777">
        <w:trPr>
          <w:trHeight w:val="300"/>
        </w:trPr>
        <w:tc>
          <w:tcPr>
            <w:tcW w:w="2107" w:type="dxa"/>
            <w:gridSpan w:val="2"/>
            <w:tcBorders>
              <w:top w:val="single" w:sz="4" w:space="0" w:color="auto"/>
              <w:left w:val="single" w:sz="4" w:space="0" w:color="auto"/>
              <w:bottom w:val="single" w:sz="4" w:space="0" w:color="auto"/>
              <w:right w:val="single" w:sz="4" w:space="0" w:color="auto"/>
            </w:tcBorders>
            <w:hideMark/>
          </w:tcPr>
          <w:p w14:paraId="6F761FF2" w14:textId="77777777" w:rsidR="00650370" w:rsidRPr="00D357E4" w:rsidRDefault="00650370" w:rsidP="00367777">
            <w:pPr>
              <w:spacing w:after="0" w:line="240" w:lineRule="auto"/>
              <w:jc w:val="both"/>
              <w:rPr>
                <w:rFonts w:ascii="Verdana" w:hAnsi="Verdana" w:cs="Calibri"/>
                <w:color w:val="000000"/>
                <w:sz w:val="20"/>
                <w:szCs w:val="20"/>
              </w:rPr>
            </w:pPr>
            <w:r w:rsidRPr="00D357E4">
              <w:rPr>
                <w:rFonts w:ascii="Verdana" w:hAnsi="Verdana" w:cs="Calibri"/>
                <w:color w:val="000000"/>
                <w:sz w:val="20"/>
                <w:szCs w:val="20"/>
              </w:rPr>
              <w:t>Consultants en contrat COI</w:t>
            </w:r>
          </w:p>
        </w:tc>
        <w:tc>
          <w:tcPr>
            <w:tcW w:w="904" w:type="dxa"/>
            <w:tcBorders>
              <w:top w:val="single" w:sz="4" w:space="0" w:color="auto"/>
              <w:left w:val="nil"/>
              <w:bottom w:val="single" w:sz="4" w:space="0" w:color="auto"/>
              <w:right w:val="single" w:sz="4" w:space="0" w:color="auto"/>
            </w:tcBorders>
          </w:tcPr>
          <w:p w14:paraId="21B48ADD" w14:textId="77777777" w:rsidR="00650370" w:rsidRPr="00D357E4" w:rsidRDefault="00650370" w:rsidP="00367777">
            <w:pPr>
              <w:spacing w:after="0" w:line="240" w:lineRule="auto"/>
              <w:jc w:val="both"/>
              <w:rPr>
                <w:rFonts w:ascii="Verdana" w:hAnsi="Verdana" w:cs="Calibri"/>
                <w:color w:val="000000"/>
                <w:sz w:val="20"/>
                <w:szCs w:val="20"/>
              </w:rPr>
            </w:pPr>
            <w:r w:rsidRPr="00D357E4">
              <w:rPr>
                <w:rFonts w:ascii="Verdana" w:hAnsi="Verdana" w:cs="Calibri"/>
                <w:color w:val="000000"/>
                <w:sz w:val="20"/>
                <w:szCs w:val="20"/>
              </w:rPr>
              <w:t>5</w:t>
            </w:r>
          </w:p>
        </w:tc>
        <w:tc>
          <w:tcPr>
            <w:tcW w:w="1458" w:type="dxa"/>
            <w:tcBorders>
              <w:top w:val="single" w:sz="4" w:space="0" w:color="auto"/>
              <w:left w:val="single" w:sz="4" w:space="0" w:color="auto"/>
              <w:bottom w:val="single" w:sz="4" w:space="0" w:color="auto"/>
              <w:right w:val="single" w:sz="4" w:space="0" w:color="auto"/>
            </w:tcBorders>
          </w:tcPr>
          <w:p w14:paraId="2640152E" w14:textId="229584ED" w:rsidR="00650370" w:rsidRPr="00D357E4" w:rsidRDefault="00ED71F6" w:rsidP="00367777">
            <w:pPr>
              <w:spacing w:after="0" w:line="240" w:lineRule="auto"/>
              <w:jc w:val="both"/>
              <w:rPr>
                <w:rFonts w:ascii="Verdana" w:hAnsi="Verdana" w:cs="Calibri"/>
                <w:color w:val="000000"/>
                <w:sz w:val="20"/>
                <w:szCs w:val="20"/>
              </w:rPr>
            </w:pPr>
            <w:r w:rsidRPr="00D357E4">
              <w:rPr>
                <w:rFonts w:ascii="Verdana" w:hAnsi="Verdana" w:cs="Calibri"/>
                <w:color w:val="000000"/>
                <w:sz w:val="20"/>
                <w:szCs w:val="20"/>
              </w:rPr>
              <w:t>3</w:t>
            </w:r>
          </w:p>
        </w:tc>
        <w:tc>
          <w:tcPr>
            <w:tcW w:w="783"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bottom"/>
            <w:hideMark/>
          </w:tcPr>
          <w:p w14:paraId="037957D6" w14:textId="5D19377C" w:rsidR="00650370" w:rsidRPr="00D357E4" w:rsidRDefault="00ED71F6" w:rsidP="00367777">
            <w:pPr>
              <w:spacing w:after="0" w:line="240" w:lineRule="auto"/>
              <w:jc w:val="both"/>
              <w:rPr>
                <w:rFonts w:ascii="Verdana" w:eastAsia="Times New Roman" w:hAnsi="Verdana" w:cs="Calibri"/>
                <w:color w:val="000000"/>
                <w:sz w:val="20"/>
                <w:szCs w:val="20"/>
              </w:rPr>
            </w:pPr>
            <w:r w:rsidRPr="00D357E4">
              <w:rPr>
                <w:rFonts w:ascii="Verdana" w:hAnsi="Verdana" w:cs="Calibri"/>
                <w:color w:val="000000"/>
                <w:sz w:val="20"/>
                <w:szCs w:val="20"/>
              </w:rPr>
              <w:t>8</w:t>
            </w:r>
          </w:p>
        </w:tc>
      </w:tr>
      <w:tr w:rsidR="00650370" w:rsidRPr="00D357E4" w14:paraId="1B379D1C" w14:textId="77777777" w:rsidTr="00367777">
        <w:trPr>
          <w:trHeight w:val="315"/>
        </w:trPr>
        <w:tc>
          <w:tcPr>
            <w:tcW w:w="2107" w:type="dxa"/>
            <w:gridSpan w:val="2"/>
            <w:tcBorders>
              <w:top w:val="single" w:sz="4" w:space="0" w:color="auto"/>
              <w:left w:val="single" w:sz="4" w:space="0" w:color="auto"/>
              <w:bottom w:val="single" w:sz="4" w:space="0" w:color="auto"/>
              <w:right w:val="single" w:sz="4" w:space="0" w:color="auto"/>
            </w:tcBorders>
            <w:hideMark/>
          </w:tcPr>
          <w:p w14:paraId="588A10D7" w14:textId="77777777" w:rsidR="00650370" w:rsidRPr="00D357E4" w:rsidRDefault="00650370" w:rsidP="00367777">
            <w:pPr>
              <w:spacing w:after="0" w:line="240" w:lineRule="auto"/>
              <w:jc w:val="both"/>
              <w:rPr>
                <w:rFonts w:ascii="Verdana" w:hAnsi="Verdana" w:cs="Calibri"/>
                <w:color w:val="000000"/>
                <w:sz w:val="20"/>
                <w:szCs w:val="20"/>
              </w:rPr>
            </w:pPr>
            <w:r w:rsidRPr="00D357E4">
              <w:rPr>
                <w:rFonts w:ascii="Verdana" w:hAnsi="Verdana" w:cs="Calibri"/>
                <w:color w:val="000000"/>
                <w:sz w:val="20"/>
                <w:szCs w:val="20"/>
              </w:rPr>
              <w:t>Assistant Technique</w:t>
            </w:r>
          </w:p>
        </w:tc>
        <w:tc>
          <w:tcPr>
            <w:tcW w:w="904" w:type="dxa"/>
            <w:tcBorders>
              <w:top w:val="single" w:sz="4" w:space="0" w:color="auto"/>
              <w:left w:val="nil"/>
              <w:bottom w:val="single" w:sz="4" w:space="0" w:color="auto"/>
              <w:right w:val="single" w:sz="4" w:space="0" w:color="auto"/>
            </w:tcBorders>
          </w:tcPr>
          <w:p w14:paraId="43B4FC78" w14:textId="2B728383" w:rsidR="00650370" w:rsidRPr="00D357E4" w:rsidRDefault="00ED71F6" w:rsidP="00367777">
            <w:pPr>
              <w:spacing w:after="0" w:line="240" w:lineRule="auto"/>
              <w:jc w:val="both"/>
              <w:rPr>
                <w:rFonts w:ascii="Verdana" w:hAnsi="Verdana" w:cs="Calibri"/>
                <w:color w:val="000000"/>
                <w:sz w:val="20"/>
                <w:szCs w:val="20"/>
              </w:rPr>
            </w:pPr>
            <w:r w:rsidRPr="00D357E4">
              <w:rPr>
                <w:rFonts w:ascii="Verdana" w:hAnsi="Verdana" w:cs="Calibri"/>
                <w:color w:val="000000"/>
                <w:sz w:val="20"/>
                <w:szCs w:val="20"/>
              </w:rPr>
              <w:t>20</w:t>
            </w:r>
          </w:p>
        </w:tc>
        <w:tc>
          <w:tcPr>
            <w:tcW w:w="1458" w:type="dxa"/>
            <w:tcBorders>
              <w:top w:val="single" w:sz="4" w:space="0" w:color="auto"/>
              <w:left w:val="single" w:sz="4" w:space="0" w:color="auto"/>
              <w:bottom w:val="single" w:sz="4" w:space="0" w:color="auto"/>
              <w:right w:val="single" w:sz="4" w:space="0" w:color="auto"/>
            </w:tcBorders>
          </w:tcPr>
          <w:p w14:paraId="114664CF" w14:textId="77777777" w:rsidR="00650370" w:rsidRPr="00D357E4" w:rsidRDefault="00650370" w:rsidP="00367777">
            <w:pPr>
              <w:spacing w:after="0" w:line="240" w:lineRule="auto"/>
              <w:jc w:val="both"/>
              <w:rPr>
                <w:rFonts w:ascii="Verdana" w:hAnsi="Verdana" w:cs="Calibri"/>
                <w:color w:val="000000"/>
                <w:sz w:val="20"/>
                <w:szCs w:val="20"/>
              </w:rPr>
            </w:pPr>
            <w:r w:rsidRPr="00D357E4">
              <w:rPr>
                <w:rFonts w:ascii="Verdana" w:hAnsi="Verdana" w:cs="Calibri"/>
                <w:color w:val="000000"/>
                <w:sz w:val="20"/>
                <w:szCs w:val="20"/>
              </w:rPr>
              <w:t>0</w:t>
            </w:r>
          </w:p>
        </w:tc>
        <w:tc>
          <w:tcPr>
            <w:tcW w:w="783"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bottom"/>
            <w:hideMark/>
          </w:tcPr>
          <w:p w14:paraId="54960B2D" w14:textId="632C0EE8" w:rsidR="00650370" w:rsidRPr="00D357E4" w:rsidRDefault="00ED71F6" w:rsidP="00367777">
            <w:pPr>
              <w:spacing w:after="0" w:line="240" w:lineRule="auto"/>
              <w:jc w:val="both"/>
              <w:rPr>
                <w:rFonts w:ascii="Verdana" w:eastAsia="Times New Roman" w:hAnsi="Verdana" w:cs="Calibri"/>
                <w:color w:val="000000"/>
                <w:sz w:val="20"/>
                <w:szCs w:val="20"/>
              </w:rPr>
            </w:pPr>
            <w:r w:rsidRPr="00D357E4">
              <w:rPr>
                <w:rFonts w:ascii="Verdana" w:hAnsi="Verdana" w:cs="Calibri"/>
                <w:color w:val="000000"/>
                <w:sz w:val="20"/>
                <w:szCs w:val="20"/>
              </w:rPr>
              <w:t>20</w:t>
            </w:r>
          </w:p>
        </w:tc>
      </w:tr>
      <w:tr w:rsidR="00650370" w:rsidRPr="00D357E4" w14:paraId="2D08D20D" w14:textId="77777777" w:rsidTr="00367777">
        <w:trPr>
          <w:trHeight w:val="315"/>
        </w:trPr>
        <w:tc>
          <w:tcPr>
            <w:tcW w:w="2107" w:type="dxa"/>
            <w:gridSpan w:val="2"/>
            <w:tcBorders>
              <w:top w:val="single" w:sz="4" w:space="0" w:color="auto"/>
              <w:left w:val="single" w:sz="4" w:space="0" w:color="auto"/>
              <w:bottom w:val="single" w:sz="4" w:space="0" w:color="auto"/>
              <w:right w:val="single" w:sz="4" w:space="0" w:color="auto"/>
            </w:tcBorders>
          </w:tcPr>
          <w:p w14:paraId="3F92F3E5" w14:textId="77777777" w:rsidR="00650370" w:rsidRPr="00D357E4" w:rsidRDefault="00650370" w:rsidP="00367777">
            <w:pPr>
              <w:spacing w:after="0" w:line="240" w:lineRule="auto"/>
              <w:jc w:val="both"/>
              <w:rPr>
                <w:rFonts w:ascii="Verdana" w:hAnsi="Verdana" w:cs="Calibri"/>
                <w:color w:val="000000"/>
                <w:sz w:val="20"/>
                <w:szCs w:val="20"/>
              </w:rPr>
            </w:pPr>
            <w:r w:rsidRPr="00D357E4">
              <w:rPr>
                <w:rFonts w:ascii="Verdana" w:hAnsi="Verdana" w:cs="Calibri"/>
                <w:color w:val="000000"/>
                <w:sz w:val="20"/>
                <w:szCs w:val="20"/>
              </w:rPr>
              <w:t>Mise à disposition</w:t>
            </w:r>
          </w:p>
        </w:tc>
        <w:tc>
          <w:tcPr>
            <w:tcW w:w="904" w:type="dxa"/>
            <w:tcBorders>
              <w:top w:val="single" w:sz="4" w:space="0" w:color="auto"/>
              <w:left w:val="nil"/>
              <w:bottom w:val="single" w:sz="4" w:space="0" w:color="auto"/>
              <w:right w:val="single" w:sz="4" w:space="0" w:color="auto"/>
            </w:tcBorders>
          </w:tcPr>
          <w:p w14:paraId="03A35EED" w14:textId="2C44BDB6" w:rsidR="00650370" w:rsidRPr="00D357E4" w:rsidRDefault="00745652" w:rsidP="00367777">
            <w:pPr>
              <w:spacing w:after="0" w:line="240" w:lineRule="auto"/>
              <w:jc w:val="both"/>
              <w:rPr>
                <w:rFonts w:ascii="Verdana" w:hAnsi="Verdana" w:cs="Calibri"/>
                <w:color w:val="000000"/>
                <w:sz w:val="20"/>
                <w:szCs w:val="20"/>
              </w:rPr>
            </w:pPr>
            <w:r w:rsidRPr="00D357E4">
              <w:rPr>
                <w:rFonts w:ascii="Verdana" w:hAnsi="Verdana" w:cs="Calibri"/>
                <w:color w:val="000000"/>
                <w:sz w:val="20"/>
                <w:szCs w:val="20"/>
              </w:rPr>
              <w:t>3</w:t>
            </w:r>
          </w:p>
        </w:tc>
        <w:tc>
          <w:tcPr>
            <w:tcW w:w="1458" w:type="dxa"/>
            <w:tcBorders>
              <w:top w:val="single" w:sz="4" w:space="0" w:color="auto"/>
              <w:left w:val="single" w:sz="4" w:space="0" w:color="auto"/>
              <w:bottom w:val="single" w:sz="4" w:space="0" w:color="auto"/>
              <w:right w:val="single" w:sz="4" w:space="0" w:color="auto"/>
            </w:tcBorders>
          </w:tcPr>
          <w:p w14:paraId="2D7D6F8F" w14:textId="642ECA61" w:rsidR="00650370" w:rsidRPr="00D357E4" w:rsidRDefault="00745652" w:rsidP="00367777">
            <w:pPr>
              <w:spacing w:after="0" w:line="240" w:lineRule="auto"/>
              <w:jc w:val="both"/>
              <w:rPr>
                <w:rFonts w:ascii="Verdana" w:hAnsi="Verdana" w:cs="Calibri"/>
                <w:color w:val="000000"/>
                <w:sz w:val="20"/>
                <w:szCs w:val="20"/>
              </w:rPr>
            </w:pPr>
            <w:r w:rsidRPr="00D357E4">
              <w:rPr>
                <w:rFonts w:ascii="Verdana" w:hAnsi="Verdana" w:cs="Calibri"/>
                <w:color w:val="000000"/>
                <w:sz w:val="20"/>
                <w:szCs w:val="20"/>
              </w:rPr>
              <w:t>2</w:t>
            </w:r>
          </w:p>
        </w:tc>
        <w:tc>
          <w:tcPr>
            <w:tcW w:w="783"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bottom"/>
          </w:tcPr>
          <w:p w14:paraId="402D8309" w14:textId="7216CE37" w:rsidR="00650370" w:rsidRPr="00D357E4" w:rsidRDefault="00745652" w:rsidP="00367777">
            <w:pPr>
              <w:spacing w:after="0" w:line="240" w:lineRule="auto"/>
              <w:jc w:val="both"/>
              <w:rPr>
                <w:rFonts w:ascii="Verdana" w:eastAsia="Times New Roman" w:hAnsi="Verdana" w:cs="Calibri"/>
                <w:color w:val="000000"/>
                <w:sz w:val="20"/>
                <w:szCs w:val="20"/>
              </w:rPr>
            </w:pPr>
            <w:r w:rsidRPr="00D357E4">
              <w:rPr>
                <w:rFonts w:ascii="Verdana" w:hAnsi="Verdana" w:cs="Calibri"/>
                <w:color w:val="000000"/>
                <w:sz w:val="20"/>
                <w:szCs w:val="20"/>
              </w:rPr>
              <w:t>5</w:t>
            </w:r>
          </w:p>
        </w:tc>
      </w:tr>
      <w:tr w:rsidR="00650370" w:rsidRPr="00D357E4" w14:paraId="784B5502" w14:textId="77777777" w:rsidTr="00367777">
        <w:trPr>
          <w:trHeight w:val="315"/>
        </w:trPr>
        <w:tc>
          <w:tcPr>
            <w:tcW w:w="2107" w:type="dxa"/>
            <w:gridSpan w:val="2"/>
            <w:tcBorders>
              <w:top w:val="single" w:sz="4" w:space="0" w:color="auto"/>
              <w:left w:val="single" w:sz="4" w:space="0" w:color="auto"/>
              <w:bottom w:val="single" w:sz="4" w:space="0" w:color="auto"/>
              <w:right w:val="single" w:sz="4" w:space="0" w:color="auto"/>
            </w:tcBorders>
          </w:tcPr>
          <w:p w14:paraId="466F1823" w14:textId="77777777" w:rsidR="00650370" w:rsidRPr="00D357E4" w:rsidRDefault="00650370" w:rsidP="00367777">
            <w:pPr>
              <w:spacing w:after="0" w:line="240" w:lineRule="auto"/>
              <w:jc w:val="both"/>
              <w:rPr>
                <w:rFonts w:ascii="Verdana" w:hAnsi="Verdana" w:cs="Calibri"/>
                <w:color w:val="000000"/>
                <w:sz w:val="20"/>
                <w:szCs w:val="20"/>
              </w:rPr>
            </w:pPr>
            <w:r w:rsidRPr="00D357E4">
              <w:rPr>
                <w:rFonts w:ascii="Verdana" w:hAnsi="Verdana" w:cs="Calibri"/>
                <w:color w:val="000000"/>
                <w:sz w:val="20"/>
                <w:szCs w:val="20"/>
              </w:rPr>
              <w:t>VSI</w:t>
            </w:r>
          </w:p>
        </w:tc>
        <w:tc>
          <w:tcPr>
            <w:tcW w:w="904" w:type="dxa"/>
            <w:tcBorders>
              <w:top w:val="single" w:sz="4" w:space="0" w:color="auto"/>
              <w:left w:val="nil"/>
              <w:bottom w:val="single" w:sz="4" w:space="0" w:color="auto"/>
              <w:right w:val="single" w:sz="4" w:space="0" w:color="auto"/>
            </w:tcBorders>
          </w:tcPr>
          <w:p w14:paraId="2EFDC145" w14:textId="77777777" w:rsidR="00650370" w:rsidRPr="00D357E4" w:rsidRDefault="00650370" w:rsidP="00367777">
            <w:pPr>
              <w:spacing w:after="0" w:line="240" w:lineRule="auto"/>
              <w:jc w:val="both"/>
              <w:rPr>
                <w:rFonts w:ascii="Verdana" w:hAnsi="Verdana" w:cs="Calibri"/>
                <w:color w:val="000000"/>
                <w:sz w:val="20"/>
                <w:szCs w:val="20"/>
              </w:rPr>
            </w:pPr>
            <w:r w:rsidRPr="00D357E4">
              <w:rPr>
                <w:rFonts w:ascii="Verdana" w:hAnsi="Verdana" w:cs="Calibri"/>
                <w:color w:val="000000"/>
                <w:sz w:val="20"/>
                <w:szCs w:val="20"/>
              </w:rPr>
              <w:t>0</w:t>
            </w:r>
          </w:p>
        </w:tc>
        <w:tc>
          <w:tcPr>
            <w:tcW w:w="1458" w:type="dxa"/>
            <w:tcBorders>
              <w:top w:val="single" w:sz="4" w:space="0" w:color="auto"/>
              <w:left w:val="single" w:sz="4" w:space="0" w:color="auto"/>
              <w:bottom w:val="single" w:sz="4" w:space="0" w:color="auto"/>
              <w:right w:val="single" w:sz="4" w:space="0" w:color="auto"/>
            </w:tcBorders>
          </w:tcPr>
          <w:p w14:paraId="57EC43A4" w14:textId="77777777" w:rsidR="00650370" w:rsidRPr="00D357E4" w:rsidRDefault="00650370" w:rsidP="00367777">
            <w:pPr>
              <w:spacing w:after="0" w:line="240" w:lineRule="auto"/>
              <w:jc w:val="both"/>
              <w:rPr>
                <w:rFonts w:ascii="Verdana" w:hAnsi="Verdana" w:cs="Calibri"/>
                <w:color w:val="000000"/>
                <w:sz w:val="20"/>
                <w:szCs w:val="20"/>
              </w:rPr>
            </w:pPr>
            <w:r w:rsidRPr="00D357E4">
              <w:rPr>
                <w:rFonts w:ascii="Verdana" w:hAnsi="Verdana" w:cs="Calibri"/>
                <w:color w:val="000000"/>
                <w:sz w:val="20"/>
                <w:szCs w:val="20"/>
              </w:rPr>
              <w:t>3</w:t>
            </w:r>
          </w:p>
        </w:tc>
        <w:tc>
          <w:tcPr>
            <w:tcW w:w="783"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bottom"/>
          </w:tcPr>
          <w:p w14:paraId="1DEBC0AC" w14:textId="77777777" w:rsidR="00650370" w:rsidRPr="00D357E4" w:rsidRDefault="00650370" w:rsidP="00367777">
            <w:pPr>
              <w:spacing w:after="0" w:line="240" w:lineRule="auto"/>
              <w:jc w:val="both"/>
              <w:rPr>
                <w:rFonts w:ascii="Verdana" w:hAnsi="Verdana" w:cs="Calibri"/>
                <w:color w:val="000000"/>
                <w:sz w:val="20"/>
                <w:szCs w:val="20"/>
              </w:rPr>
            </w:pPr>
            <w:r w:rsidRPr="00D357E4">
              <w:rPr>
                <w:rFonts w:ascii="Verdana" w:hAnsi="Verdana" w:cs="Calibri"/>
                <w:color w:val="000000"/>
                <w:sz w:val="20"/>
                <w:szCs w:val="20"/>
              </w:rPr>
              <w:t>3</w:t>
            </w:r>
          </w:p>
        </w:tc>
      </w:tr>
      <w:tr w:rsidR="00650370" w:rsidRPr="00D357E4" w14:paraId="5E8C5910" w14:textId="77777777" w:rsidTr="00367777">
        <w:trPr>
          <w:trHeight w:val="315"/>
        </w:trPr>
        <w:tc>
          <w:tcPr>
            <w:tcW w:w="2107"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D091559" w14:textId="77777777" w:rsidR="00650370" w:rsidRPr="00D357E4" w:rsidRDefault="00650370" w:rsidP="00367777">
            <w:pPr>
              <w:spacing w:after="0" w:line="240" w:lineRule="auto"/>
              <w:jc w:val="both"/>
              <w:rPr>
                <w:rFonts w:ascii="Verdana" w:hAnsi="Verdana" w:cs="Calibri"/>
                <w:b/>
                <w:bCs/>
                <w:color w:val="000000"/>
                <w:sz w:val="20"/>
                <w:szCs w:val="20"/>
              </w:rPr>
            </w:pPr>
            <w:r w:rsidRPr="00D357E4">
              <w:rPr>
                <w:rFonts w:ascii="Verdana" w:hAnsi="Verdana" w:cs="Calibri"/>
                <w:b/>
                <w:bCs/>
                <w:color w:val="000000"/>
                <w:sz w:val="20"/>
                <w:szCs w:val="20"/>
              </w:rPr>
              <w:t>TOTAL des effectifs</w:t>
            </w:r>
          </w:p>
        </w:tc>
        <w:tc>
          <w:tcPr>
            <w:tcW w:w="90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084FFA0" w14:textId="6FF21228" w:rsidR="00650370" w:rsidRPr="00D357E4" w:rsidRDefault="00BB314F" w:rsidP="00367777">
            <w:pPr>
              <w:spacing w:after="0" w:line="240" w:lineRule="auto"/>
              <w:jc w:val="both"/>
              <w:rPr>
                <w:rFonts w:ascii="Verdana" w:hAnsi="Verdana" w:cs="Calibri"/>
                <w:b/>
                <w:bCs/>
                <w:color w:val="000000"/>
                <w:sz w:val="24"/>
                <w:szCs w:val="24"/>
              </w:rPr>
            </w:pPr>
            <w:r w:rsidRPr="00D357E4">
              <w:rPr>
                <w:rFonts w:ascii="Verdana" w:hAnsi="Verdana" w:cs="Calibri"/>
                <w:b/>
                <w:bCs/>
                <w:color w:val="000000"/>
                <w:sz w:val="24"/>
                <w:szCs w:val="24"/>
              </w:rPr>
              <w:t>50</w:t>
            </w:r>
          </w:p>
        </w:tc>
        <w:tc>
          <w:tcPr>
            <w:tcW w:w="145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94F868C" w14:textId="34AF843D" w:rsidR="00650370" w:rsidRPr="00D357E4" w:rsidRDefault="0076562C" w:rsidP="00367777">
            <w:pPr>
              <w:spacing w:after="0" w:line="240" w:lineRule="auto"/>
              <w:jc w:val="both"/>
              <w:rPr>
                <w:rFonts w:ascii="Verdana" w:hAnsi="Verdana" w:cs="Calibri"/>
                <w:b/>
                <w:bCs/>
                <w:color w:val="000000"/>
                <w:sz w:val="24"/>
                <w:szCs w:val="24"/>
              </w:rPr>
            </w:pPr>
            <w:r w:rsidRPr="00D357E4">
              <w:rPr>
                <w:rFonts w:ascii="Verdana" w:hAnsi="Verdana" w:cs="Calibri"/>
                <w:b/>
                <w:bCs/>
                <w:color w:val="000000"/>
                <w:sz w:val="24"/>
                <w:szCs w:val="24"/>
              </w:rPr>
              <w:t>50</w:t>
            </w:r>
          </w:p>
        </w:tc>
        <w:tc>
          <w:tcPr>
            <w:tcW w:w="783"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14:paraId="2AE99881" w14:textId="4C70EDCE" w:rsidR="00650370" w:rsidRPr="00D357E4" w:rsidRDefault="0076562C" w:rsidP="00367777">
            <w:pPr>
              <w:spacing w:after="0" w:line="240" w:lineRule="auto"/>
              <w:jc w:val="both"/>
              <w:rPr>
                <w:rFonts w:ascii="Verdana" w:hAnsi="Verdana" w:cs="Calibri"/>
                <w:b/>
                <w:bCs/>
                <w:color w:val="000000"/>
                <w:sz w:val="24"/>
                <w:szCs w:val="24"/>
              </w:rPr>
            </w:pPr>
            <w:r w:rsidRPr="00D357E4">
              <w:rPr>
                <w:rFonts w:ascii="Verdana" w:hAnsi="Verdana" w:cs="Calibri"/>
                <w:b/>
                <w:bCs/>
                <w:color w:val="000000"/>
                <w:sz w:val="24"/>
                <w:szCs w:val="24"/>
              </w:rPr>
              <w:t>100</w:t>
            </w:r>
          </w:p>
        </w:tc>
      </w:tr>
    </w:tbl>
    <w:p w14:paraId="374219F0" w14:textId="77777777" w:rsidR="003953C5" w:rsidRPr="00D357E4" w:rsidRDefault="003953C5" w:rsidP="006B0F69">
      <w:pPr>
        <w:spacing w:after="0" w:line="240" w:lineRule="auto"/>
        <w:jc w:val="both"/>
        <w:rPr>
          <w:rFonts w:ascii="Verdana" w:hAnsi="Verdana"/>
          <w:b/>
          <w:bCs/>
          <w:sz w:val="20"/>
          <w:szCs w:val="20"/>
        </w:rPr>
      </w:pPr>
    </w:p>
    <w:p w14:paraId="7CCEB69C" w14:textId="6C55EBC0" w:rsidR="008A1133" w:rsidRPr="00D357E4" w:rsidRDefault="00F51750" w:rsidP="006B0F69">
      <w:pPr>
        <w:spacing w:after="0" w:line="240" w:lineRule="auto"/>
        <w:jc w:val="both"/>
        <w:rPr>
          <w:rFonts w:ascii="Verdana" w:hAnsi="Verdana"/>
          <w:sz w:val="20"/>
          <w:szCs w:val="20"/>
        </w:rPr>
      </w:pPr>
      <w:r w:rsidRPr="00D357E4">
        <w:rPr>
          <w:rFonts w:ascii="Verdana" w:hAnsi="Verdana"/>
          <w:b/>
          <w:bCs/>
          <w:sz w:val="20"/>
          <w:szCs w:val="20"/>
        </w:rPr>
        <w:t>R</w:t>
      </w:r>
      <w:r w:rsidR="00676D6F" w:rsidRPr="00D357E4">
        <w:rPr>
          <w:rFonts w:ascii="Verdana" w:hAnsi="Verdana"/>
          <w:b/>
          <w:bCs/>
          <w:sz w:val="20"/>
          <w:szCs w:val="20"/>
        </w:rPr>
        <w:t>épartition du personnel</w:t>
      </w:r>
      <w:r w:rsidR="00676D6F" w:rsidRPr="00D357E4">
        <w:rPr>
          <w:rFonts w:ascii="Verdana" w:hAnsi="Verdana"/>
          <w:sz w:val="20"/>
          <w:szCs w:val="20"/>
        </w:rPr>
        <w:t xml:space="preserve"> : </w:t>
      </w:r>
    </w:p>
    <w:p w14:paraId="76826BC4" w14:textId="77777777" w:rsidR="00FA1975" w:rsidRPr="00D357E4" w:rsidRDefault="00FA1975" w:rsidP="006B0F69">
      <w:pPr>
        <w:spacing w:after="0" w:line="240" w:lineRule="auto"/>
        <w:jc w:val="both"/>
        <w:rPr>
          <w:rFonts w:ascii="Verdana" w:hAnsi="Verdana"/>
          <w:sz w:val="20"/>
          <w:szCs w:val="20"/>
        </w:rPr>
      </w:pPr>
    </w:p>
    <w:p w14:paraId="16C83ECF" w14:textId="5B20B1A6" w:rsidR="00C02228" w:rsidRPr="00D357E4" w:rsidRDefault="007E7342" w:rsidP="006B0F69">
      <w:pPr>
        <w:spacing w:after="0" w:line="240" w:lineRule="auto"/>
        <w:jc w:val="both"/>
        <w:rPr>
          <w:rFonts w:ascii="Verdana" w:hAnsi="Verdana"/>
          <w:sz w:val="20"/>
          <w:szCs w:val="20"/>
        </w:rPr>
      </w:pPr>
      <w:r w:rsidRPr="00D357E4">
        <w:rPr>
          <w:noProof/>
        </w:rPr>
        <w:drawing>
          <wp:inline distT="0" distB="0" distL="0" distR="0" wp14:anchorId="37D5ECDE" wp14:editId="3A96FD30">
            <wp:extent cx="2257425" cy="2447925"/>
            <wp:effectExtent l="0" t="0" r="9525" b="9525"/>
            <wp:docPr id="369911874" name="Chart 1">
              <a:extLst xmlns:a="http://schemas.openxmlformats.org/drawingml/2006/main">
                <a:ext uri="{FF2B5EF4-FFF2-40B4-BE49-F238E27FC236}">
                  <a16:creationId xmlns:a16="http://schemas.microsoft.com/office/drawing/2014/main" id="{40D7AD76-A666-4D43-8739-08DFD48CDD6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00FA1975" w:rsidRPr="00D357E4">
        <w:rPr>
          <w:rFonts w:ascii="Verdana" w:hAnsi="Verdana"/>
          <w:sz w:val="20"/>
          <w:szCs w:val="20"/>
        </w:rPr>
        <w:t xml:space="preserve">    </w:t>
      </w:r>
    </w:p>
    <w:p w14:paraId="69EB26F0" w14:textId="77777777" w:rsidR="00ED1185" w:rsidRPr="00D357E4" w:rsidRDefault="00ED1185" w:rsidP="006B0F69">
      <w:pPr>
        <w:spacing w:after="0" w:line="240" w:lineRule="auto"/>
        <w:jc w:val="both"/>
        <w:rPr>
          <w:rFonts w:ascii="Verdana" w:hAnsi="Verdana"/>
          <w:sz w:val="20"/>
          <w:szCs w:val="20"/>
        </w:rPr>
      </w:pPr>
    </w:p>
    <w:p w14:paraId="0B070925" w14:textId="77777777" w:rsidR="008A1133" w:rsidRPr="00D357E4" w:rsidRDefault="008A1133" w:rsidP="006B0F69">
      <w:pPr>
        <w:spacing w:after="0" w:line="240" w:lineRule="auto"/>
        <w:jc w:val="both"/>
        <w:rPr>
          <w:rFonts w:ascii="Verdana" w:hAnsi="Verdana"/>
          <w:sz w:val="20"/>
          <w:szCs w:val="20"/>
        </w:rPr>
      </w:pPr>
    </w:p>
    <w:p w14:paraId="27F680EC" w14:textId="27C19158" w:rsidR="008A1133" w:rsidRPr="00D357E4" w:rsidRDefault="00F51750" w:rsidP="006B0F69">
      <w:pPr>
        <w:spacing w:after="0" w:line="240" w:lineRule="auto"/>
        <w:jc w:val="both"/>
        <w:rPr>
          <w:rFonts w:ascii="Verdana" w:hAnsi="Verdana"/>
          <w:sz w:val="20"/>
          <w:szCs w:val="20"/>
        </w:rPr>
      </w:pPr>
      <w:r w:rsidRPr="00D357E4">
        <w:rPr>
          <w:rFonts w:ascii="Verdana" w:hAnsi="Verdana"/>
          <w:b/>
          <w:bCs/>
          <w:sz w:val="20"/>
          <w:szCs w:val="20"/>
        </w:rPr>
        <w:t>Répartition géographique des</w:t>
      </w:r>
      <w:r w:rsidR="008A1133" w:rsidRPr="00D357E4">
        <w:rPr>
          <w:rFonts w:ascii="Verdana" w:hAnsi="Verdana"/>
          <w:b/>
          <w:bCs/>
          <w:sz w:val="20"/>
          <w:szCs w:val="20"/>
        </w:rPr>
        <w:t xml:space="preserve"> cadres professionnels et intermédiaires à recrutement régional</w:t>
      </w:r>
      <w:r w:rsidR="008A1133" w:rsidRPr="00D357E4">
        <w:rPr>
          <w:rFonts w:ascii="Verdana" w:hAnsi="Verdana"/>
          <w:sz w:val="20"/>
          <w:szCs w:val="20"/>
        </w:rPr>
        <w:t> :</w:t>
      </w:r>
    </w:p>
    <w:p w14:paraId="36BCA538" w14:textId="19FB6F55" w:rsidR="008A1133" w:rsidRPr="00D357E4" w:rsidRDefault="00406B0C" w:rsidP="006B0F69">
      <w:pPr>
        <w:pStyle w:val="Paragraphedeliste"/>
        <w:numPr>
          <w:ilvl w:val="0"/>
          <w:numId w:val="10"/>
        </w:numPr>
        <w:spacing w:after="0" w:line="240" w:lineRule="auto"/>
        <w:jc w:val="both"/>
        <w:rPr>
          <w:rFonts w:ascii="Verdana" w:hAnsi="Verdana"/>
          <w:sz w:val="20"/>
          <w:szCs w:val="20"/>
        </w:rPr>
      </w:pPr>
      <w:r w:rsidRPr="00D357E4">
        <w:rPr>
          <w:rFonts w:ascii="Verdana" w:hAnsi="Verdana"/>
          <w:sz w:val="20"/>
          <w:szCs w:val="20"/>
        </w:rPr>
        <w:t xml:space="preserve">47 </w:t>
      </w:r>
      <w:r w:rsidR="008A1133" w:rsidRPr="00D357E4">
        <w:rPr>
          <w:rFonts w:ascii="Verdana" w:hAnsi="Verdana"/>
          <w:sz w:val="20"/>
          <w:szCs w:val="20"/>
        </w:rPr>
        <w:t xml:space="preserve">% d’agents de nationalité malgache, </w:t>
      </w:r>
    </w:p>
    <w:p w14:paraId="7E1B13C1" w14:textId="74855741" w:rsidR="008A1133" w:rsidRPr="00D357E4" w:rsidRDefault="00406B0C" w:rsidP="006B0F69">
      <w:pPr>
        <w:pStyle w:val="Paragraphedeliste"/>
        <w:numPr>
          <w:ilvl w:val="0"/>
          <w:numId w:val="10"/>
        </w:numPr>
        <w:spacing w:after="0" w:line="240" w:lineRule="auto"/>
        <w:jc w:val="both"/>
        <w:rPr>
          <w:rFonts w:ascii="Verdana" w:hAnsi="Verdana"/>
          <w:sz w:val="20"/>
          <w:szCs w:val="20"/>
        </w:rPr>
      </w:pPr>
      <w:r w:rsidRPr="00D357E4">
        <w:rPr>
          <w:rFonts w:ascii="Verdana" w:hAnsi="Verdana"/>
          <w:sz w:val="20"/>
          <w:szCs w:val="20"/>
        </w:rPr>
        <w:t xml:space="preserve">30 </w:t>
      </w:r>
      <w:r w:rsidR="008A1133" w:rsidRPr="00D357E4">
        <w:rPr>
          <w:rFonts w:ascii="Verdana" w:hAnsi="Verdana"/>
          <w:sz w:val="20"/>
          <w:szCs w:val="20"/>
        </w:rPr>
        <w:t xml:space="preserve">% de nationalité mauricienne, </w:t>
      </w:r>
    </w:p>
    <w:p w14:paraId="6FD1DF14" w14:textId="79711D67" w:rsidR="008A1133" w:rsidRPr="00D357E4" w:rsidRDefault="008D1440" w:rsidP="006B0F69">
      <w:pPr>
        <w:pStyle w:val="Paragraphedeliste"/>
        <w:numPr>
          <w:ilvl w:val="0"/>
          <w:numId w:val="10"/>
        </w:numPr>
        <w:spacing w:after="0" w:line="240" w:lineRule="auto"/>
        <w:jc w:val="both"/>
        <w:rPr>
          <w:rFonts w:ascii="Verdana" w:hAnsi="Verdana"/>
          <w:sz w:val="20"/>
          <w:szCs w:val="20"/>
        </w:rPr>
      </w:pPr>
      <w:r w:rsidRPr="00D357E4">
        <w:rPr>
          <w:rFonts w:ascii="Verdana" w:hAnsi="Verdana"/>
          <w:sz w:val="20"/>
          <w:szCs w:val="20"/>
        </w:rPr>
        <w:t xml:space="preserve">9 </w:t>
      </w:r>
      <w:r w:rsidR="008A1133" w:rsidRPr="00D357E4">
        <w:rPr>
          <w:rFonts w:ascii="Verdana" w:hAnsi="Verdana"/>
          <w:sz w:val="20"/>
          <w:szCs w:val="20"/>
        </w:rPr>
        <w:t>% de nationalité française,</w:t>
      </w:r>
    </w:p>
    <w:p w14:paraId="6167E7CB" w14:textId="4CCF6D5C" w:rsidR="008A1133" w:rsidRPr="00D357E4" w:rsidRDefault="008D1440" w:rsidP="006B0F69">
      <w:pPr>
        <w:pStyle w:val="Paragraphedeliste"/>
        <w:numPr>
          <w:ilvl w:val="0"/>
          <w:numId w:val="10"/>
        </w:numPr>
        <w:spacing w:after="0" w:line="240" w:lineRule="auto"/>
        <w:jc w:val="both"/>
        <w:rPr>
          <w:rFonts w:ascii="Verdana" w:hAnsi="Verdana"/>
          <w:sz w:val="20"/>
          <w:szCs w:val="20"/>
        </w:rPr>
      </w:pPr>
      <w:r w:rsidRPr="00D357E4">
        <w:rPr>
          <w:rFonts w:ascii="Verdana" w:hAnsi="Verdana"/>
          <w:sz w:val="20"/>
          <w:szCs w:val="20"/>
        </w:rPr>
        <w:t xml:space="preserve">9 </w:t>
      </w:r>
      <w:r w:rsidR="008A1133" w:rsidRPr="00D357E4">
        <w:rPr>
          <w:rFonts w:ascii="Verdana" w:hAnsi="Verdana"/>
          <w:sz w:val="20"/>
          <w:szCs w:val="20"/>
        </w:rPr>
        <w:t xml:space="preserve">% de nationalité comorienne, </w:t>
      </w:r>
    </w:p>
    <w:p w14:paraId="6A343561" w14:textId="4CA33212" w:rsidR="008A1133" w:rsidRPr="00D357E4" w:rsidRDefault="008D1440" w:rsidP="006B0F69">
      <w:pPr>
        <w:pStyle w:val="Paragraphedeliste"/>
        <w:numPr>
          <w:ilvl w:val="0"/>
          <w:numId w:val="10"/>
        </w:numPr>
        <w:spacing w:after="0" w:line="240" w:lineRule="auto"/>
        <w:jc w:val="both"/>
        <w:rPr>
          <w:rFonts w:ascii="Verdana" w:hAnsi="Verdana"/>
          <w:sz w:val="20"/>
          <w:szCs w:val="20"/>
        </w:rPr>
      </w:pPr>
      <w:r w:rsidRPr="00D357E4">
        <w:rPr>
          <w:rFonts w:ascii="Verdana" w:hAnsi="Verdana"/>
          <w:sz w:val="20"/>
          <w:szCs w:val="20"/>
        </w:rPr>
        <w:t xml:space="preserve">5 </w:t>
      </w:r>
      <w:r w:rsidR="008A1133" w:rsidRPr="00D357E4">
        <w:rPr>
          <w:rFonts w:ascii="Verdana" w:hAnsi="Verdana"/>
          <w:sz w:val="20"/>
          <w:szCs w:val="20"/>
        </w:rPr>
        <w:t xml:space="preserve">% de nationalité seychelloise. </w:t>
      </w:r>
    </w:p>
    <w:p w14:paraId="6FF0B3E2" w14:textId="77777777" w:rsidR="008A1133" w:rsidRPr="00D357E4" w:rsidRDefault="008A1133" w:rsidP="006B0F69">
      <w:pPr>
        <w:spacing w:after="0" w:line="240" w:lineRule="auto"/>
        <w:jc w:val="both"/>
        <w:rPr>
          <w:rFonts w:ascii="Verdana" w:hAnsi="Verdana"/>
          <w:sz w:val="20"/>
          <w:szCs w:val="20"/>
        </w:rPr>
      </w:pPr>
    </w:p>
    <w:p w14:paraId="0031E9A7" w14:textId="6B202555" w:rsidR="008A1133" w:rsidRPr="00D357E4" w:rsidRDefault="008A1133" w:rsidP="006B0F69">
      <w:pPr>
        <w:spacing w:after="0" w:line="240" w:lineRule="auto"/>
        <w:jc w:val="both"/>
        <w:rPr>
          <w:rFonts w:ascii="Verdana" w:hAnsi="Verdana"/>
          <w:sz w:val="20"/>
          <w:szCs w:val="20"/>
        </w:rPr>
      </w:pPr>
      <w:r w:rsidRPr="00D357E4">
        <w:rPr>
          <w:rFonts w:ascii="Verdana" w:hAnsi="Verdana"/>
          <w:sz w:val="20"/>
          <w:szCs w:val="20"/>
        </w:rPr>
        <w:t xml:space="preserve">Le pourcentage de femmes parmi l’effectif total est de </w:t>
      </w:r>
      <w:r w:rsidR="0052699E" w:rsidRPr="00D357E4">
        <w:rPr>
          <w:rFonts w:ascii="Verdana" w:hAnsi="Verdana"/>
          <w:sz w:val="20"/>
          <w:szCs w:val="20"/>
        </w:rPr>
        <w:t xml:space="preserve">47 </w:t>
      </w:r>
      <w:r w:rsidRPr="00D357E4">
        <w:rPr>
          <w:rFonts w:ascii="Verdana" w:hAnsi="Verdana"/>
          <w:sz w:val="20"/>
          <w:szCs w:val="20"/>
        </w:rPr>
        <w:t>% (</w:t>
      </w:r>
      <w:r w:rsidRPr="00D357E4">
        <w:rPr>
          <w:rFonts w:ascii="Verdana" w:hAnsi="Verdana"/>
          <w:b/>
          <w:bCs/>
          <w:sz w:val="20"/>
          <w:szCs w:val="20"/>
        </w:rPr>
        <w:t xml:space="preserve">Cf.  </w:t>
      </w:r>
      <w:bookmarkStart w:id="1" w:name="_Hlk120897431"/>
      <w:r w:rsidRPr="00D357E4">
        <w:rPr>
          <w:rFonts w:ascii="Verdana" w:hAnsi="Verdana"/>
          <w:b/>
          <w:bCs/>
          <w:sz w:val="20"/>
          <w:szCs w:val="20"/>
        </w:rPr>
        <w:t>Distribution du personnel par catégorie</w:t>
      </w:r>
      <w:bookmarkEnd w:id="1"/>
      <w:r w:rsidRPr="00D357E4">
        <w:rPr>
          <w:rFonts w:ascii="Verdana" w:hAnsi="Verdana"/>
          <w:b/>
          <w:bCs/>
          <w:sz w:val="20"/>
          <w:szCs w:val="20"/>
        </w:rPr>
        <w:t>-Annexe 2)</w:t>
      </w:r>
      <w:r w:rsidRPr="00D357E4">
        <w:rPr>
          <w:rFonts w:ascii="Verdana" w:hAnsi="Verdana"/>
          <w:sz w:val="20"/>
          <w:szCs w:val="20"/>
        </w:rPr>
        <w:t xml:space="preserve">   </w:t>
      </w:r>
    </w:p>
    <w:p w14:paraId="4D05E476" w14:textId="77777777" w:rsidR="003953C5" w:rsidRPr="00D357E4" w:rsidRDefault="003953C5" w:rsidP="006B0F69">
      <w:pPr>
        <w:spacing w:after="0" w:line="240" w:lineRule="auto"/>
        <w:jc w:val="both"/>
        <w:rPr>
          <w:rFonts w:ascii="Verdana" w:hAnsi="Verdana"/>
          <w:sz w:val="20"/>
          <w:szCs w:val="20"/>
        </w:rPr>
      </w:pPr>
    </w:p>
    <w:p w14:paraId="07B831A1" w14:textId="77777777" w:rsidR="00C45BFC" w:rsidRPr="00D357E4" w:rsidRDefault="00C45BFC" w:rsidP="006B0F69">
      <w:pPr>
        <w:spacing w:after="0" w:line="240" w:lineRule="auto"/>
        <w:jc w:val="both"/>
        <w:rPr>
          <w:rFonts w:ascii="Verdana" w:hAnsi="Verdana"/>
          <w:sz w:val="20"/>
          <w:szCs w:val="20"/>
        </w:rPr>
      </w:pPr>
    </w:p>
    <w:p w14:paraId="0A84ABD6" w14:textId="77777777" w:rsidR="00C45BFC" w:rsidRPr="00D357E4" w:rsidRDefault="00C45BFC" w:rsidP="006B0F69">
      <w:pPr>
        <w:spacing w:after="0" w:line="240" w:lineRule="auto"/>
        <w:jc w:val="both"/>
        <w:rPr>
          <w:rFonts w:ascii="Verdana" w:hAnsi="Verdana"/>
          <w:sz w:val="20"/>
          <w:szCs w:val="20"/>
        </w:rPr>
      </w:pPr>
    </w:p>
    <w:p w14:paraId="5F099B55" w14:textId="77777777" w:rsidR="005E5B55" w:rsidRPr="00D357E4" w:rsidRDefault="005E5B55" w:rsidP="006B0F69">
      <w:pPr>
        <w:spacing w:after="0" w:line="240" w:lineRule="auto"/>
        <w:jc w:val="both"/>
        <w:rPr>
          <w:rFonts w:ascii="Verdana" w:hAnsi="Verdana"/>
          <w:sz w:val="20"/>
          <w:szCs w:val="20"/>
        </w:rPr>
      </w:pPr>
    </w:p>
    <w:p w14:paraId="6706604D" w14:textId="77777777" w:rsidR="00562E4C" w:rsidRPr="00D357E4" w:rsidRDefault="00562E4C" w:rsidP="006B0F69">
      <w:pPr>
        <w:spacing w:after="0" w:line="240" w:lineRule="auto"/>
        <w:jc w:val="both"/>
        <w:rPr>
          <w:rFonts w:ascii="Verdana" w:hAnsi="Verdana"/>
          <w:sz w:val="20"/>
          <w:szCs w:val="20"/>
        </w:rPr>
      </w:pPr>
    </w:p>
    <w:p w14:paraId="03D6E49D" w14:textId="77777777" w:rsidR="00562E4C" w:rsidRPr="00D357E4" w:rsidRDefault="00562E4C" w:rsidP="006B0F69">
      <w:pPr>
        <w:spacing w:after="0" w:line="240" w:lineRule="auto"/>
        <w:jc w:val="both"/>
        <w:rPr>
          <w:rFonts w:ascii="Verdana" w:hAnsi="Verdana"/>
          <w:sz w:val="20"/>
          <w:szCs w:val="20"/>
        </w:rPr>
      </w:pPr>
    </w:p>
    <w:p w14:paraId="26D32814" w14:textId="77777777" w:rsidR="00562E4C" w:rsidRPr="00D357E4" w:rsidRDefault="00562E4C" w:rsidP="006B0F69">
      <w:pPr>
        <w:spacing w:after="0" w:line="240" w:lineRule="auto"/>
        <w:jc w:val="both"/>
        <w:rPr>
          <w:rFonts w:ascii="Verdana" w:hAnsi="Verdana"/>
          <w:sz w:val="20"/>
          <w:szCs w:val="20"/>
        </w:rPr>
      </w:pPr>
    </w:p>
    <w:p w14:paraId="181A0A4D" w14:textId="77777777" w:rsidR="00562E4C" w:rsidRPr="00D357E4" w:rsidRDefault="00562E4C" w:rsidP="006B0F69">
      <w:pPr>
        <w:spacing w:after="0" w:line="240" w:lineRule="auto"/>
        <w:jc w:val="both"/>
        <w:rPr>
          <w:rFonts w:ascii="Verdana" w:hAnsi="Verdana"/>
          <w:sz w:val="20"/>
          <w:szCs w:val="20"/>
        </w:rPr>
      </w:pPr>
    </w:p>
    <w:p w14:paraId="26E25F63" w14:textId="77777777" w:rsidR="00562E4C" w:rsidRPr="00D357E4" w:rsidRDefault="00562E4C" w:rsidP="006B0F69">
      <w:pPr>
        <w:spacing w:after="0" w:line="240" w:lineRule="auto"/>
        <w:jc w:val="both"/>
        <w:rPr>
          <w:rFonts w:ascii="Verdana" w:hAnsi="Verdana"/>
          <w:sz w:val="20"/>
          <w:szCs w:val="20"/>
        </w:rPr>
      </w:pPr>
    </w:p>
    <w:p w14:paraId="01FF1B3C" w14:textId="77777777" w:rsidR="00562E4C" w:rsidRPr="00D357E4" w:rsidRDefault="00562E4C" w:rsidP="006B0F69">
      <w:pPr>
        <w:spacing w:after="0" w:line="240" w:lineRule="auto"/>
        <w:jc w:val="both"/>
        <w:rPr>
          <w:rFonts w:ascii="Verdana" w:hAnsi="Verdana"/>
          <w:sz w:val="20"/>
          <w:szCs w:val="20"/>
        </w:rPr>
      </w:pPr>
    </w:p>
    <w:p w14:paraId="00B14C5C" w14:textId="77777777" w:rsidR="00562E4C" w:rsidRPr="00D357E4" w:rsidRDefault="00562E4C" w:rsidP="006B0F69">
      <w:pPr>
        <w:spacing w:after="0" w:line="240" w:lineRule="auto"/>
        <w:jc w:val="both"/>
        <w:rPr>
          <w:rFonts w:ascii="Verdana" w:hAnsi="Verdana"/>
          <w:sz w:val="20"/>
          <w:szCs w:val="20"/>
        </w:rPr>
      </w:pPr>
    </w:p>
    <w:p w14:paraId="744A7A2C" w14:textId="77777777" w:rsidR="005E5B55" w:rsidRPr="00D357E4" w:rsidRDefault="005E5B55" w:rsidP="006B0F69">
      <w:pPr>
        <w:spacing w:after="0" w:line="240" w:lineRule="auto"/>
        <w:jc w:val="both"/>
        <w:rPr>
          <w:rFonts w:ascii="Verdana" w:hAnsi="Verdana"/>
          <w:sz w:val="20"/>
          <w:szCs w:val="20"/>
        </w:rPr>
      </w:pPr>
    </w:p>
    <w:p w14:paraId="7AE8A928" w14:textId="77777777" w:rsidR="00C45BFC" w:rsidRPr="00D357E4" w:rsidRDefault="00C45BFC" w:rsidP="006B0F69">
      <w:pPr>
        <w:spacing w:after="0" w:line="240" w:lineRule="auto"/>
        <w:jc w:val="both"/>
        <w:rPr>
          <w:rFonts w:ascii="Verdana" w:hAnsi="Verdana"/>
          <w:sz w:val="20"/>
          <w:szCs w:val="20"/>
        </w:rPr>
      </w:pPr>
    </w:p>
    <w:p w14:paraId="68009DDB" w14:textId="310BD11B" w:rsidR="0008468B" w:rsidRPr="00D357E4" w:rsidRDefault="00955BB3" w:rsidP="006B0F69">
      <w:pPr>
        <w:pStyle w:val="Titrepartie"/>
      </w:pPr>
      <w:r w:rsidRPr="00D357E4">
        <w:t>Etat d’avancement</w:t>
      </w:r>
      <w:r w:rsidR="00F71F8D" w:rsidRPr="00D357E4">
        <w:t xml:space="preserve"> </w:t>
      </w:r>
    </w:p>
    <w:p w14:paraId="48AB0783" w14:textId="56C5F33A" w:rsidR="00426673" w:rsidRPr="00D357E4" w:rsidRDefault="00B571FA" w:rsidP="006B0F69">
      <w:pPr>
        <w:pStyle w:val="Sous-partie2"/>
      </w:pPr>
      <w:r w:rsidRPr="00D357E4">
        <w:t xml:space="preserve">Renforcement de la COI en ressources </w:t>
      </w:r>
      <w:r w:rsidR="005B3353" w:rsidRPr="00D357E4">
        <w:t>humaines -</w:t>
      </w:r>
      <w:r w:rsidR="00236E50" w:rsidRPr="00D357E4">
        <w:t xml:space="preserve"> </w:t>
      </w:r>
      <w:r w:rsidR="00F71F8D" w:rsidRPr="00D357E4">
        <w:t xml:space="preserve">Recrutement des 12 postes approuvés </w:t>
      </w:r>
      <w:r w:rsidR="00155011" w:rsidRPr="00D357E4">
        <w:t>le 12 avril 2024 par procédure écrite</w:t>
      </w:r>
    </w:p>
    <w:p w14:paraId="62D24FB7" w14:textId="2D61BF2B" w:rsidR="003D5BF3" w:rsidRPr="00D357E4" w:rsidRDefault="00667533" w:rsidP="006B0F69">
      <w:pPr>
        <w:pStyle w:val="Paragraphe"/>
      </w:pPr>
      <w:r w:rsidRPr="00D357E4">
        <w:t xml:space="preserve">Les recrutements des 12 postes du Secrétariat </w:t>
      </w:r>
      <w:r w:rsidR="00F819E5" w:rsidRPr="00D357E4">
        <w:t>g</w:t>
      </w:r>
      <w:r w:rsidRPr="00D357E4">
        <w:t xml:space="preserve">énéral ont </w:t>
      </w:r>
      <w:r w:rsidR="00140AF8" w:rsidRPr="00D357E4">
        <w:t>été finalisés.</w:t>
      </w:r>
    </w:p>
    <w:p w14:paraId="1BD0A243" w14:textId="3BBDE84E" w:rsidR="00140AF8" w:rsidRPr="00D357E4" w:rsidRDefault="00140AF8" w:rsidP="006B0F69">
      <w:pPr>
        <w:pStyle w:val="Paragraphe"/>
      </w:pPr>
      <w:r w:rsidRPr="00D357E4">
        <w:t xml:space="preserve">L’un des postes est </w:t>
      </w:r>
      <w:r w:rsidR="00B00EE2" w:rsidRPr="00D357E4">
        <w:t>toutefois</w:t>
      </w:r>
      <w:r w:rsidRPr="00D357E4">
        <w:t xml:space="preserve"> actuellement vacant </w:t>
      </w:r>
      <w:r w:rsidR="00F819E5" w:rsidRPr="00D357E4">
        <w:t xml:space="preserve">à la </w:t>
      </w:r>
      <w:r w:rsidRPr="00D357E4">
        <w:t xml:space="preserve">suite </w:t>
      </w:r>
      <w:r w:rsidR="00F819E5" w:rsidRPr="00D357E4">
        <w:t>de la</w:t>
      </w:r>
      <w:r w:rsidRPr="00D357E4">
        <w:t xml:space="preserve"> démission de </w:t>
      </w:r>
      <w:r w:rsidR="006B1B79">
        <w:t xml:space="preserve">son </w:t>
      </w:r>
      <w:r w:rsidR="00B00EE2" w:rsidRPr="00D357E4">
        <w:t>occupant</w:t>
      </w:r>
      <w:r w:rsidRPr="00D357E4">
        <w:t xml:space="preserve">, le </w:t>
      </w:r>
      <w:r w:rsidR="00B00EE2" w:rsidRPr="00D357E4">
        <w:t>processus</w:t>
      </w:r>
      <w:r w:rsidRPr="00D357E4">
        <w:t xml:space="preserve"> </w:t>
      </w:r>
      <w:r w:rsidR="00B00EE2" w:rsidRPr="00D357E4">
        <w:t>de sélection est donc de nouveau en cours.</w:t>
      </w:r>
    </w:p>
    <w:tbl>
      <w:tblPr>
        <w:tblW w:w="5000" w:type="pct"/>
        <w:tblLayout w:type="fixed"/>
        <w:tblLook w:val="04A0" w:firstRow="1" w:lastRow="0" w:firstColumn="1" w:lastColumn="0" w:noHBand="0" w:noVBand="1"/>
      </w:tblPr>
      <w:tblGrid>
        <w:gridCol w:w="562"/>
        <w:gridCol w:w="2695"/>
        <w:gridCol w:w="2972"/>
        <w:gridCol w:w="1367"/>
        <w:gridCol w:w="1466"/>
      </w:tblGrid>
      <w:tr w:rsidR="00550A29" w:rsidRPr="00D357E4" w14:paraId="4BF5A523" w14:textId="77777777" w:rsidTr="002E1D97">
        <w:trPr>
          <w:trHeight w:val="300"/>
        </w:trPr>
        <w:tc>
          <w:tcPr>
            <w:tcW w:w="310" w:type="pct"/>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547139EF" w14:textId="77777777" w:rsidR="003D5BF3" w:rsidRPr="00D357E4" w:rsidRDefault="003D5BF3" w:rsidP="006B0F69">
            <w:pPr>
              <w:spacing w:after="0" w:line="240" w:lineRule="auto"/>
              <w:jc w:val="both"/>
              <w:rPr>
                <w:rFonts w:ascii="Aptos Narrow" w:eastAsia="Times New Roman" w:hAnsi="Aptos Narrow" w:cs="Times New Roman"/>
                <w:b/>
                <w:color w:val="FFFFFF"/>
              </w:rPr>
            </w:pPr>
            <w:r w:rsidRPr="00D357E4">
              <w:rPr>
                <w:rFonts w:ascii="Aptos Narrow" w:eastAsia="Times New Roman" w:hAnsi="Aptos Narrow" w:cs="Times New Roman"/>
                <w:b/>
                <w:color w:val="FFFFFF"/>
              </w:rPr>
              <w:t>No</w:t>
            </w:r>
          </w:p>
        </w:tc>
        <w:tc>
          <w:tcPr>
            <w:tcW w:w="1487" w:type="pct"/>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16C85CD2" w14:textId="77777777" w:rsidR="003D5BF3" w:rsidRPr="00D357E4" w:rsidRDefault="003D5BF3" w:rsidP="006B0F69">
            <w:pPr>
              <w:spacing w:after="0" w:line="240" w:lineRule="auto"/>
              <w:jc w:val="both"/>
              <w:rPr>
                <w:rFonts w:ascii="Aptos Narrow" w:eastAsia="Times New Roman" w:hAnsi="Aptos Narrow" w:cs="Times New Roman"/>
                <w:b/>
                <w:color w:val="FFFFFF"/>
              </w:rPr>
            </w:pPr>
            <w:r w:rsidRPr="00D357E4">
              <w:rPr>
                <w:rFonts w:ascii="Aptos Narrow" w:eastAsia="Times New Roman" w:hAnsi="Aptos Narrow" w:cs="Times New Roman"/>
                <w:b/>
                <w:color w:val="FFFFFF"/>
              </w:rPr>
              <w:t>Nom</w:t>
            </w:r>
          </w:p>
        </w:tc>
        <w:tc>
          <w:tcPr>
            <w:tcW w:w="1640" w:type="pct"/>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1F9D9359" w14:textId="77777777" w:rsidR="003D5BF3" w:rsidRPr="00D357E4" w:rsidRDefault="003D5BF3" w:rsidP="006B0F69">
            <w:pPr>
              <w:spacing w:after="0" w:line="240" w:lineRule="auto"/>
              <w:jc w:val="both"/>
              <w:rPr>
                <w:rFonts w:ascii="Aptos Narrow" w:eastAsia="Times New Roman" w:hAnsi="Aptos Narrow" w:cs="Times New Roman"/>
                <w:b/>
                <w:color w:val="FFFFFF"/>
              </w:rPr>
            </w:pPr>
            <w:r w:rsidRPr="00D357E4">
              <w:rPr>
                <w:rFonts w:ascii="Aptos Narrow" w:eastAsia="Times New Roman" w:hAnsi="Aptos Narrow" w:cs="Times New Roman"/>
                <w:b/>
                <w:color w:val="FFFFFF"/>
              </w:rPr>
              <w:t>Poste</w:t>
            </w:r>
          </w:p>
        </w:tc>
        <w:tc>
          <w:tcPr>
            <w:tcW w:w="754" w:type="pct"/>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7B2A7380" w14:textId="77777777" w:rsidR="003D5BF3" w:rsidRPr="00D357E4" w:rsidRDefault="003D5BF3" w:rsidP="006B1B79">
            <w:pPr>
              <w:spacing w:after="0" w:line="240" w:lineRule="auto"/>
              <w:jc w:val="center"/>
              <w:rPr>
                <w:rFonts w:ascii="Aptos Narrow" w:eastAsia="Times New Roman" w:hAnsi="Aptos Narrow" w:cs="Times New Roman"/>
                <w:b/>
                <w:color w:val="FFFFFF"/>
              </w:rPr>
            </w:pPr>
            <w:r w:rsidRPr="00D357E4">
              <w:rPr>
                <w:rFonts w:ascii="Aptos Narrow" w:eastAsia="Times New Roman" w:hAnsi="Aptos Narrow" w:cs="Times New Roman"/>
                <w:b/>
                <w:color w:val="FFFFFF"/>
              </w:rPr>
              <w:t>Catégorie de contrat</w:t>
            </w:r>
          </w:p>
        </w:tc>
        <w:tc>
          <w:tcPr>
            <w:tcW w:w="809" w:type="pct"/>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269E0238" w14:textId="77777777" w:rsidR="003D5BF3" w:rsidRPr="00D357E4" w:rsidRDefault="003D5BF3" w:rsidP="006B1B79">
            <w:pPr>
              <w:spacing w:after="0" w:line="240" w:lineRule="auto"/>
              <w:jc w:val="center"/>
              <w:rPr>
                <w:rFonts w:ascii="Aptos Narrow" w:eastAsia="Times New Roman" w:hAnsi="Aptos Narrow" w:cs="Times New Roman"/>
                <w:b/>
                <w:color w:val="FFFFFF"/>
              </w:rPr>
            </w:pPr>
            <w:r w:rsidRPr="00D357E4">
              <w:rPr>
                <w:rFonts w:ascii="Aptos Narrow" w:eastAsia="Times New Roman" w:hAnsi="Aptos Narrow" w:cs="Times New Roman"/>
                <w:b/>
                <w:color w:val="FFFFFF"/>
              </w:rPr>
              <w:t>Date de prise de poste</w:t>
            </w:r>
          </w:p>
        </w:tc>
      </w:tr>
      <w:tr w:rsidR="002E1D97" w:rsidRPr="00D357E4" w14:paraId="5F1E0F82" w14:textId="77777777" w:rsidTr="002E1D97">
        <w:trPr>
          <w:trHeight w:val="300"/>
        </w:trPr>
        <w:tc>
          <w:tcPr>
            <w:tcW w:w="310" w:type="pct"/>
            <w:tcBorders>
              <w:top w:val="single" w:sz="4" w:space="0" w:color="auto"/>
              <w:left w:val="single" w:sz="4" w:space="0" w:color="auto"/>
              <w:bottom w:val="single" w:sz="4" w:space="0" w:color="auto"/>
              <w:right w:val="single" w:sz="4" w:space="0" w:color="auto"/>
            </w:tcBorders>
            <w:noWrap/>
            <w:vAlign w:val="bottom"/>
            <w:hideMark/>
          </w:tcPr>
          <w:p w14:paraId="0B812EB0" w14:textId="77777777" w:rsidR="003D5BF3" w:rsidRPr="00D357E4" w:rsidRDefault="003D5BF3" w:rsidP="006B0F69">
            <w:pPr>
              <w:spacing w:after="0" w:line="240" w:lineRule="auto"/>
              <w:jc w:val="both"/>
              <w:rPr>
                <w:rFonts w:ascii="Aptos Narrow" w:eastAsia="Times New Roman" w:hAnsi="Aptos Narrow" w:cs="Times New Roman"/>
                <w:color w:val="000000"/>
              </w:rPr>
            </w:pPr>
            <w:r w:rsidRPr="00D357E4">
              <w:rPr>
                <w:rFonts w:ascii="Aptos Narrow" w:eastAsia="Times New Roman" w:hAnsi="Aptos Narrow" w:cs="Times New Roman"/>
                <w:color w:val="000000"/>
              </w:rPr>
              <w:t>1</w:t>
            </w:r>
          </w:p>
        </w:tc>
        <w:tc>
          <w:tcPr>
            <w:tcW w:w="1487" w:type="pct"/>
            <w:tcBorders>
              <w:top w:val="single" w:sz="4" w:space="0" w:color="auto"/>
              <w:left w:val="single" w:sz="4" w:space="0" w:color="auto"/>
              <w:bottom w:val="single" w:sz="4" w:space="0" w:color="auto"/>
              <w:right w:val="single" w:sz="4" w:space="0" w:color="auto"/>
            </w:tcBorders>
            <w:noWrap/>
            <w:vAlign w:val="bottom"/>
            <w:hideMark/>
          </w:tcPr>
          <w:p w14:paraId="75E8CDC2" w14:textId="77777777" w:rsidR="003D5BF3" w:rsidRPr="00D357E4" w:rsidRDefault="003D5BF3" w:rsidP="006B0F69">
            <w:pPr>
              <w:spacing w:after="0" w:line="240" w:lineRule="auto"/>
              <w:jc w:val="both"/>
              <w:rPr>
                <w:rFonts w:ascii="Aptos Narrow" w:eastAsia="Times New Roman" w:hAnsi="Aptos Narrow" w:cs="Times New Roman"/>
                <w:color w:val="000000"/>
              </w:rPr>
            </w:pPr>
            <w:r w:rsidRPr="00D357E4">
              <w:rPr>
                <w:rFonts w:ascii="Aptos Narrow" w:eastAsia="Times New Roman" w:hAnsi="Aptos Narrow" w:cs="Times New Roman"/>
                <w:color w:val="000000"/>
              </w:rPr>
              <w:t>EL-ANZIZE Ali Boana Hidi</w:t>
            </w:r>
          </w:p>
        </w:tc>
        <w:tc>
          <w:tcPr>
            <w:tcW w:w="1640" w:type="pct"/>
            <w:tcBorders>
              <w:top w:val="single" w:sz="4" w:space="0" w:color="auto"/>
              <w:left w:val="single" w:sz="4" w:space="0" w:color="auto"/>
              <w:bottom w:val="single" w:sz="4" w:space="0" w:color="auto"/>
              <w:right w:val="single" w:sz="4" w:space="0" w:color="auto"/>
            </w:tcBorders>
            <w:noWrap/>
            <w:vAlign w:val="bottom"/>
            <w:hideMark/>
          </w:tcPr>
          <w:p w14:paraId="7F2A71AD" w14:textId="77777777" w:rsidR="003D5BF3" w:rsidRPr="00D357E4" w:rsidRDefault="003D5BF3" w:rsidP="006B0F69">
            <w:pPr>
              <w:spacing w:after="0" w:line="240" w:lineRule="auto"/>
              <w:jc w:val="both"/>
              <w:rPr>
                <w:rFonts w:ascii="Aptos Narrow" w:eastAsia="Times New Roman" w:hAnsi="Aptos Narrow" w:cs="Times New Roman"/>
                <w:color w:val="000000"/>
              </w:rPr>
            </w:pPr>
            <w:r w:rsidRPr="00D357E4">
              <w:rPr>
                <w:rFonts w:ascii="Aptos Narrow" w:eastAsia="Times New Roman" w:hAnsi="Aptos Narrow" w:cs="Times New Roman"/>
                <w:color w:val="000000"/>
              </w:rPr>
              <w:t>Spécialiste en Passation de marchés et dématérialisation</w:t>
            </w:r>
          </w:p>
        </w:tc>
        <w:tc>
          <w:tcPr>
            <w:tcW w:w="754" w:type="pct"/>
            <w:tcBorders>
              <w:top w:val="single" w:sz="4" w:space="0" w:color="auto"/>
              <w:left w:val="single" w:sz="4" w:space="0" w:color="auto"/>
              <w:bottom w:val="single" w:sz="4" w:space="0" w:color="auto"/>
              <w:right w:val="single" w:sz="4" w:space="0" w:color="auto"/>
            </w:tcBorders>
            <w:noWrap/>
            <w:vAlign w:val="bottom"/>
            <w:hideMark/>
          </w:tcPr>
          <w:p w14:paraId="1A57F0C3" w14:textId="77777777" w:rsidR="003D5BF3" w:rsidRPr="00D357E4" w:rsidRDefault="003D5BF3" w:rsidP="006B1B79">
            <w:pPr>
              <w:spacing w:after="0" w:line="240" w:lineRule="auto"/>
              <w:jc w:val="center"/>
              <w:rPr>
                <w:rFonts w:ascii="Aptos Narrow" w:eastAsia="Times New Roman" w:hAnsi="Aptos Narrow" w:cs="Times New Roman"/>
                <w:color w:val="000000"/>
              </w:rPr>
            </w:pPr>
            <w:r w:rsidRPr="00D357E4">
              <w:rPr>
                <w:rFonts w:ascii="Aptos Narrow" w:eastAsia="Times New Roman" w:hAnsi="Aptos Narrow" w:cs="Times New Roman"/>
                <w:color w:val="000000"/>
              </w:rPr>
              <w:t>CI</w:t>
            </w:r>
          </w:p>
        </w:tc>
        <w:tc>
          <w:tcPr>
            <w:tcW w:w="809" w:type="pct"/>
            <w:tcBorders>
              <w:top w:val="single" w:sz="4" w:space="0" w:color="auto"/>
              <w:left w:val="single" w:sz="4" w:space="0" w:color="auto"/>
              <w:bottom w:val="single" w:sz="4" w:space="0" w:color="auto"/>
              <w:right w:val="single" w:sz="4" w:space="0" w:color="auto"/>
            </w:tcBorders>
            <w:noWrap/>
            <w:vAlign w:val="bottom"/>
            <w:hideMark/>
          </w:tcPr>
          <w:p w14:paraId="3ABC2682" w14:textId="01915138" w:rsidR="003D5BF3" w:rsidRPr="00D357E4" w:rsidRDefault="001327E4" w:rsidP="006B1B79">
            <w:pPr>
              <w:spacing w:after="0" w:line="240" w:lineRule="auto"/>
              <w:jc w:val="center"/>
              <w:rPr>
                <w:rFonts w:ascii="Aptos Narrow" w:eastAsia="Times New Roman" w:hAnsi="Aptos Narrow" w:cs="Times New Roman"/>
                <w:color w:val="000000"/>
              </w:rPr>
            </w:pPr>
            <w:r w:rsidRPr="00D357E4">
              <w:rPr>
                <w:rFonts w:ascii="Aptos Narrow" w:eastAsia="Times New Roman" w:hAnsi="Aptos Narrow" w:cs="Times New Roman"/>
                <w:color w:val="000000"/>
              </w:rPr>
              <w:t>30-août-</w:t>
            </w:r>
            <w:r w:rsidR="003D5BF3" w:rsidRPr="00D357E4">
              <w:rPr>
                <w:rFonts w:ascii="Aptos Narrow" w:eastAsia="Times New Roman" w:hAnsi="Aptos Narrow" w:cs="Times New Roman"/>
                <w:color w:val="000000"/>
              </w:rPr>
              <w:t>24</w:t>
            </w:r>
          </w:p>
        </w:tc>
      </w:tr>
      <w:tr w:rsidR="002E1D97" w:rsidRPr="00D357E4" w14:paraId="39EF5C98" w14:textId="77777777" w:rsidTr="002E1D97">
        <w:trPr>
          <w:trHeight w:val="300"/>
        </w:trPr>
        <w:tc>
          <w:tcPr>
            <w:tcW w:w="310" w:type="pct"/>
            <w:tcBorders>
              <w:top w:val="single" w:sz="4" w:space="0" w:color="auto"/>
              <w:left w:val="single" w:sz="4" w:space="0" w:color="auto"/>
              <w:bottom w:val="single" w:sz="4" w:space="0" w:color="auto"/>
              <w:right w:val="single" w:sz="4" w:space="0" w:color="auto"/>
            </w:tcBorders>
            <w:noWrap/>
            <w:vAlign w:val="bottom"/>
            <w:hideMark/>
          </w:tcPr>
          <w:p w14:paraId="1F45D69B" w14:textId="77777777" w:rsidR="003D5BF3" w:rsidRPr="00D357E4" w:rsidRDefault="003D5BF3" w:rsidP="006B0F69">
            <w:pPr>
              <w:spacing w:after="0" w:line="240" w:lineRule="auto"/>
              <w:jc w:val="both"/>
              <w:rPr>
                <w:rFonts w:ascii="Aptos Narrow" w:eastAsia="Times New Roman" w:hAnsi="Aptos Narrow" w:cs="Times New Roman"/>
                <w:color w:val="000000"/>
              </w:rPr>
            </w:pPr>
            <w:r w:rsidRPr="00D357E4">
              <w:rPr>
                <w:rFonts w:ascii="Aptos Narrow" w:eastAsia="Times New Roman" w:hAnsi="Aptos Narrow" w:cs="Times New Roman"/>
                <w:color w:val="000000"/>
              </w:rPr>
              <w:t>2</w:t>
            </w:r>
          </w:p>
        </w:tc>
        <w:tc>
          <w:tcPr>
            <w:tcW w:w="1487" w:type="pct"/>
            <w:tcBorders>
              <w:top w:val="single" w:sz="4" w:space="0" w:color="auto"/>
              <w:left w:val="single" w:sz="4" w:space="0" w:color="auto"/>
              <w:bottom w:val="single" w:sz="4" w:space="0" w:color="auto"/>
              <w:right w:val="single" w:sz="4" w:space="0" w:color="auto"/>
            </w:tcBorders>
            <w:noWrap/>
            <w:vAlign w:val="bottom"/>
            <w:hideMark/>
          </w:tcPr>
          <w:p w14:paraId="5546ACC2" w14:textId="77777777" w:rsidR="003D5BF3" w:rsidRPr="00D357E4" w:rsidRDefault="003D5BF3" w:rsidP="006B0F69">
            <w:pPr>
              <w:spacing w:after="0" w:line="240" w:lineRule="auto"/>
              <w:jc w:val="both"/>
              <w:rPr>
                <w:rFonts w:ascii="Aptos Narrow" w:eastAsia="Times New Roman" w:hAnsi="Aptos Narrow" w:cs="Times New Roman"/>
                <w:color w:val="000000"/>
              </w:rPr>
            </w:pPr>
            <w:r w:rsidRPr="00D357E4">
              <w:rPr>
                <w:rFonts w:ascii="Aptos Narrow" w:eastAsia="Times New Roman" w:hAnsi="Aptos Narrow" w:cs="Times New Roman"/>
                <w:color w:val="000000"/>
              </w:rPr>
              <w:t>APPASAMY-KISTNASAMY Kaleivani</w:t>
            </w:r>
          </w:p>
        </w:tc>
        <w:tc>
          <w:tcPr>
            <w:tcW w:w="1640" w:type="pct"/>
            <w:tcBorders>
              <w:top w:val="single" w:sz="4" w:space="0" w:color="auto"/>
              <w:left w:val="single" w:sz="4" w:space="0" w:color="auto"/>
              <w:bottom w:val="single" w:sz="4" w:space="0" w:color="auto"/>
              <w:right w:val="single" w:sz="4" w:space="0" w:color="auto"/>
            </w:tcBorders>
            <w:noWrap/>
            <w:vAlign w:val="bottom"/>
            <w:hideMark/>
          </w:tcPr>
          <w:p w14:paraId="135E6E03" w14:textId="77777777" w:rsidR="003D5BF3" w:rsidRPr="00D357E4" w:rsidRDefault="003D5BF3" w:rsidP="006B0F69">
            <w:pPr>
              <w:spacing w:after="0" w:line="240" w:lineRule="auto"/>
              <w:jc w:val="both"/>
              <w:rPr>
                <w:rFonts w:ascii="Aptos Narrow" w:eastAsia="Times New Roman" w:hAnsi="Aptos Narrow" w:cs="Times New Roman"/>
                <w:color w:val="000000"/>
              </w:rPr>
            </w:pPr>
            <w:r w:rsidRPr="00D357E4">
              <w:rPr>
                <w:rFonts w:ascii="Aptos Narrow" w:eastAsia="Times New Roman" w:hAnsi="Aptos Narrow" w:cs="Times New Roman"/>
                <w:color w:val="000000"/>
              </w:rPr>
              <w:t>Assistante Ressources Humaines</w:t>
            </w:r>
          </w:p>
        </w:tc>
        <w:tc>
          <w:tcPr>
            <w:tcW w:w="754" w:type="pct"/>
            <w:tcBorders>
              <w:top w:val="single" w:sz="4" w:space="0" w:color="auto"/>
              <w:left w:val="single" w:sz="4" w:space="0" w:color="auto"/>
              <w:bottom w:val="single" w:sz="4" w:space="0" w:color="auto"/>
              <w:right w:val="single" w:sz="4" w:space="0" w:color="auto"/>
            </w:tcBorders>
            <w:noWrap/>
            <w:vAlign w:val="bottom"/>
            <w:hideMark/>
          </w:tcPr>
          <w:p w14:paraId="28AF3345" w14:textId="77777777" w:rsidR="003D5BF3" w:rsidRPr="00D357E4" w:rsidRDefault="003D5BF3" w:rsidP="006B1B79">
            <w:pPr>
              <w:spacing w:after="0" w:line="240" w:lineRule="auto"/>
              <w:jc w:val="center"/>
              <w:rPr>
                <w:rFonts w:ascii="Aptos Narrow" w:eastAsia="Times New Roman" w:hAnsi="Aptos Narrow" w:cs="Times New Roman"/>
                <w:color w:val="000000"/>
              </w:rPr>
            </w:pPr>
            <w:r w:rsidRPr="00D357E4">
              <w:rPr>
                <w:rFonts w:ascii="Aptos Narrow" w:eastAsia="Times New Roman" w:hAnsi="Aptos Narrow" w:cs="Times New Roman"/>
                <w:color w:val="000000"/>
              </w:rPr>
              <w:t>CI</w:t>
            </w:r>
          </w:p>
        </w:tc>
        <w:tc>
          <w:tcPr>
            <w:tcW w:w="809" w:type="pct"/>
            <w:tcBorders>
              <w:top w:val="single" w:sz="4" w:space="0" w:color="auto"/>
              <w:left w:val="single" w:sz="4" w:space="0" w:color="auto"/>
              <w:bottom w:val="single" w:sz="4" w:space="0" w:color="auto"/>
              <w:right w:val="single" w:sz="4" w:space="0" w:color="auto"/>
            </w:tcBorders>
            <w:noWrap/>
            <w:vAlign w:val="bottom"/>
            <w:hideMark/>
          </w:tcPr>
          <w:p w14:paraId="644EB129" w14:textId="4B390164" w:rsidR="003D5BF3" w:rsidRPr="00D357E4" w:rsidRDefault="003D5BF3" w:rsidP="006B1B79">
            <w:pPr>
              <w:spacing w:after="0" w:line="240" w:lineRule="auto"/>
              <w:jc w:val="center"/>
              <w:rPr>
                <w:rFonts w:ascii="Aptos Narrow" w:eastAsia="Times New Roman" w:hAnsi="Aptos Narrow" w:cs="Times New Roman"/>
                <w:color w:val="000000"/>
              </w:rPr>
            </w:pPr>
            <w:r w:rsidRPr="00D357E4">
              <w:rPr>
                <w:rFonts w:ascii="Aptos Narrow" w:eastAsia="Times New Roman" w:hAnsi="Aptos Narrow" w:cs="Times New Roman"/>
                <w:color w:val="000000"/>
              </w:rPr>
              <w:t>02-</w:t>
            </w:r>
            <w:r w:rsidR="006B1B79">
              <w:rPr>
                <w:rFonts w:ascii="Aptos Narrow" w:eastAsia="Times New Roman" w:hAnsi="Aptos Narrow" w:cs="Times New Roman"/>
                <w:color w:val="000000"/>
              </w:rPr>
              <w:t>s</w:t>
            </w:r>
            <w:r w:rsidRPr="00D357E4">
              <w:rPr>
                <w:rFonts w:ascii="Aptos Narrow" w:eastAsia="Times New Roman" w:hAnsi="Aptos Narrow" w:cs="Times New Roman"/>
                <w:color w:val="000000"/>
              </w:rPr>
              <w:t>ep-24</w:t>
            </w:r>
          </w:p>
        </w:tc>
      </w:tr>
      <w:tr w:rsidR="002E1D97" w:rsidRPr="00D357E4" w14:paraId="17A3106F" w14:textId="77777777" w:rsidTr="002E1D97">
        <w:trPr>
          <w:trHeight w:val="300"/>
        </w:trPr>
        <w:tc>
          <w:tcPr>
            <w:tcW w:w="310" w:type="pct"/>
            <w:tcBorders>
              <w:top w:val="single" w:sz="4" w:space="0" w:color="auto"/>
              <w:left w:val="single" w:sz="4" w:space="0" w:color="auto"/>
              <w:bottom w:val="single" w:sz="4" w:space="0" w:color="auto"/>
              <w:right w:val="single" w:sz="4" w:space="0" w:color="auto"/>
            </w:tcBorders>
            <w:noWrap/>
            <w:vAlign w:val="bottom"/>
            <w:hideMark/>
          </w:tcPr>
          <w:p w14:paraId="2EBFFFDF" w14:textId="77777777" w:rsidR="003D5BF3" w:rsidRPr="00D357E4" w:rsidRDefault="003D5BF3" w:rsidP="006B0F69">
            <w:pPr>
              <w:spacing w:after="0" w:line="240" w:lineRule="auto"/>
              <w:jc w:val="both"/>
              <w:rPr>
                <w:rFonts w:ascii="Aptos Narrow" w:eastAsia="Times New Roman" w:hAnsi="Aptos Narrow" w:cs="Times New Roman"/>
                <w:color w:val="000000"/>
              </w:rPr>
            </w:pPr>
            <w:r w:rsidRPr="00D357E4">
              <w:rPr>
                <w:rFonts w:ascii="Aptos Narrow" w:eastAsia="Times New Roman" w:hAnsi="Aptos Narrow" w:cs="Times New Roman"/>
                <w:color w:val="000000"/>
              </w:rPr>
              <w:t>3</w:t>
            </w:r>
          </w:p>
        </w:tc>
        <w:tc>
          <w:tcPr>
            <w:tcW w:w="1487" w:type="pct"/>
            <w:tcBorders>
              <w:top w:val="single" w:sz="4" w:space="0" w:color="auto"/>
              <w:left w:val="single" w:sz="4" w:space="0" w:color="auto"/>
              <w:bottom w:val="single" w:sz="4" w:space="0" w:color="auto"/>
              <w:right w:val="single" w:sz="4" w:space="0" w:color="auto"/>
            </w:tcBorders>
            <w:noWrap/>
            <w:vAlign w:val="bottom"/>
            <w:hideMark/>
          </w:tcPr>
          <w:p w14:paraId="16C7E0E3" w14:textId="77777777" w:rsidR="003D5BF3" w:rsidRPr="00D357E4" w:rsidRDefault="003D5BF3" w:rsidP="006B0F69">
            <w:pPr>
              <w:spacing w:after="0" w:line="240" w:lineRule="auto"/>
              <w:jc w:val="both"/>
              <w:rPr>
                <w:rFonts w:ascii="Aptos Narrow" w:eastAsia="Times New Roman" w:hAnsi="Aptos Narrow" w:cs="Times New Roman"/>
                <w:color w:val="000000"/>
              </w:rPr>
            </w:pPr>
            <w:r w:rsidRPr="00D357E4">
              <w:rPr>
                <w:rFonts w:ascii="Aptos Narrow" w:eastAsia="Times New Roman" w:hAnsi="Aptos Narrow" w:cs="Times New Roman"/>
                <w:color w:val="000000"/>
              </w:rPr>
              <w:t>SAHABUN Muhammad Ziyaad Islam</w:t>
            </w:r>
          </w:p>
        </w:tc>
        <w:tc>
          <w:tcPr>
            <w:tcW w:w="1640" w:type="pct"/>
            <w:tcBorders>
              <w:top w:val="single" w:sz="4" w:space="0" w:color="auto"/>
              <w:left w:val="single" w:sz="4" w:space="0" w:color="auto"/>
              <w:bottom w:val="single" w:sz="4" w:space="0" w:color="auto"/>
              <w:right w:val="single" w:sz="4" w:space="0" w:color="auto"/>
            </w:tcBorders>
            <w:noWrap/>
            <w:vAlign w:val="bottom"/>
            <w:hideMark/>
          </w:tcPr>
          <w:p w14:paraId="0D0B13E6" w14:textId="77777777" w:rsidR="003D5BF3" w:rsidRPr="00D357E4" w:rsidRDefault="003D5BF3" w:rsidP="006B0F69">
            <w:pPr>
              <w:spacing w:after="0" w:line="240" w:lineRule="auto"/>
              <w:jc w:val="both"/>
              <w:rPr>
                <w:rFonts w:ascii="Aptos Narrow" w:eastAsia="Times New Roman" w:hAnsi="Aptos Narrow" w:cs="Times New Roman"/>
                <w:color w:val="000000"/>
              </w:rPr>
            </w:pPr>
            <w:r w:rsidRPr="00D357E4">
              <w:rPr>
                <w:rFonts w:ascii="Aptos Narrow" w:eastAsia="Times New Roman" w:hAnsi="Aptos Narrow" w:cs="Times New Roman"/>
                <w:color w:val="000000"/>
              </w:rPr>
              <w:t>Spécialiste en Gestion des Risques et Conformité</w:t>
            </w:r>
          </w:p>
        </w:tc>
        <w:tc>
          <w:tcPr>
            <w:tcW w:w="754" w:type="pct"/>
            <w:tcBorders>
              <w:top w:val="single" w:sz="4" w:space="0" w:color="auto"/>
              <w:left w:val="single" w:sz="4" w:space="0" w:color="auto"/>
              <w:bottom w:val="single" w:sz="4" w:space="0" w:color="auto"/>
              <w:right w:val="single" w:sz="4" w:space="0" w:color="auto"/>
            </w:tcBorders>
            <w:noWrap/>
            <w:vAlign w:val="bottom"/>
            <w:hideMark/>
          </w:tcPr>
          <w:p w14:paraId="7D071134" w14:textId="77777777" w:rsidR="003D5BF3" w:rsidRPr="00D357E4" w:rsidRDefault="003D5BF3" w:rsidP="006B1B79">
            <w:pPr>
              <w:spacing w:after="0" w:line="240" w:lineRule="auto"/>
              <w:jc w:val="center"/>
              <w:rPr>
                <w:rFonts w:ascii="Aptos Narrow" w:eastAsia="Times New Roman" w:hAnsi="Aptos Narrow" w:cs="Times New Roman"/>
                <w:color w:val="000000"/>
              </w:rPr>
            </w:pPr>
            <w:r w:rsidRPr="00D357E4">
              <w:rPr>
                <w:rFonts w:ascii="Aptos Narrow" w:eastAsia="Times New Roman" w:hAnsi="Aptos Narrow" w:cs="Times New Roman"/>
                <w:color w:val="000000"/>
              </w:rPr>
              <w:t>CI</w:t>
            </w:r>
          </w:p>
        </w:tc>
        <w:tc>
          <w:tcPr>
            <w:tcW w:w="809" w:type="pct"/>
            <w:tcBorders>
              <w:top w:val="single" w:sz="4" w:space="0" w:color="auto"/>
              <w:left w:val="single" w:sz="4" w:space="0" w:color="auto"/>
              <w:bottom w:val="single" w:sz="4" w:space="0" w:color="auto"/>
              <w:right w:val="single" w:sz="4" w:space="0" w:color="auto"/>
            </w:tcBorders>
            <w:noWrap/>
            <w:vAlign w:val="bottom"/>
            <w:hideMark/>
          </w:tcPr>
          <w:p w14:paraId="132BF001" w14:textId="7B1982CA" w:rsidR="003D5BF3" w:rsidRPr="00D357E4" w:rsidRDefault="003D5BF3" w:rsidP="006B1B79">
            <w:pPr>
              <w:spacing w:after="0" w:line="240" w:lineRule="auto"/>
              <w:jc w:val="center"/>
              <w:rPr>
                <w:rFonts w:ascii="Aptos Narrow" w:eastAsia="Times New Roman" w:hAnsi="Aptos Narrow" w:cs="Times New Roman"/>
                <w:color w:val="000000"/>
              </w:rPr>
            </w:pPr>
            <w:r w:rsidRPr="00D357E4">
              <w:rPr>
                <w:rFonts w:ascii="Aptos Narrow" w:eastAsia="Times New Roman" w:hAnsi="Aptos Narrow" w:cs="Times New Roman"/>
                <w:color w:val="000000"/>
              </w:rPr>
              <w:t>09-</w:t>
            </w:r>
            <w:r w:rsidR="006B1B79">
              <w:rPr>
                <w:rFonts w:ascii="Aptos Narrow" w:eastAsia="Times New Roman" w:hAnsi="Aptos Narrow" w:cs="Times New Roman"/>
                <w:color w:val="000000"/>
              </w:rPr>
              <w:t>s</w:t>
            </w:r>
            <w:r w:rsidRPr="00D357E4">
              <w:rPr>
                <w:rFonts w:ascii="Aptos Narrow" w:eastAsia="Times New Roman" w:hAnsi="Aptos Narrow" w:cs="Times New Roman"/>
                <w:color w:val="000000"/>
              </w:rPr>
              <w:t>ep-24</w:t>
            </w:r>
          </w:p>
        </w:tc>
      </w:tr>
      <w:tr w:rsidR="002E1D97" w:rsidRPr="00D357E4" w14:paraId="32959BB5" w14:textId="77777777" w:rsidTr="002E1D97">
        <w:trPr>
          <w:trHeight w:val="300"/>
        </w:trPr>
        <w:tc>
          <w:tcPr>
            <w:tcW w:w="310" w:type="pct"/>
            <w:tcBorders>
              <w:top w:val="single" w:sz="4" w:space="0" w:color="auto"/>
              <w:left w:val="single" w:sz="4" w:space="0" w:color="auto"/>
              <w:bottom w:val="single" w:sz="4" w:space="0" w:color="auto"/>
              <w:right w:val="single" w:sz="4" w:space="0" w:color="auto"/>
            </w:tcBorders>
            <w:noWrap/>
            <w:vAlign w:val="bottom"/>
            <w:hideMark/>
          </w:tcPr>
          <w:p w14:paraId="65BA4365" w14:textId="77777777" w:rsidR="003D5BF3" w:rsidRPr="00D357E4" w:rsidRDefault="003D5BF3" w:rsidP="006B0F69">
            <w:pPr>
              <w:spacing w:after="0" w:line="240" w:lineRule="auto"/>
              <w:jc w:val="both"/>
              <w:rPr>
                <w:rFonts w:ascii="Aptos Narrow" w:eastAsia="Times New Roman" w:hAnsi="Aptos Narrow" w:cs="Times New Roman"/>
                <w:color w:val="000000"/>
              </w:rPr>
            </w:pPr>
            <w:r w:rsidRPr="00D357E4">
              <w:rPr>
                <w:rFonts w:ascii="Aptos Narrow" w:eastAsia="Times New Roman" w:hAnsi="Aptos Narrow" w:cs="Times New Roman"/>
                <w:color w:val="000000"/>
              </w:rPr>
              <w:t>4</w:t>
            </w:r>
          </w:p>
        </w:tc>
        <w:tc>
          <w:tcPr>
            <w:tcW w:w="1487" w:type="pct"/>
            <w:tcBorders>
              <w:top w:val="single" w:sz="4" w:space="0" w:color="auto"/>
              <w:left w:val="single" w:sz="4" w:space="0" w:color="auto"/>
              <w:bottom w:val="single" w:sz="4" w:space="0" w:color="auto"/>
              <w:right w:val="single" w:sz="4" w:space="0" w:color="auto"/>
            </w:tcBorders>
            <w:noWrap/>
            <w:vAlign w:val="bottom"/>
            <w:hideMark/>
          </w:tcPr>
          <w:p w14:paraId="35B86810" w14:textId="77777777" w:rsidR="003D5BF3" w:rsidRPr="00D357E4" w:rsidRDefault="003D5BF3" w:rsidP="006B0F69">
            <w:pPr>
              <w:spacing w:after="0" w:line="240" w:lineRule="auto"/>
              <w:jc w:val="both"/>
              <w:rPr>
                <w:rFonts w:ascii="Aptos Narrow" w:eastAsia="Times New Roman" w:hAnsi="Aptos Narrow" w:cs="Times New Roman"/>
                <w:color w:val="000000"/>
              </w:rPr>
            </w:pPr>
            <w:r w:rsidRPr="00D357E4">
              <w:rPr>
                <w:rFonts w:ascii="Aptos Narrow" w:eastAsia="Times New Roman" w:hAnsi="Aptos Narrow" w:cs="Times New Roman"/>
                <w:color w:val="000000"/>
              </w:rPr>
              <w:t>RANDIMBIARIMANANA Sandaniaina Louisa</w:t>
            </w:r>
          </w:p>
        </w:tc>
        <w:tc>
          <w:tcPr>
            <w:tcW w:w="1640" w:type="pct"/>
            <w:tcBorders>
              <w:top w:val="single" w:sz="4" w:space="0" w:color="auto"/>
              <w:left w:val="single" w:sz="4" w:space="0" w:color="auto"/>
              <w:bottom w:val="single" w:sz="4" w:space="0" w:color="auto"/>
              <w:right w:val="single" w:sz="4" w:space="0" w:color="auto"/>
            </w:tcBorders>
            <w:noWrap/>
            <w:vAlign w:val="bottom"/>
            <w:hideMark/>
          </w:tcPr>
          <w:p w14:paraId="7E7CF6A4" w14:textId="77777777" w:rsidR="003D5BF3" w:rsidRPr="00D357E4" w:rsidRDefault="003D5BF3" w:rsidP="006B0F69">
            <w:pPr>
              <w:spacing w:after="0" w:line="240" w:lineRule="auto"/>
              <w:jc w:val="both"/>
              <w:rPr>
                <w:rFonts w:ascii="Aptos Narrow" w:eastAsia="Times New Roman" w:hAnsi="Aptos Narrow" w:cs="Times New Roman"/>
                <w:color w:val="000000"/>
              </w:rPr>
            </w:pPr>
            <w:r w:rsidRPr="00D357E4">
              <w:rPr>
                <w:rFonts w:ascii="Aptos Narrow" w:eastAsia="Times New Roman" w:hAnsi="Aptos Narrow" w:cs="Times New Roman"/>
                <w:color w:val="000000"/>
              </w:rPr>
              <w:t xml:space="preserve">Responsable de la gestion administrative et logistique </w:t>
            </w:r>
          </w:p>
        </w:tc>
        <w:tc>
          <w:tcPr>
            <w:tcW w:w="754" w:type="pct"/>
            <w:tcBorders>
              <w:top w:val="single" w:sz="4" w:space="0" w:color="auto"/>
              <w:left w:val="single" w:sz="4" w:space="0" w:color="auto"/>
              <w:bottom w:val="single" w:sz="4" w:space="0" w:color="auto"/>
              <w:right w:val="single" w:sz="4" w:space="0" w:color="auto"/>
            </w:tcBorders>
            <w:noWrap/>
            <w:vAlign w:val="bottom"/>
            <w:hideMark/>
          </w:tcPr>
          <w:p w14:paraId="1B0EE0B3" w14:textId="77777777" w:rsidR="003D5BF3" w:rsidRPr="00D357E4" w:rsidRDefault="003D5BF3" w:rsidP="006B1B79">
            <w:pPr>
              <w:spacing w:after="0" w:line="240" w:lineRule="auto"/>
              <w:jc w:val="center"/>
              <w:rPr>
                <w:rFonts w:ascii="Aptos Narrow" w:eastAsia="Times New Roman" w:hAnsi="Aptos Narrow" w:cs="Times New Roman"/>
                <w:color w:val="000000"/>
              </w:rPr>
            </w:pPr>
            <w:r w:rsidRPr="00D357E4">
              <w:rPr>
                <w:rFonts w:ascii="Aptos Narrow" w:eastAsia="Times New Roman" w:hAnsi="Aptos Narrow" w:cs="Times New Roman"/>
                <w:color w:val="000000"/>
              </w:rPr>
              <w:t>CI</w:t>
            </w:r>
          </w:p>
        </w:tc>
        <w:tc>
          <w:tcPr>
            <w:tcW w:w="809" w:type="pct"/>
            <w:tcBorders>
              <w:top w:val="single" w:sz="4" w:space="0" w:color="auto"/>
              <w:left w:val="single" w:sz="4" w:space="0" w:color="auto"/>
              <w:bottom w:val="single" w:sz="4" w:space="0" w:color="auto"/>
              <w:right w:val="single" w:sz="4" w:space="0" w:color="auto"/>
            </w:tcBorders>
            <w:noWrap/>
            <w:vAlign w:val="bottom"/>
            <w:hideMark/>
          </w:tcPr>
          <w:p w14:paraId="24CEF4E4" w14:textId="5EB5FF46" w:rsidR="003D5BF3" w:rsidRPr="00D357E4" w:rsidRDefault="003D5BF3" w:rsidP="006B1B79">
            <w:pPr>
              <w:spacing w:after="0" w:line="240" w:lineRule="auto"/>
              <w:jc w:val="center"/>
              <w:rPr>
                <w:rFonts w:ascii="Aptos Narrow" w:eastAsia="Times New Roman" w:hAnsi="Aptos Narrow" w:cs="Times New Roman"/>
                <w:color w:val="000000"/>
              </w:rPr>
            </w:pPr>
            <w:r w:rsidRPr="00D357E4">
              <w:rPr>
                <w:rFonts w:ascii="Aptos Narrow" w:eastAsia="Times New Roman" w:hAnsi="Aptos Narrow" w:cs="Times New Roman"/>
                <w:color w:val="000000"/>
              </w:rPr>
              <w:t>30-</w:t>
            </w:r>
            <w:r w:rsidR="006B1B79">
              <w:rPr>
                <w:rFonts w:ascii="Aptos Narrow" w:eastAsia="Times New Roman" w:hAnsi="Aptos Narrow" w:cs="Times New Roman"/>
                <w:color w:val="000000"/>
              </w:rPr>
              <w:t>s</w:t>
            </w:r>
            <w:r w:rsidRPr="00D357E4">
              <w:rPr>
                <w:rFonts w:ascii="Aptos Narrow" w:eastAsia="Times New Roman" w:hAnsi="Aptos Narrow" w:cs="Times New Roman"/>
                <w:color w:val="000000"/>
              </w:rPr>
              <w:t>ep-24</w:t>
            </w:r>
          </w:p>
        </w:tc>
      </w:tr>
      <w:tr w:rsidR="002E1D97" w:rsidRPr="00D357E4" w14:paraId="6D4C9639" w14:textId="77777777" w:rsidTr="002E1D97">
        <w:trPr>
          <w:trHeight w:val="300"/>
        </w:trPr>
        <w:tc>
          <w:tcPr>
            <w:tcW w:w="310" w:type="pct"/>
            <w:tcBorders>
              <w:top w:val="single" w:sz="4" w:space="0" w:color="auto"/>
              <w:left w:val="single" w:sz="4" w:space="0" w:color="auto"/>
              <w:bottom w:val="single" w:sz="4" w:space="0" w:color="auto"/>
              <w:right w:val="single" w:sz="4" w:space="0" w:color="auto"/>
            </w:tcBorders>
            <w:noWrap/>
            <w:vAlign w:val="bottom"/>
            <w:hideMark/>
          </w:tcPr>
          <w:p w14:paraId="3083302B" w14:textId="77777777" w:rsidR="003D5BF3" w:rsidRPr="00D357E4" w:rsidRDefault="003D5BF3" w:rsidP="006B0F69">
            <w:pPr>
              <w:spacing w:after="0" w:line="240" w:lineRule="auto"/>
              <w:jc w:val="both"/>
              <w:rPr>
                <w:rFonts w:ascii="Aptos Narrow" w:eastAsia="Times New Roman" w:hAnsi="Aptos Narrow" w:cs="Times New Roman"/>
                <w:color w:val="000000"/>
              </w:rPr>
            </w:pPr>
            <w:r w:rsidRPr="00D357E4">
              <w:rPr>
                <w:rFonts w:ascii="Aptos Narrow" w:eastAsia="Times New Roman" w:hAnsi="Aptos Narrow" w:cs="Times New Roman"/>
                <w:color w:val="000000"/>
              </w:rPr>
              <w:t>5</w:t>
            </w:r>
          </w:p>
        </w:tc>
        <w:tc>
          <w:tcPr>
            <w:tcW w:w="1487" w:type="pct"/>
            <w:tcBorders>
              <w:top w:val="single" w:sz="4" w:space="0" w:color="auto"/>
              <w:left w:val="single" w:sz="4" w:space="0" w:color="auto"/>
              <w:bottom w:val="single" w:sz="4" w:space="0" w:color="auto"/>
              <w:right w:val="single" w:sz="4" w:space="0" w:color="auto"/>
            </w:tcBorders>
            <w:noWrap/>
            <w:vAlign w:val="bottom"/>
            <w:hideMark/>
          </w:tcPr>
          <w:p w14:paraId="33DBAB0D" w14:textId="77777777" w:rsidR="003D5BF3" w:rsidRPr="00D357E4" w:rsidRDefault="003D5BF3" w:rsidP="006B0F69">
            <w:pPr>
              <w:spacing w:after="0" w:line="240" w:lineRule="auto"/>
              <w:jc w:val="both"/>
              <w:rPr>
                <w:rFonts w:ascii="Aptos Narrow" w:eastAsia="Times New Roman" w:hAnsi="Aptos Narrow" w:cs="Times New Roman"/>
                <w:color w:val="000000"/>
              </w:rPr>
            </w:pPr>
            <w:r w:rsidRPr="00D357E4">
              <w:rPr>
                <w:rFonts w:ascii="Aptos Narrow" w:eastAsia="Times New Roman" w:hAnsi="Aptos Narrow" w:cs="Times New Roman"/>
                <w:color w:val="000000"/>
              </w:rPr>
              <w:t>ANDRIAMAHEFAZAFY Aina Liselle</w:t>
            </w:r>
          </w:p>
        </w:tc>
        <w:tc>
          <w:tcPr>
            <w:tcW w:w="1640" w:type="pct"/>
            <w:tcBorders>
              <w:top w:val="single" w:sz="4" w:space="0" w:color="auto"/>
              <w:left w:val="single" w:sz="4" w:space="0" w:color="auto"/>
              <w:bottom w:val="single" w:sz="4" w:space="0" w:color="auto"/>
              <w:right w:val="single" w:sz="4" w:space="0" w:color="auto"/>
            </w:tcBorders>
            <w:noWrap/>
            <w:vAlign w:val="bottom"/>
            <w:hideMark/>
          </w:tcPr>
          <w:p w14:paraId="0D3DEBDD" w14:textId="77777777" w:rsidR="003D5BF3" w:rsidRPr="00D357E4" w:rsidRDefault="003D5BF3" w:rsidP="006B0F69">
            <w:pPr>
              <w:spacing w:after="0" w:line="240" w:lineRule="auto"/>
              <w:jc w:val="both"/>
              <w:rPr>
                <w:rFonts w:ascii="Aptos Narrow" w:eastAsia="Times New Roman" w:hAnsi="Aptos Narrow" w:cs="Times New Roman"/>
                <w:color w:val="000000"/>
              </w:rPr>
            </w:pPr>
            <w:r w:rsidRPr="00D357E4">
              <w:rPr>
                <w:rFonts w:ascii="Aptos Narrow" w:eastAsia="Times New Roman" w:hAnsi="Aptos Narrow" w:cs="Times New Roman"/>
                <w:color w:val="000000"/>
              </w:rPr>
              <w:t xml:space="preserve">Spécialiste en planification, suivi, évaluation et rapport </w:t>
            </w:r>
          </w:p>
        </w:tc>
        <w:tc>
          <w:tcPr>
            <w:tcW w:w="754" w:type="pct"/>
            <w:tcBorders>
              <w:top w:val="single" w:sz="4" w:space="0" w:color="auto"/>
              <w:left w:val="single" w:sz="4" w:space="0" w:color="auto"/>
              <w:bottom w:val="single" w:sz="4" w:space="0" w:color="auto"/>
              <w:right w:val="single" w:sz="4" w:space="0" w:color="auto"/>
            </w:tcBorders>
            <w:noWrap/>
            <w:vAlign w:val="bottom"/>
            <w:hideMark/>
          </w:tcPr>
          <w:p w14:paraId="1B8E4478" w14:textId="77777777" w:rsidR="003D5BF3" w:rsidRPr="00D357E4" w:rsidRDefault="003D5BF3" w:rsidP="006B1B79">
            <w:pPr>
              <w:spacing w:after="0" w:line="240" w:lineRule="auto"/>
              <w:jc w:val="center"/>
              <w:rPr>
                <w:rFonts w:ascii="Aptos Narrow" w:eastAsia="Times New Roman" w:hAnsi="Aptos Narrow" w:cs="Times New Roman"/>
                <w:color w:val="000000"/>
              </w:rPr>
            </w:pPr>
            <w:r w:rsidRPr="00D357E4">
              <w:rPr>
                <w:rFonts w:ascii="Aptos Narrow" w:eastAsia="Times New Roman" w:hAnsi="Aptos Narrow" w:cs="Times New Roman"/>
                <w:color w:val="000000"/>
              </w:rPr>
              <w:t>CI</w:t>
            </w:r>
          </w:p>
        </w:tc>
        <w:tc>
          <w:tcPr>
            <w:tcW w:w="809" w:type="pct"/>
            <w:tcBorders>
              <w:top w:val="single" w:sz="4" w:space="0" w:color="auto"/>
              <w:left w:val="single" w:sz="4" w:space="0" w:color="auto"/>
              <w:bottom w:val="single" w:sz="4" w:space="0" w:color="auto"/>
              <w:right w:val="single" w:sz="4" w:space="0" w:color="auto"/>
            </w:tcBorders>
            <w:noWrap/>
            <w:vAlign w:val="bottom"/>
            <w:hideMark/>
          </w:tcPr>
          <w:p w14:paraId="3BE57880" w14:textId="67757A46" w:rsidR="003D5BF3" w:rsidRPr="00D357E4" w:rsidRDefault="003D5BF3" w:rsidP="006B1B79">
            <w:pPr>
              <w:spacing w:after="0" w:line="240" w:lineRule="auto"/>
              <w:jc w:val="center"/>
              <w:rPr>
                <w:rFonts w:ascii="Aptos Narrow" w:eastAsia="Times New Roman" w:hAnsi="Aptos Narrow" w:cs="Times New Roman"/>
                <w:color w:val="000000"/>
              </w:rPr>
            </w:pPr>
            <w:r w:rsidRPr="00D357E4">
              <w:rPr>
                <w:rFonts w:ascii="Aptos Narrow" w:eastAsia="Times New Roman" w:hAnsi="Aptos Narrow" w:cs="Times New Roman"/>
                <w:color w:val="000000"/>
              </w:rPr>
              <w:t>30-</w:t>
            </w:r>
            <w:r w:rsidR="006B1B79">
              <w:rPr>
                <w:rFonts w:ascii="Aptos Narrow" w:eastAsia="Times New Roman" w:hAnsi="Aptos Narrow" w:cs="Times New Roman"/>
                <w:color w:val="000000"/>
              </w:rPr>
              <w:t>s</w:t>
            </w:r>
            <w:r w:rsidRPr="00D357E4">
              <w:rPr>
                <w:rFonts w:ascii="Aptos Narrow" w:eastAsia="Times New Roman" w:hAnsi="Aptos Narrow" w:cs="Times New Roman"/>
                <w:color w:val="000000"/>
              </w:rPr>
              <w:t>ep-24</w:t>
            </w:r>
          </w:p>
        </w:tc>
      </w:tr>
      <w:tr w:rsidR="002E1D97" w:rsidRPr="00D357E4" w14:paraId="79BDA19B" w14:textId="77777777" w:rsidTr="002E1D97">
        <w:trPr>
          <w:trHeight w:val="300"/>
        </w:trPr>
        <w:tc>
          <w:tcPr>
            <w:tcW w:w="310" w:type="pct"/>
            <w:tcBorders>
              <w:top w:val="single" w:sz="4" w:space="0" w:color="auto"/>
              <w:left w:val="single" w:sz="4" w:space="0" w:color="auto"/>
              <w:bottom w:val="single" w:sz="4" w:space="0" w:color="auto"/>
              <w:right w:val="single" w:sz="4" w:space="0" w:color="auto"/>
            </w:tcBorders>
            <w:noWrap/>
            <w:vAlign w:val="bottom"/>
          </w:tcPr>
          <w:p w14:paraId="44563FD5" w14:textId="0669438E" w:rsidR="003D5BF3" w:rsidRPr="00D357E4" w:rsidRDefault="00550A29" w:rsidP="006B0F69">
            <w:pPr>
              <w:spacing w:after="0" w:line="240" w:lineRule="auto"/>
              <w:jc w:val="both"/>
              <w:rPr>
                <w:rFonts w:ascii="Aptos Narrow" w:eastAsia="Times New Roman" w:hAnsi="Aptos Narrow" w:cs="Times New Roman"/>
                <w:color w:val="000000"/>
              </w:rPr>
            </w:pPr>
            <w:r w:rsidRPr="00D357E4">
              <w:rPr>
                <w:rFonts w:ascii="Aptos Narrow" w:eastAsia="Times New Roman" w:hAnsi="Aptos Narrow" w:cs="Times New Roman"/>
                <w:color w:val="000000"/>
              </w:rPr>
              <w:t>6</w:t>
            </w:r>
          </w:p>
        </w:tc>
        <w:tc>
          <w:tcPr>
            <w:tcW w:w="1487" w:type="pct"/>
            <w:tcBorders>
              <w:top w:val="single" w:sz="4" w:space="0" w:color="auto"/>
              <w:left w:val="single" w:sz="4" w:space="0" w:color="auto"/>
              <w:bottom w:val="single" w:sz="4" w:space="0" w:color="auto"/>
              <w:right w:val="single" w:sz="4" w:space="0" w:color="auto"/>
            </w:tcBorders>
            <w:noWrap/>
            <w:vAlign w:val="bottom"/>
            <w:hideMark/>
          </w:tcPr>
          <w:p w14:paraId="3BDB9496" w14:textId="77777777" w:rsidR="003D5BF3" w:rsidRPr="00D357E4" w:rsidRDefault="003D5BF3" w:rsidP="006B0F69">
            <w:pPr>
              <w:spacing w:after="0" w:line="240" w:lineRule="auto"/>
              <w:jc w:val="both"/>
              <w:rPr>
                <w:rFonts w:ascii="Aptos Narrow" w:eastAsia="Times New Roman" w:hAnsi="Aptos Narrow" w:cs="Times New Roman"/>
                <w:color w:val="000000"/>
              </w:rPr>
            </w:pPr>
            <w:r w:rsidRPr="00D357E4">
              <w:rPr>
                <w:rFonts w:ascii="Aptos Narrow" w:eastAsia="Times New Roman" w:hAnsi="Aptos Narrow" w:cs="Times New Roman"/>
                <w:color w:val="000000"/>
              </w:rPr>
              <w:t>MERMERA Catherine</w:t>
            </w:r>
          </w:p>
        </w:tc>
        <w:tc>
          <w:tcPr>
            <w:tcW w:w="1640" w:type="pct"/>
            <w:tcBorders>
              <w:top w:val="single" w:sz="4" w:space="0" w:color="auto"/>
              <w:left w:val="single" w:sz="4" w:space="0" w:color="auto"/>
              <w:bottom w:val="single" w:sz="4" w:space="0" w:color="auto"/>
              <w:right w:val="single" w:sz="4" w:space="0" w:color="auto"/>
            </w:tcBorders>
            <w:noWrap/>
            <w:vAlign w:val="bottom"/>
            <w:hideMark/>
          </w:tcPr>
          <w:p w14:paraId="71E01FE5" w14:textId="77777777" w:rsidR="003D5BF3" w:rsidRPr="00D357E4" w:rsidRDefault="003D5BF3" w:rsidP="006B0F69">
            <w:pPr>
              <w:spacing w:after="0" w:line="240" w:lineRule="auto"/>
              <w:jc w:val="both"/>
              <w:rPr>
                <w:rFonts w:ascii="Aptos Narrow" w:eastAsia="Times New Roman" w:hAnsi="Aptos Narrow" w:cs="Times New Roman"/>
                <w:color w:val="000000"/>
              </w:rPr>
            </w:pPr>
            <w:r w:rsidRPr="00D357E4">
              <w:rPr>
                <w:rFonts w:ascii="Aptos Narrow" w:eastAsia="Times New Roman" w:hAnsi="Aptos Narrow" w:cs="Times New Roman"/>
                <w:color w:val="000000"/>
              </w:rPr>
              <w:t>Adjointe au Responsable de Communication</w:t>
            </w:r>
          </w:p>
        </w:tc>
        <w:tc>
          <w:tcPr>
            <w:tcW w:w="754" w:type="pct"/>
            <w:tcBorders>
              <w:top w:val="single" w:sz="4" w:space="0" w:color="auto"/>
              <w:left w:val="single" w:sz="4" w:space="0" w:color="auto"/>
              <w:bottom w:val="single" w:sz="4" w:space="0" w:color="auto"/>
              <w:right w:val="single" w:sz="4" w:space="0" w:color="auto"/>
            </w:tcBorders>
            <w:noWrap/>
            <w:vAlign w:val="bottom"/>
            <w:hideMark/>
          </w:tcPr>
          <w:p w14:paraId="3E34997D" w14:textId="77777777" w:rsidR="003D5BF3" w:rsidRPr="00D357E4" w:rsidRDefault="003D5BF3" w:rsidP="006B1B79">
            <w:pPr>
              <w:spacing w:after="0" w:line="240" w:lineRule="auto"/>
              <w:jc w:val="center"/>
              <w:rPr>
                <w:rFonts w:ascii="Aptos Narrow" w:eastAsia="Times New Roman" w:hAnsi="Aptos Narrow" w:cs="Times New Roman"/>
                <w:color w:val="000000"/>
              </w:rPr>
            </w:pPr>
            <w:r w:rsidRPr="00D357E4">
              <w:rPr>
                <w:rFonts w:ascii="Aptos Narrow" w:eastAsia="Times New Roman" w:hAnsi="Aptos Narrow" w:cs="Times New Roman"/>
                <w:color w:val="000000"/>
              </w:rPr>
              <w:t>CI</w:t>
            </w:r>
          </w:p>
        </w:tc>
        <w:tc>
          <w:tcPr>
            <w:tcW w:w="809" w:type="pct"/>
            <w:tcBorders>
              <w:top w:val="single" w:sz="4" w:space="0" w:color="auto"/>
              <w:left w:val="single" w:sz="4" w:space="0" w:color="auto"/>
              <w:bottom w:val="single" w:sz="4" w:space="0" w:color="auto"/>
              <w:right w:val="single" w:sz="4" w:space="0" w:color="auto"/>
            </w:tcBorders>
            <w:noWrap/>
            <w:vAlign w:val="bottom"/>
            <w:hideMark/>
          </w:tcPr>
          <w:p w14:paraId="02F12FA6" w14:textId="6BAFA9D7" w:rsidR="003D5BF3" w:rsidRPr="00D357E4" w:rsidRDefault="003D5BF3" w:rsidP="006B1B79">
            <w:pPr>
              <w:spacing w:after="0" w:line="240" w:lineRule="auto"/>
              <w:jc w:val="center"/>
              <w:rPr>
                <w:rFonts w:ascii="Aptos Narrow" w:eastAsia="Times New Roman" w:hAnsi="Aptos Narrow" w:cs="Times New Roman"/>
                <w:color w:val="000000"/>
              </w:rPr>
            </w:pPr>
            <w:r w:rsidRPr="00D357E4">
              <w:rPr>
                <w:rFonts w:ascii="Aptos Narrow" w:eastAsia="Times New Roman" w:hAnsi="Aptos Narrow" w:cs="Times New Roman"/>
                <w:color w:val="000000"/>
              </w:rPr>
              <w:t>03-</w:t>
            </w:r>
            <w:r w:rsidR="006B1B79">
              <w:rPr>
                <w:rFonts w:ascii="Aptos Narrow" w:eastAsia="Times New Roman" w:hAnsi="Aptos Narrow" w:cs="Times New Roman"/>
                <w:color w:val="000000"/>
              </w:rPr>
              <w:t>m</w:t>
            </w:r>
            <w:r w:rsidRPr="00D357E4">
              <w:rPr>
                <w:rFonts w:ascii="Aptos Narrow" w:eastAsia="Times New Roman" w:hAnsi="Aptos Narrow" w:cs="Times New Roman"/>
                <w:color w:val="000000"/>
              </w:rPr>
              <w:t>ars-25</w:t>
            </w:r>
          </w:p>
        </w:tc>
      </w:tr>
      <w:tr w:rsidR="002E1D97" w:rsidRPr="00D357E4" w14:paraId="2DA70E43" w14:textId="77777777" w:rsidTr="002E1D97">
        <w:trPr>
          <w:trHeight w:val="300"/>
        </w:trPr>
        <w:tc>
          <w:tcPr>
            <w:tcW w:w="310" w:type="pct"/>
            <w:tcBorders>
              <w:top w:val="single" w:sz="4" w:space="0" w:color="auto"/>
              <w:left w:val="single" w:sz="4" w:space="0" w:color="auto"/>
              <w:bottom w:val="single" w:sz="4" w:space="0" w:color="auto"/>
              <w:right w:val="single" w:sz="4" w:space="0" w:color="auto"/>
            </w:tcBorders>
            <w:noWrap/>
            <w:vAlign w:val="bottom"/>
          </w:tcPr>
          <w:p w14:paraId="67000BC3" w14:textId="0F51542A" w:rsidR="003D5BF3" w:rsidRPr="00D357E4" w:rsidRDefault="00550A29" w:rsidP="006B0F69">
            <w:pPr>
              <w:spacing w:after="0" w:line="240" w:lineRule="auto"/>
              <w:jc w:val="both"/>
              <w:rPr>
                <w:rFonts w:ascii="Aptos Narrow" w:eastAsia="Times New Roman" w:hAnsi="Aptos Narrow" w:cs="Times New Roman"/>
                <w:color w:val="000000"/>
              </w:rPr>
            </w:pPr>
            <w:r w:rsidRPr="00D357E4">
              <w:rPr>
                <w:rFonts w:ascii="Aptos Narrow" w:eastAsia="Times New Roman" w:hAnsi="Aptos Narrow" w:cs="Times New Roman"/>
                <w:color w:val="000000"/>
              </w:rPr>
              <w:t>7</w:t>
            </w:r>
          </w:p>
        </w:tc>
        <w:tc>
          <w:tcPr>
            <w:tcW w:w="1487" w:type="pct"/>
            <w:tcBorders>
              <w:top w:val="single" w:sz="4" w:space="0" w:color="auto"/>
              <w:left w:val="single" w:sz="4" w:space="0" w:color="auto"/>
              <w:bottom w:val="single" w:sz="4" w:space="0" w:color="auto"/>
              <w:right w:val="single" w:sz="4" w:space="0" w:color="auto"/>
            </w:tcBorders>
            <w:noWrap/>
            <w:vAlign w:val="bottom"/>
            <w:hideMark/>
          </w:tcPr>
          <w:p w14:paraId="07D02A8F" w14:textId="77777777" w:rsidR="003D5BF3" w:rsidRPr="00D357E4" w:rsidRDefault="003D5BF3" w:rsidP="006B0F69">
            <w:pPr>
              <w:spacing w:after="0" w:line="240" w:lineRule="auto"/>
              <w:jc w:val="both"/>
              <w:rPr>
                <w:rFonts w:ascii="Aptos Narrow" w:eastAsia="Times New Roman" w:hAnsi="Aptos Narrow" w:cs="Times New Roman"/>
                <w:color w:val="000000"/>
              </w:rPr>
            </w:pPr>
            <w:r w:rsidRPr="00D357E4">
              <w:rPr>
                <w:rFonts w:ascii="Aptos Narrow" w:eastAsia="Times New Roman" w:hAnsi="Aptos Narrow" w:cs="Times New Roman"/>
                <w:color w:val="000000"/>
              </w:rPr>
              <w:t>ITTOO Rudy</w:t>
            </w:r>
          </w:p>
        </w:tc>
        <w:tc>
          <w:tcPr>
            <w:tcW w:w="1640" w:type="pct"/>
            <w:tcBorders>
              <w:top w:val="single" w:sz="4" w:space="0" w:color="auto"/>
              <w:left w:val="single" w:sz="4" w:space="0" w:color="auto"/>
              <w:bottom w:val="single" w:sz="4" w:space="0" w:color="auto"/>
              <w:right w:val="single" w:sz="4" w:space="0" w:color="auto"/>
            </w:tcBorders>
            <w:noWrap/>
            <w:vAlign w:val="bottom"/>
            <w:hideMark/>
          </w:tcPr>
          <w:p w14:paraId="57FD66F2" w14:textId="77777777" w:rsidR="003D5BF3" w:rsidRPr="00D357E4" w:rsidRDefault="003D5BF3" w:rsidP="006B0F69">
            <w:pPr>
              <w:spacing w:after="0" w:line="240" w:lineRule="auto"/>
              <w:jc w:val="both"/>
              <w:rPr>
                <w:rFonts w:ascii="Aptos Narrow" w:eastAsia="Times New Roman" w:hAnsi="Aptos Narrow" w:cs="Times New Roman"/>
                <w:color w:val="000000"/>
              </w:rPr>
            </w:pPr>
            <w:r w:rsidRPr="00D357E4">
              <w:rPr>
                <w:rFonts w:ascii="Aptos Narrow" w:eastAsia="Times New Roman" w:hAnsi="Aptos Narrow" w:cs="Times New Roman"/>
                <w:color w:val="000000"/>
              </w:rPr>
              <w:t>Spécialiste Budget et Finance</w:t>
            </w:r>
          </w:p>
        </w:tc>
        <w:tc>
          <w:tcPr>
            <w:tcW w:w="754" w:type="pct"/>
            <w:tcBorders>
              <w:top w:val="single" w:sz="4" w:space="0" w:color="auto"/>
              <w:left w:val="single" w:sz="4" w:space="0" w:color="auto"/>
              <w:bottom w:val="single" w:sz="4" w:space="0" w:color="auto"/>
              <w:right w:val="single" w:sz="4" w:space="0" w:color="auto"/>
            </w:tcBorders>
            <w:noWrap/>
            <w:vAlign w:val="bottom"/>
            <w:hideMark/>
          </w:tcPr>
          <w:p w14:paraId="2F633831" w14:textId="77777777" w:rsidR="003D5BF3" w:rsidRPr="00D357E4" w:rsidRDefault="003D5BF3" w:rsidP="006B1B79">
            <w:pPr>
              <w:spacing w:after="0" w:line="240" w:lineRule="auto"/>
              <w:jc w:val="center"/>
              <w:rPr>
                <w:rFonts w:ascii="Aptos Narrow" w:eastAsia="Times New Roman" w:hAnsi="Aptos Narrow" w:cs="Times New Roman"/>
                <w:color w:val="000000"/>
              </w:rPr>
            </w:pPr>
            <w:r w:rsidRPr="00D357E4">
              <w:rPr>
                <w:rFonts w:ascii="Aptos Narrow" w:eastAsia="Times New Roman" w:hAnsi="Aptos Narrow" w:cs="Times New Roman"/>
                <w:color w:val="000000"/>
              </w:rPr>
              <w:t>CI</w:t>
            </w:r>
          </w:p>
        </w:tc>
        <w:tc>
          <w:tcPr>
            <w:tcW w:w="809" w:type="pct"/>
            <w:tcBorders>
              <w:top w:val="single" w:sz="4" w:space="0" w:color="auto"/>
              <w:left w:val="single" w:sz="4" w:space="0" w:color="auto"/>
              <w:bottom w:val="single" w:sz="4" w:space="0" w:color="auto"/>
              <w:right w:val="single" w:sz="4" w:space="0" w:color="auto"/>
            </w:tcBorders>
            <w:noWrap/>
            <w:vAlign w:val="bottom"/>
            <w:hideMark/>
          </w:tcPr>
          <w:p w14:paraId="0C6F8752" w14:textId="022DEC8E" w:rsidR="003D5BF3" w:rsidRPr="00D357E4" w:rsidRDefault="003D5BF3" w:rsidP="006B1B79">
            <w:pPr>
              <w:spacing w:after="0" w:line="240" w:lineRule="auto"/>
              <w:jc w:val="center"/>
              <w:rPr>
                <w:rFonts w:ascii="Aptos Narrow" w:eastAsia="Times New Roman" w:hAnsi="Aptos Narrow" w:cs="Times New Roman"/>
                <w:color w:val="000000"/>
              </w:rPr>
            </w:pPr>
            <w:r w:rsidRPr="00D357E4">
              <w:rPr>
                <w:rFonts w:ascii="Aptos Narrow" w:eastAsia="Times New Roman" w:hAnsi="Aptos Narrow" w:cs="Times New Roman"/>
                <w:color w:val="000000"/>
              </w:rPr>
              <w:t>15-</w:t>
            </w:r>
            <w:r w:rsidR="006B1B79">
              <w:rPr>
                <w:rFonts w:ascii="Aptos Narrow" w:eastAsia="Times New Roman" w:hAnsi="Aptos Narrow" w:cs="Times New Roman"/>
                <w:color w:val="000000"/>
              </w:rPr>
              <w:t>s</w:t>
            </w:r>
            <w:r w:rsidRPr="00D357E4">
              <w:rPr>
                <w:rFonts w:ascii="Aptos Narrow" w:eastAsia="Times New Roman" w:hAnsi="Aptos Narrow" w:cs="Times New Roman"/>
                <w:color w:val="000000"/>
              </w:rPr>
              <w:t>ep-25</w:t>
            </w:r>
          </w:p>
        </w:tc>
      </w:tr>
      <w:tr w:rsidR="00550A29" w:rsidRPr="00D357E4" w14:paraId="3B3CDD56" w14:textId="77777777" w:rsidTr="002E1D97">
        <w:trPr>
          <w:trHeight w:val="300"/>
        </w:trPr>
        <w:tc>
          <w:tcPr>
            <w:tcW w:w="310" w:type="pct"/>
            <w:tcBorders>
              <w:top w:val="single" w:sz="4" w:space="0" w:color="auto"/>
              <w:left w:val="single" w:sz="4" w:space="0" w:color="auto"/>
              <w:bottom w:val="single" w:sz="4" w:space="0" w:color="auto"/>
              <w:right w:val="single" w:sz="4" w:space="0" w:color="auto"/>
            </w:tcBorders>
            <w:noWrap/>
            <w:vAlign w:val="bottom"/>
          </w:tcPr>
          <w:p w14:paraId="7CDAE007" w14:textId="3E167DDD" w:rsidR="003D5BF3" w:rsidRPr="00D357E4" w:rsidRDefault="00550A29" w:rsidP="006B0F69">
            <w:pPr>
              <w:spacing w:after="0" w:line="240" w:lineRule="auto"/>
              <w:jc w:val="both"/>
              <w:rPr>
                <w:rFonts w:ascii="Aptos Narrow" w:eastAsia="Times New Roman" w:hAnsi="Aptos Narrow" w:cs="Times New Roman"/>
                <w:color w:val="000000"/>
              </w:rPr>
            </w:pPr>
            <w:r w:rsidRPr="00D357E4">
              <w:rPr>
                <w:rFonts w:ascii="Aptos Narrow" w:eastAsia="Times New Roman" w:hAnsi="Aptos Narrow" w:cs="Times New Roman"/>
                <w:color w:val="000000"/>
              </w:rPr>
              <w:t>8</w:t>
            </w:r>
          </w:p>
        </w:tc>
        <w:tc>
          <w:tcPr>
            <w:tcW w:w="1487" w:type="pct"/>
            <w:tcBorders>
              <w:top w:val="single" w:sz="4" w:space="0" w:color="auto"/>
              <w:left w:val="single" w:sz="4" w:space="0" w:color="auto"/>
              <w:bottom w:val="single" w:sz="4" w:space="0" w:color="auto"/>
              <w:right w:val="single" w:sz="4" w:space="0" w:color="auto"/>
            </w:tcBorders>
            <w:noWrap/>
            <w:vAlign w:val="bottom"/>
            <w:hideMark/>
          </w:tcPr>
          <w:p w14:paraId="73D15584" w14:textId="77777777" w:rsidR="003D5BF3" w:rsidRPr="00D357E4" w:rsidRDefault="003D5BF3" w:rsidP="006B0F69">
            <w:pPr>
              <w:spacing w:after="0" w:line="240" w:lineRule="auto"/>
              <w:jc w:val="both"/>
              <w:rPr>
                <w:rFonts w:ascii="Aptos Narrow" w:eastAsia="Times New Roman" w:hAnsi="Aptos Narrow" w:cs="Times New Roman"/>
                <w:color w:val="000000"/>
              </w:rPr>
            </w:pPr>
            <w:r w:rsidRPr="00D357E4">
              <w:rPr>
                <w:rFonts w:ascii="Aptos Narrow" w:eastAsia="Times New Roman" w:hAnsi="Aptos Narrow" w:cs="Times New Roman"/>
                <w:color w:val="000000"/>
              </w:rPr>
              <w:t>RAKOTONDRAMANANA Alihasina</w:t>
            </w:r>
          </w:p>
        </w:tc>
        <w:tc>
          <w:tcPr>
            <w:tcW w:w="1640" w:type="pct"/>
            <w:tcBorders>
              <w:top w:val="single" w:sz="4" w:space="0" w:color="156082"/>
              <w:left w:val="single" w:sz="4" w:space="0" w:color="auto"/>
              <w:bottom w:val="nil"/>
              <w:right w:val="single" w:sz="4" w:space="0" w:color="auto"/>
            </w:tcBorders>
            <w:noWrap/>
            <w:vAlign w:val="bottom"/>
            <w:hideMark/>
          </w:tcPr>
          <w:p w14:paraId="40CA953A" w14:textId="77777777" w:rsidR="003D5BF3" w:rsidRPr="00D357E4" w:rsidRDefault="003D5BF3" w:rsidP="006B0F69">
            <w:pPr>
              <w:spacing w:after="0" w:line="240" w:lineRule="auto"/>
              <w:jc w:val="both"/>
              <w:rPr>
                <w:rFonts w:ascii="Aptos Narrow" w:eastAsia="Times New Roman" w:hAnsi="Aptos Narrow" w:cs="Times New Roman"/>
                <w:color w:val="000000"/>
              </w:rPr>
            </w:pPr>
            <w:r w:rsidRPr="00D357E4">
              <w:rPr>
                <w:rFonts w:ascii="Aptos Narrow" w:eastAsia="Times New Roman" w:hAnsi="Aptos Narrow" w:cs="Times New Roman"/>
                <w:color w:val="000000"/>
              </w:rPr>
              <w:t>Spécialiste en mobilisation des ressources</w:t>
            </w:r>
          </w:p>
        </w:tc>
        <w:tc>
          <w:tcPr>
            <w:tcW w:w="754" w:type="pct"/>
            <w:tcBorders>
              <w:top w:val="single" w:sz="4" w:space="0" w:color="156082"/>
              <w:left w:val="single" w:sz="4" w:space="0" w:color="auto"/>
              <w:bottom w:val="nil"/>
              <w:right w:val="single" w:sz="4" w:space="0" w:color="auto"/>
            </w:tcBorders>
            <w:noWrap/>
            <w:vAlign w:val="bottom"/>
            <w:hideMark/>
          </w:tcPr>
          <w:p w14:paraId="36CB97AE" w14:textId="77777777" w:rsidR="003D5BF3" w:rsidRPr="00D357E4" w:rsidRDefault="003D5BF3" w:rsidP="006B1B79">
            <w:pPr>
              <w:spacing w:after="0" w:line="240" w:lineRule="auto"/>
              <w:jc w:val="center"/>
              <w:rPr>
                <w:rFonts w:ascii="Aptos Narrow" w:eastAsia="Times New Roman" w:hAnsi="Aptos Narrow" w:cs="Times New Roman"/>
                <w:color w:val="000000"/>
              </w:rPr>
            </w:pPr>
            <w:r w:rsidRPr="00D357E4">
              <w:rPr>
                <w:rFonts w:ascii="Aptos Narrow" w:eastAsia="Times New Roman" w:hAnsi="Aptos Narrow" w:cs="Times New Roman"/>
                <w:color w:val="000000"/>
              </w:rPr>
              <w:t>CI</w:t>
            </w:r>
          </w:p>
        </w:tc>
        <w:tc>
          <w:tcPr>
            <w:tcW w:w="809" w:type="pct"/>
            <w:tcBorders>
              <w:top w:val="single" w:sz="4" w:space="0" w:color="auto"/>
              <w:left w:val="single" w:sz="4" w:space="0" w:color="auto"/>
              <w:bottom w:val="single" w:sz="4" w:space="0" w:color="auto"/>
              <w:right w:val="single" w:sz="4" w:space="0" w:color="auto"/>
            </w:tcBorders>
            <w:noWrap/>
            <w:vAlign w:val="bottom"/>
            <w:hideMark/>
          </w:tcPr>
          <w:p w14:paraId="3B86BE3C" w14:textId="31D15F8D" w:rsidR="003D5BF3" w:rsidRPr="00D357E4" w:rsidRDefault="003D5BF3" w:rsidP="006B1B79">
            <w:pPr>
              <w:spacing w:after="0" w:line="240" w:lineRule="auto"/>
              <w:jc w:val="center"/>
              <w:rPr>
                <w:rFonts w:ascii="Aptos Narrow" w:eastAsia="Times New Roman" w:hAnsi="Aptos Narrow" w:cs="Times New Roman"/>
                <w:color w:val="000000"/>
              </w:rPr>
            </w:pPr>
            <w:r w:rsidRPr="00D357E4">
              <w:rPr>
                <w:rFonts w:ascii="Aptos Narrow" w:eastAsia="Times New Roman" w:hAnsi="Aptos Narrow" w:cs="Times New Roman"/>
                <w:color w:val="000000"/>
              </w:rPr>
              <w:t>29-</w:t>
            </w:r>
            <w:r w:rsidR="006B1B79">
              <w:rPr>
                <w:rFonts w:ascii="Aptos Narrow" w:eastAsia="Times New Roman" w:hAnsi="Aptos Narrow" w:cs="Times New Roman"/>
                <w:color w:val="000000"/>
              </w:rPr>
              <w:t>s</w:t>
            </w:r>
            <w:r w:rsidRPr="00D357E4">
              <w:rPr>
                <w:rFonts w:ascii="Aptos Narrow" w:eastAsia="Times New Roman" w:hAnsi="Aptos Narrow" w:cs="Times New Roman"/>
                <w:color w:val="000000"/>
              </w:rPr>
              <w:t>ep-25</w:t>
            </w:r>
          </w:p>
        </w:tc>
      </w:tr>
      <w:tr w:rsidR="002E1D97" w:rsidRPr="00D357E4" w14:paraId="06351C8D" w14:textId="77777777" w:rsidTr="002E1D97">
        <w:trPr>
          <w:trHeight w:val="300"/>
        </w:trPr>
        <w:tc>
          <w:tcPr>
            <w:tcW w:w="310" w:type="pct"/>
            <w:tcBorders>
              <w:top w:val="single" w:sz="4" w:space="0" w:color="auto"/>
              <w:left w:val="single" w:sz="4" w:space="0" w:color="auto"/>
              <w:bottom w:val="single" w:sz="4" w:space="0" w:color="auto"/>
              <w:right w:val="single" w:sz="4" w:space="0" w:color="auto"/>
            </w:tcBorders>
            <w:noWrap/>
            <w:vAlign w:val="bottom"/>
          </w:tcPr>
          <w:p w14:paraId="29040868" w14:textId="7FE7605F" w:rsidR="003D5BF3" w:rsidRPr="00D357E4" w:rsidRDefault="00550A29" w:rsidP="006B0F69">
            <w:pPr>
              <w:spacing w:after="0" w:line="240" w:lineRule="auto"/>
              <w:jc w:val="both"/>
              <w:rPr>
                <w:rFonts w:ascii="Aptos Narrow" w:eastAsia="Times New Roman" w:hAnsi="Aptos Narrow" w:cs="Times New Roman"/>
                <w:color w:val="000000"/>
              </w:rPr>
            </w:pPr>
            <w:r w:rsidRPr="00D357E4">
              <w:rPr>
                <w:rFonts w:ascii="Aptos Narrow" w:eastAsia="Times New Roman" w:hAnsi="Aptos Narrow" w:cs="Times New Roman"/>
                <w:color w:val="000000"/>
              </w:rPr>
              <w:t>9</w:t>
            </w:r>
          </w:p>
        </w:tc>
        <w:tc>
          <w:tcPr>
            <w:tcW w:w="1487" w:type="pct"/>
            <w:tcBorders>
              <w:top w:val="single" w:sz="4" w:space="0" w:color="auto"/>
              <w:left w:val="single" w:sz="4" w:space="0" w:color="auto"/>
              <w:bottom w:val="single" w:sz="4" w:space="0" w:color="auto"/>
              <w:right w:val="single" w:sz="4" w:space="0" w:color="auto"/>
            </w:tcBorders>
            <w:noWrap/>
            <w:vAlign w:val="bottom"/>
            <w:hideMark/>
          </w:tcPr>
          <w:p w14:paraId="1AC3414B" w14:textId="77777777" w:rsidR="003D5BF3" w:rsidRPr="00D357E4" w:rsidRDefault="003D5BF3" w:rsidP="006B0F69">
            <w:pPr>
              <w:spacing w:after="0" w:line="240" w:lineRule="auto"/>
              <w:jc w:val="both"/>
              <w:rPr>
                <w:rFonts w:ascii="Aptos Narrow" w:eastAsia="Times New Roman" w:hAnsi="Aptos Narrow" w:cs="Times New Roman"/>
                <w:color w:val="000000"/>
              </w:rPr>
            </w:pPr>
            <w:r w:rsidRPr="00D357E4">
              <w:rPr>
                <w:rFonts w:ascii="Aptos Narrow" w:eastAsia="Times New Roman" w:hAnsi="Aptos Narrow" w:cs="Times New Roman"/>
                <w:color w:val="000000"/>
              </w:rPr>
              <w:t>SYLVA Géraldine</w:t>
            </w:r>
          </w:p>
        </w:tc>
        <w:tc>
          <w:tcPr>
            <w:tcW w:w="1640" w:type="pct"/>
            <w:tcBorders>
              <w:top w:val="single" w:sz="4" w:space="0" w:color="auto"/>
              <w:left w:val="single" w:sz="4" w:space="0" w:color="auto"/>
              <w:bottom w:val="single" w:sz="4" w:space="0" w:color="auto"/>
              <w:right w:val="single" w:sz="4" w:space="0" w:color="auto"/>
            </w:tcBorders>
            <w:noWrap/>
            <w:vAlign w:val="bottom"/>
            <w:hideMark/>
          </w:tcPr>
          <w:p w14:paraId="4FACA6F9" w14:textId="77777777" w:rsidR="003D5BF3" w:rsidRPr="00D357E4" w:rsidRDefault="003D5BF3" w:rsidP="006B0F69">
            <w:pPr>
              <w:spacing w:after="0" w:line="240" w:lineRule="auto"/>
              <w:jc w:val="both"/>
              <w:rPr>
                <w:rFonts w:ascii="Aptos Narrow" w:eastAsia="Times New Roman" w:hAnsi="Aptos Narrow" w:cs="Times New Roman"/>
                <w:color w:val="000000"/>
              </w:rPr>
            </w:pPr>
            <w:r w:rsidRPr="00D357E4">
              <w:rPr>
                <w:rFonts w:ascii="Aptos Narrow" w:eastAsia="Times New Roman" w:hAnsi="Aptos Narrow" w:cs="Times New Roman"/>
                <w:color w:val="000000"/>
              </w:rPr>
              <w:t>Agent admin (Budget et Finance)</w:t>
            </w:r>
          </w:p>
        </w:tc>
        <w:tc>
          <w:tcPr>
            <w:tcW w:w="754" w:type="pct"/>
            <w:tcBorders>
              <w:top w:val="single" w:sz="4" w:space="0" w:color="auto"/>
              <w:left w:val="single" w:sz="4" w:space="0" w:color="auto"/>
              <w:bottom w:val="single" w:sz="4" w:space="0" w:color="auto"/>
              <w:right w:val="single" w:sz="4" w:space="0" w:color="auto"/>
            </w:tcBorders>
            <w:noWrap/>
            <w:vAlign w:val="bottom"/>
            <w:hideMark/>
          </w:tcPr>
          <w:p w14:paraId="2D8E784C" w14:textId="77777777" w:rsidR="003D5BF3" w:rsidRPr="00D357E4" w:rsidRDefault="003D5BF3" w:rsidP="006B1B79">
            <w:pPr>
              <w:spacing w:after="0" w:line="240" w:lineRule="auto"/>
              <w:jc w:val="center"/>
              <w:rPr>
                <w:rFonts w:ascii="Aptos Narrow" w:eastAsia="Times New Roman" w:hAnsi="Aptos Narrow" w:cs="Times New Roman"/>
                <w:color w:val="000000"/>
              </w:rPr>
            </w:pPr>
            <w:r w:rsidRPr="00D357E4">
              <w:rPr>
                <w:rFonts w:ascii="Aptos Narrow" w:eastAsia="Times New Roman" w:hAnsi="Aptos Narrow" w:cs="Times New Roman"/>
                <w:color w:val="000000"/>
              </w:rPr>
              <w:t>PB</w:t>
            </w:r>
          </w:p>
        </w:tc>
        <w:tc>
          <w:tcPr>
            <w:tcW w:w="809" w:type="pct"/>
            <w:tcBorders>
              <w:top w:val="single" w:sz="4" w:space="0" w:color="auto"/>
              <w:left w:val="single" w:sz="4" w:space="0" w:color="auto"/>
              <w:bottom w:val="single" w:sz="4" w:space="0" w:color="auto"/>
              <w:right w:val="single" w:sz="4" w:space="0" w:color="auto"/>
            </w:tcBorders>
            <w:noWrap/>
            <w:vAlign w:val="bottom"/>
            <w:hideMark/>
          </w:tcPr>
          <w:p w14:paraId="4DA9CD48" w14:textId="0FF422BC" w:rsidR="003D5BF3" w:rsidRPr="00D357E4" w:rsidRDefault="003D5BF3" w:rsidP="006B1B79">
            <w:pPr>
              <w:spacing w:after="0" w:line="240" w:lineRule="auto"/>
              <w:jc w:val="center"/>
              <w:rPr>
                <w:rFonts w:ascii="Aptos Narrow" w:eastAsia="Times New Roman" w:hAnsi="Aptos Narrow" w:cs="Times New Roman"/>
                <w:color w:val="000000"/>
              </w:rPr>
            </w:pPr>
            <w:r w:rsidRPr="00D357E4">
              <w:rPr>
                <w:rFonts w:ascii="Aptos Narrow" w:eastAsia="Times New Roman" w:hAnsi="Aptos Narrow" w:cs="Times New Roman"/>
                <w:color w:val="000000"/>
              </w:rPr>
              <w:t>15-</w:t>
            </w:r>
            <w:r w:rsidR="006B1B79">
              <w:rPr>
                <w:rFonts w:ascii="Aptos Narrow" w:eastAsia="Times New Roman" w:hAnsi="Aptos Narrow" w:cs="Times New Roman"/>
                <w:color w:val="000000"/>
              </w:rPr>
              <w:t>s</w:t>
            </w:r>
            <w:r w:rsidRPr="00D357E4">
              <w:rPr>
                <w:rFonts w:ascii="Aptos Narrow" w:eastAsia="Times New Roman" w:hAnsi="Aptos Narrow" w:cs="Times New Roman"/>
                <w:color w:val="000000"/>
              </w:rPr>
              <w:t>ep-25</w:t>
            </w:r>
          </w:p>
        </w:tc>
      </w:tr>
      <w:tr w:rsidR="002E1D97" w:rsidRPr="00D357E4" w14:paraId="2D1D6027" w14:textId="77777777" w:rsidTr="002E1D97">
        <w:trPr>
          <w:trHeight w:val="300"/>
        </w:trPr>
        <w:tc>
          <w:tcPr>
            <w:tcW w:w="310" w:type="pct"/>
            <w:tcBorders>
              <w:top w:val="single" w:sz="4" w:space="0" w:color="auto"/>
              <w:left w:val="single" w:sz="4" w:space="0" w:color="auto"/>
              <w:bottom w:val="single" w:sz="4" w:space="0" w:color="auto"/>
              <w:right w:val="single" w:sz="4" w:space="0" w:color="auto"/>
            </w:tcBorders>
            <w:noWrap/>
            <w:vAlign w:val="bottom"/>
          </w:tcPr>
          <w:p w14:paraId="3E94F516" w14:textId="5D544C17" w:rsidR="003D5BF3" w:rsidRPr="00D357E4" w:rsidRDefault="00550A29" w:rsidP="006B0F69">
            <w:pPr>
              <w:spacing w:after="0" w:line="240" w:lineRule="auto"/>
              <w:jc w:val="both"/>
              <w:rPr>
                <w:rFonts w:ascii="Aptos Narrow" w:eastAsia="Times New Roman" w:hAnsi="Aptos Narrow" w:cs="Times New Roman"/>
                <w:color w:val="000000"/>
              </w:rPr>
            </w:pPr>
            <w:r w:rsidRPr="00D357E4">
              <w:rPr>
                <w:rFonts w:ascii="Aptos Narrow" w:eastAsia="Times New Roman" w:hAnsi="Aptos Narrow" w:cs="Times New Roman"/>
                <w:color w:val="000000"/>
              </w:rPr>
              <w:t>10</w:t>
            </w:r>
          </w:p>
        </w:tc>
        <w:tc>
          <w:tcPr>
            <w:tcW w:w="1487" w:type="pct"/>
            <w:tcBorders>
              <w:top w:val="single" w:sz="4" w:space="0" w:color="auto"/>
              <w:left w:val="single" w:sz="4" w:space="0" w:color="auto"/>
              <w:bottom w:val="single" w:sz="4" w:space="0" w:color="auto"/>
              <w:right w:val="single" w:sz="4" w:space="0" w:color="auto"/>
            </w:tcBorders>
            <w:noWrap/>
            <w:vAlign w:val="bottom"/>
            <w:hideMark/>
          </w:tcPr>
          <w:p w14:paraId="738B18BE" w14:textId="77777777" w:rsidR="003D5BF3" w:rsidRPr="00D357E4" w:rsidRDefault="003D5BF3" w:rsidP="006B0F69">
            <w:pPr>
              <w:spacing w:after="0" w:line="240" w:lineRule="auto"/>
              <w:jc w:val="both"/>
              <w:rPr>
                <w:rFonts w:ascii="Aptos Narrow" w:eastAsia="Times New Roman" w:hAnsi="Aptos Narrow" w:cs="Times New Roman"/>
                <w:color w:val="000000"/>
              </w:rPr>
            </w:pPr>
            <w:r w:rsidRPr="00D357E4">
              <w:rPr>
                <w:rFonts w:ascii="Aptos Narrow" w:eastAsia="Times New Roman" w:hAnsi="Aptos Narrow" w:cs="Times New Roman"/>
                <w:color w:val="000000"/>
              </w:rPr>
              <w:t>SCHOUPPE Claudia</w:t>
            </w:r>
          </w:p>
        </w:tc>
        <w:tc>
          <w:tcPr>
            <w:tcW w:w="1640" w:type="pct"/>
            <w:tcBorders>
              <w:top w:val="single" w:sz="4" w:space="0" w:color="auto"/>
              <w:left w:val="single" w:sz="4" w:space="0" w:color="auto"/>
              <w:bottom w:val="single" w:sz="4" w:space="0" w:color="auto"/>
              <w:right w:val="single" w:sz="4" w:space="0" w:color="auto"/>
            </w:tcBorders>
            <w:noWrap/>
            <w:vAlign w:val="bottom"/>
            <w:hideMark/>
          </w:tcPr>
          <w:p w14:paraId="3A41235D" w14:textId="77777777" w:rsidR="003D5BF3" w:rsidRPr="00D357E4" w:rsidRDefault="003D5BF3" w:rsidP="006B0F69">
            <w:pPr>
              <w:spacing w:after="0" w:line="240" w:lineRule="auto"/>
              <w:jc w:val="both"/>
              <w:rPr>
                <w:rFonts w:ascii="Aptos Narrow" w:eastAsia="Times New Roman" w:hAnsi="Aptos Narrow" w:cs="Times New Roman"/>
                <w:color w:val="000000"/>
              </w:rPr>
            </w:pPr>
            <w:r w:rsidRPr="00D357E4">
              <w:rPr>
                <w:rFonts w:ascii="Aptos Narrow" w:eastAsia="Times New Roman" w:hAnsi="Aptos Narrow" w:cs="Times New Roman"/>
                <w:color w:val="000000"/>
              </w:rPr>
              <w:t xml:space="preserve">Secrétaire auprès de la direction </w:t>
            </w:r>
          </w:p>
        </w:tc>
        <w:tc>
          <w:tcPr>
            <w:tcW w:w="754" w:type="pct"/>
            <w:tcBorders>
              <w:top w:val="single" w:sz="4" w:space="0" w:color="auto"/>
              <w:left w:val="single" w:sz="4" w:space="0" w:color="auto"/>
              <w:bottom w:val="single" w:sz="4" w:space="0" w:color="auto"/>
              <w:right w:val="single" w:sz="4" w:space="0" w:color="auto"/>
            </w:tcBorders>
            <w:noWrap/>
            <w:vAlign w:val="bottom"/>
            <w:hideMark/>
          </w:tcPr>
          <w:p w14:paraId="6FF687D1" w14:textId="77777777" w:rsidR="003D5BF3" w:rsidRPr="00D357E4" w:rsidRDefault="003D5BF3" w:rsidP="006B1B79">
            <w:pPr>
              <w:spacing w:after="0" w:line="240" w:lineRule="auto"/>
              <w:jc w:val="center"/>
              <w:rPr>
                <w:rFonts w:ascii="Aptos Narrow" w:eastAsia="Times New Roman" w:hAnsi="Aptos Narrow" w:cs="Times New Roman"/>
                <w:color w:val="000000"/>
              </w:rPr>
            </w:pPr>
            <w:r w:rsidRPr="00D357E4">
              <w:rPr>
                <w:rFonts w:ascii="Aptos Narrow" w:eastAsia="Times New Roman" w:hAnsi="Aptos Narrow" w:cs="Times New Roman"/>
                <w:color w:val="000000"/>
              </w:rPr>
              <w:t>PB</w:t>
            </w:r>
          </w:p>
        </w:tc>
        <w:tc>
          <w:tcPr>
            <w:tcW w:w="809" w:type="pct"/>
            <w:tcBorders>
              <w:top w:val="single" w:sz="4" w:space="0" w:color="auto"/>
              <w:left w:val="single" w:sz="4" w:space="0" w:color="auto"/>
              <w:bottom w:val="single" w:sz="4" w:space="0" w:color="auto"/>
              <w:right w:val="single" w:sz="4" w:space="0" w:color="auto"/>
            </w:tcBorders>
            <w:noWrap/>
            <w:vAlign w:val="bottom"/>
            <w:hideMark/>
          </w:tcPr>
          <w:p w14:paraId="5FC53F61" w14:textId="77777777" w:rsidR="003D5BF3" w:rsidRPr="00D357E4" w:rsidRDefault="003D5BF3" w:rsidP="006B1B79">
            <w:pPr>
              <w:spacing w:after="0" w:line="240" w:lineRule="auto"/>
              <w:jc w:val="center"/>
              <w:rPr>
                <w:rFonts w:ascii="Aptos Narrow" w:eastAsia="Times New Roman" w:hAnsi="Aptos Narrow" w:cs="Times New Roman"/>
                <w:color w:val="000000"/>
              </w:rPr>
            </w:pPr>
            <w:r w:rsidRPr="00D357E4">
              <w:rPr>
                <w:rFonts w:ascii="Aptos Narrow" w:eastAsia="Times New Roman" w:hAnsi="Aptos Narrow" w:cs="Times New Roman"/>
                <w:color w:val="000000"/>
              </w:rPr>
              <w:t>15-Sep-25</w:t>
            </w:r>
          </w:p>
        </w:tc>
      </w:tr>
      <w:tr w:rsidR="00550A29" w:rsidRPr="00D357E4" w14:paraId="7ABA28BF" w14:textId="77777777" w:rsidTr="002E1D97">
        <w:trPr>
          <w:trHeight w:val="300"/>
        </w:trPr>
        <w:tc>
          <w:tcPr>
            <w:tcW w:w="310" w:type="pct"/>
            <w:tcBorders>
              <w:top w:val="single" w:sz="4" w:space="0" w:color="auto"/>
              <w:left w:val="single" w:sz="4" w:space="0" w:color="auto"/>
              <w:bottom w:val="single" w:sz="4" w:space="0" w:color="auto"/>
              <w:right w:val="single" w:sz="4" w:space="0" w:color="auto"/>
            </w:tcBorders>
            <w:noWrap/>
            <w:vAlign w:val="bottom"/>
          </w:tcPr>
          <w:p w14:paraId="53B7254A" w14:textId="16061023" w:rsidR="00550A29" w:rsidRPr="00D357E4" w:rsidRDefault="00550A29" w:rsidP="006B0F69">
            <w:pPr>
              <w:spacing w:after="0" w:line="240" w:lineRule="auto"/>
              <w:jc w:val="both"/>
              <w:rPr>
                <w:rFonts w:ascii="Aptos Narrow" w:eastAsia="Times New Roman" w:hAnsi="Aptos Narrow" w:cs="Times New Roman"/>
                <w:color w:val="000000"/>
              </w:rPr>
            </w:pPr>
            <w:r w:rsidRPr="00D357E4">
              <w:rPr>
                <w:rFonts w:ascii="Aptos Narrow" w:eastAsia="Times New Roman" w:hAnsi="Aptos Narrow" w:cs="Times New Roman"/>
                <w:color w:val="000000"/>
              </w:rPr>
              <w:t>11</w:t>
            </w:r>
          </w:p>
        </w:tc>
        <w:tc>
          <w:tcPr>
            <w:tcW w:w="1487" w:type="pct"/>
            <w:tcBorders>
              <w:top w:val="single" w:sz="4" w:space="0" w:color="auto"/>
              <w:left w:val="single" w:sz="4" w:space="0" w:color="auto"/>
              <w:bottom w:val="single" w:sz="4" w:space="0" w:color="auto"/>
              <w:right w:val="single" w:sz="4" w:space="0" w:color="auto"/>
            </w:tcBorders>
            <w:noWrap/>
            <w:vAlign w:val="bottom"/>
          </w:tcPr>
          <w:p w14:paraId="341E6ADD" w14:textId="21EEEFC5" w:rsidR="00550A29" w:rsidRPr="00D357E4" w:rsidRDefault="00550A29" w:rsidP="006B0F69">
            <w:pPr>
              <w:spacing w:after="0" w:line="240" w:lineRule="auto"/>
              <w:jc w:val="both"/>
              <w:rPr>
                <w:rFonts w:ascii="Aptos Narrow" w:eastAsia="Times New Roman" w:hAnsi="Aptos Narrow" w:cs="Times New Roman"/>
                <w:color w:val="000000"/>
              </w:rPr>
            </w:pPr>
            <w:r w:rsidRPr="00D357E4">
              <w:rPr>
                <w:rFonts w:ascii="Aptos Narrow" w:eastAsia="Times New Roman" w:hAnsi="Aptos Narrow" w:cs="Times New Roman"/>
                <w:color w:val="000000"/>
              </w:rPr>
              <w:t xml:space="preserve">JEEBODH Bineshwaree </w:t>
            </w:r>
          </w:p>
        </w:tc>
        <w:tc>
          <w:tcPr>
            <w:tcW w:w="1640" w:type="pct"/>
            <w:tcBorders>
              <w:top w:val="single" w:sz="4" w:space="0" w:color="auto"/>
              <w:left w:val="single" w:sz="4" w:space="0" w:color="auto"/>
              <w:bottom w:val="single" w:sz="4" w:space="0" w:color="auto"/>
              <w:right w:val="single" w:sz="4" w:space="0" w:color="auto"/>
            </w:tcBorders>
            <w:noWrap/>
            <w:vAlign w:val="bottom"/>
          </w:tcPr>
          <w:p w14:paraId="0DF6781B" w14:textId="66710AD7" w:rsidR="00550A29" w:rsidRPr="00D357E4" w:rsidRDefault="00550A29" w:rsidP="006B0F69">
            <w:pPr>
              <w:spacing w:after="0" w:line="240" w:lineRule="auto"/>
              <w:jc w:val="both"/>
              <w:rPr>
                <w:rFonts w:ascii="Aptos Narrow" w:eastAsia="Times New Roman" w:hAnsi="Aptos Narrow" w:cs="Times New Roman"/>
                <w:color w:val="000000"/>
              </w:rPr>
            </w:pPr>
            <w:r w:rsidRPr="00D357E4">
              <w:rPr>
                <w:rFonts w:ascii="Aptos Narrow" w:eastAsia="Times New Roman" w:hAnsi="Aptos Narrow" w:cs="Times New Roman"/>
                <w:color w:val="000000"/>
              </w:rPr>
              <w:t>Agent admin (Audit Interne)</w:t>
            </w:r>
          </w:p>
        </w:tc>
        <w:tc>
          <w:tcPr>
            <w:tcW w:w="754" w:type="pct"/>
            <w:tcBorders>
              <w:top w:val="single" w:sz="4" w:space="0" w:color="auto"/>
              <w:left w:val="single" w:sz="4" w:space="0" w:color="auto"/>
              <w:bottom w:val="single" w:sz="4" w:space="0" w:color="auto"/>
              <w:right w:val="single" w:sz="4" w:space="0" w:color="auto"/>
            </w:tcBorders>
            <w:noWrap/>
            <w:vAlign w:val="bottom"/>
          </w:tcPr>
          <w:p w14:paraId="436A52CA" w14:textId="19B9D5BD" w:rsidR="00550A29" w:rsidRPr="00D357E4" w:rsidRDefault="00550A29" w:rsidP="006B1B79">
            <w:pPr>
              <w:spacing w:after="0" w:line="240" w:lineRule="auto"/>
              <w:jc w:val="center"/>
              <w:rPr>
                <w:rFonts w:ascii="Aptos Narrow" w:eastAsia="Times New Roman" w:hAnsi="Aptos Narrow" w:cs="Times New Roman"/>
                <w:color w:val="000000"/>
              </w:rPr>
            </w:pPr>
            <w:r w:rsidRPr="00D357E4">
              <w:rPr>
                <w:rFonts w:ascii="Aptos Narrow" w:eastAsia="Times New Roman" w:hAnsi="Aptos Narrow" w:cs="Times New Roman"/>
                <w:color w:val="000000"/>
              </w:rPr>
              <w:t>PB</w:t>
            </w:r>
          </w:p>
        </w:tc>
        <w:tc>
          <w:tcPr>
            <w:tcW w:w="809" w:type="pct"/>
            <w:tcBorders>
              <w:top w:val="single" w:sz="4" w:space="0" w:color="auto"/>
              <w:left w:val="single" w:sz="4" w:space="0" w:color="auto"/>
              <w:bottom w:val="single" w:sz="4" w:space="0" w:color="auto"/>
              <w:right w:val="single" w:sz="4" w:space="0" w:color="auto"/>
            </w:tcBorders>
            <w:noWrap/>
            <w:vAlign w:val="bottom"/>
          </w:tcPr>
          <w:p w14:paraId="60F6E4F3" w14:textId="2B78F784" w:rsidR="00550A29" w:rsidRPr="00D357E4" w:rsidRDefault="00550A29" w:rsidP="006B1B79">
            <w:pPr>
              <w:spacing w:after="0" w:line="240" w:lineRule="auto"/>
              <w:jc w:val="center"/>
              <w:rPr>
                <w:rFonts w:ascii="Aptos Narrow" w:eastAsia="Times New Roman" w:hAnsi="Aptos Narrow" w:cs="Times New Roman"/>
                <w:color w:val="000000"/>
              </w:rPr>
            </w:pPr>
            <w:r w:rsidRPr="00D357E4">
              <w:rPr>
                <w:rFonts w:ascii="Aptos Narrow" w:eastAsia="Times New Roman" w:hAnsi="Aptos Narrow" w:cs="Times New Roman"/>
                <w:color w:val="000000"/>
              </w:rPr>
              <w:t>16-</w:t>
            </w:r>
            <w:r w:rsidR="006B1B79">
              <w:rPr>
                <w:rFonts w:ascii="Aptos Narrow" w:eastAsia="Times New Roman" w:hAnsi="Aptos Narrow" w:cs="Times New Roman"/>
                <w:color w:val="000000"/>
              </w:rPr>
              <w:t>a</w:t>
            </w:r>
            <w:r w:rsidRPr="00D357E4">
              <w:rPr>
                <w:rFonts w:ascii="Aptos Narrow" w:eastAsia="Times New Roman" w:hAnsi="Aptos Narrow" w:cs="Times New Roman"/>
                <w:color w:val="000000"/>
              </w:rPr>
              <w:t>vril-25</w:t>
            </w:r>
          </w:p>
        </w:tc>
      </w:tr>
      <w:tr w:rsidR="00550A29" w:rsidRPr="00D357E4" w14:paraId="072DA526" w14:textId="77777777" w:rsidTr="002E1D97">
        <w:trPr>
          <w:trHeight w:val="300"/>
        </w:trPr>
        <w:tc>
          <w:tcPr>
            <w:tcW w:w="310" w:type="pct"/>
            <w:tcBorders>
              <w:top w:val="single" w:sz="4" w:space="0" w:color="auto"/>
              <w:left w:val="single" w:sz="4" w:space="0" w:color="auto"/>
              <w:bottom w:val="single" w:sz="4" w:space="0" w:color="auto"/>
              <w:right w:val="single" w:sz="4" w:space="0" w:color="auto"/>
            </w:tcBorders>
            <w:noWrap/>
            <w:vAlign w:val="bottom"/>
          </w:tcPr>
          <w:p w14:paraId="68C656E7" w14:textId="4F2602D3" w:rsidR="00550A29" w:rsidRPr="00D357E4" w:rsidRDefault="00550A29" w:rsidP="006B0F69">
            <w:pPr>
              <w:spacing w:after="0" w:line="240" w:lineRule="auto"/>
              <w:jc w:val="both"/>
              <w:rPr>
                <w:rFonts w:ascii="Aptos Narrow" w:eastAsia="Times New Roman" w:hAnsi="Aptos Narrow" w:cs="Times New Roman"/>
                <w:color w:val="000000"/>
              </w:rPr>
            </w:pPr>
            <w:r w:rsidRPr="00D357E4">
              <w:rPr>
                <w:rFonts w:ascii="Aptos Narrow" w:eastAsia="Times New Roman" w:hAnsi="Aptos Narrow" w:cs="Times New Roman"/>
                <w:color w:val="000000"/>
              </w:rPr>
              <w:t>12</w:t>
            </w:r>
          </w:p>
        </w:tc>
        <w:tc>
          <w:tcPr>
            <w:tcW w:w="1487" w:type="pct"/>
            <w:tcBorders>
              <w:top w:val="single" w:sz="4" w:space="0" w:color="auto"/>
              <w:left w:val="single" w:sz="4" w:space="0" w:color="auto"/>
              <w:bottom w:val="single" w:sz="4" w:space="0" w:color="auto"/>
              <w:right w:val="single" w:sz="4" w:space="0" w:color="auto"/>
            </w:tcBorders>
            <w:noWrap/>
            <w:vAlign w:val="bottom"/>
          </w:tcPr>
          <w:p w14:paraId="1C00D29B" w14:textId="14AFAB18" w:rsidR="00550A29" w:rsidRPr="00D357E4" w:rsidRDefault="00550A29" w:rsidP="006B0F69">
            <w:pPr>
              <w:spacing w:after="0" w:line="240" w:lineRule="auto"/>
              <w:jc w:val="both"/>
              <w:rPr>
                <w:rFonts w:ascii="Aptos Narrow" w:eastAsia="Times New Roman" w:hAnsi="Aptos Narrow" w:cs="Times New Roman"/>
                <w:color w:val="000000"/>
              </w:rPr>
            </w:pPr>
            <w:r w:rsidRPr="00D357E4">
              <w:rPr>
                <w:rFonts w:ascii="Aptos Narrow" w:eastAsia="Times New Roman" w:hAnsi="Aptos Narrow" w:cs="Times New Roman"/>
                <w:color w:val="000000"/>
              </w:rPr>
              <w:t>Vacant</w:t>
            </w:r>
          </w:p>
        </w:tc>
        <w:tc>
          <w:tcPr>
            <w:tcW w:w="1640" w:type="pct"/>
            <w:tcBorders>
              <w:top w:val="single" w:sz="4" w:space="0" w:color="auto"/>
              <w:left w:val="single" w:sz="4" w:space="0" w:color="auto"/>
              <w:bottom w:val="single" w:sz="4" w:space="0" w:color="auto"/>
              <w:right w:val="single" w:sz="4" w:space="0" w:color="auto"/>
            </w:tcBorders>
            <w:noWrap/>
            <w:vAlign w:val="bottom"/>
          </w:tcPr>
          <w:p w14:paraId="669C535B" w14:textId="32437BD4" w:rsidR="00550A29" w:rsidRPr="00D357E4" w:rsidRDefault="00550A29" w:rsidP="006B0F69">
            <w:pPr>
              <w:spacing w:after="0" w:line="240" w:lineRule="auto"/>
              <w:jc w:val="both"/>
              <w:rPr>
                <w:rFonts w:ascii="Aptos Narrow" w:eastAsia="Times New Roman" w:hAnsi="Aptos Narrow" w:cs="Times New Roman"/>
                <w:color w:val="000000"/>
              </w:rPr>
            </w:pPr>
            <w:r w:rsidRPr="00D357E4">
              <w:rPr>
                <w:rFonts w:ascii="Aptos Narrow" w:eastAsia="Times New Roman" w:hAnsi="Aptos Narrow" w:cs="Times New Roman"/>
                <w:color w:val="000000"/>
              </w:rPr>
              <w:t>Agent administratif - Passation de Marchés</w:t>
            </w:r>
          </w:p>
        </w:tc>
        <w:tc>
          <w:tcPr>
            <w:tcW w:w="754" w:type="pct"/>
            <w:tcBorders>
              <w:top w:val="single" w:sz="4" w:space="0" w:color="auto"/>
              <w:left w:val="single" w:sz="4" w:space="0" w:color="auto"/>
              <w:bottom w:val="single" w:sz="4" w:space="0" w:color="auto"/>
              <w:right w:val="single" w:sz="4" w:space="0" w:color="auto"/>
            </w:tcBorders>
            <w:noWrap/>
            <w:vAlign w:val="bottom"/>
          </w:tcPr>
          <w:p w14:paraId="1636BC1A" w14:textId="61F25220" w:rsidR="00550A29" w:rsidRPr="00D357E4" w:rsidRDefault="00550A29" w:rsidP="006B1B79">
            <w:pPr>
              <w:spacing w:after="0" w:line="240" w:lineRule="auto"/>
              <w:jc w:val="center"/>
              <w:rPr>
                <w:rFonts w:ascii="Aptos Narrow" w:eastAsia="Times New Roman" w:hAnsi="Aptos Narrow" w:cs="Times New Roman"/>
                <w:color w:val="000000"/>
              </w:rPr>
            </w:pPr>
            <w:r w:rsidRPr="00D357E4">
              <w:rPr>
                <w:rFonts w:ascii="Aptos Narrow" w:eastAsia="Times New Roman" w:hAnsi="Aptos Narrow" w:cs="Times New Roman"/>
                <w:color w:val="000000"/>
              </w:rPr>
              <w:t>PB</w:t>
            </w:r>
          </w:p>
        </w:tc>
        <w:tc>
          <w:tcPr>
            <w:tcW w:w="809" w:type="pct"/>
            <w:tcBorders>
              <w:top w:val="single" w:sz="4" w:space="0" w:color="auto"/>
              <w:left w:val="single" w:sz="4" w:space="0" w:color="auto"/>
              <w:bottom w:val="single" w:sz="4" w:space="0" w:color="auto"/>
              <w:right w:val="single" w:sz="4" w:space="0" w:color="auto"/>
            </w:tcBorders>
            <w:noWrap/>
            <w:vAlign w:val="bottom"/>
          </w:tcPr>
          <w:p w14:paraId="4CDAF674" w14:textId="284574DC" w:rsidR="00550A29" w:rsidRPr="00D357E4" w:rsidRDefault="00550A29" w:rsidP="006B1B79">
            <w:pPr>
              <w:spacing w:after="0" w:line="240" w:lineRule="auto"/>
              <w:jc w:val="center"/>
              <w:rPr>
                <w:rFonts w:ascii="Aptos Narrow" w:eastAsia="Times New Roman" w:hAnsi="Aptos Narrow" w:cs="Times New Roman"/>
                <w:color w:val="000000"/>
              </w:rPr>
            </w:pPr>
            <w:r w:rsidRPr="00D357E4">
              <w:rPr>
                <w:rFonts w:ascii="Aptos Narrow" w:eastAsia="Times New Roman" w:hAnsi="Aptos Narrow" w:cs="Times New Roman"/>
                <w:color w:val="000000"/>
              </w:rPr>
              <w:t>Vacant</w:t>
            </w:r>
          </w:p>
        </w:tc>
      </w:tr>
    </w:tbl>
    <w:p w14:paraId="23D082B7" w14:textId="77777777" w:rsidR="00420C8B" w:rsidRPr="00D357E4" w:rsidRDefault="00420C8B" w:rsidP="006B0F69">
      <w:pPr>
        <w:spacing w:after="0" w:line="240" w:lineRule="auto"/>
        <w:jc w:val="both"/>
        <w:rPr>
          <w:rFonts w:ascii="Verdana" w:hAnsi="Verdana"/>
          <w:sz w:val="20"/>
          <w:szCs w:val="20"/>
        </w:rPr>
      </w:pPr>
    </w:p>
    <w:p w14:paraId="303A5F38" w14:textId="77777777" w:rsidR="00562E4C" w:rsidRPr="00D357E4" w:rsidRDefault="00562E4C" w:rsidP="006B0F69">
      <w:pPr>
        <w:spacing w:after="0" w:line="240" w:lineRule="auto"/>
        <w:jc w:val="both"/>
        <w:rPr>
          <w:rFonts w:ascii="Verdana" w:hAnsi="Verdana"/>
          <w:sz w:val="20"/>
          <w:szCs w:val="20"/>
        </w:rPr>
      </w:pPr>
    </w:p>
    <w:p w14:paraId="11335AA2" w14:textId="187DF3A4" w:rsidR="00420C8B" w:rsidRPr="00D357E4" w:rsidRDefault="00806840" w:rsidP="00FA15FB">
      <w:pPr>
        <w:pStyle w:val="Sous-partie2"/>
        <w:numPr>
          <w:ilvl w:val="0"/>
          <w:numId w:val="0"/>
        </w:numPr>
        <w:ind w:left="360"/>
      </w:pPr>
      <w:r w:rsidRPr="00D357E4">
        <w:t xml:space="preserve">2.2. </w:t>
      </w:r>
      <w:r w:rsidR="00420C8B" w:rsidRPr="00D357E4">
        <w:t xml:space="preserve">Nouveau Référentiel de compétence pour la COI </w:t>
      </w:r>
    </w:p>
    <w:p w14:paraId="7A28BC82" w14:textId="58972B53" w:rsidR="00420C8B" w:rsidRPr="00D357E4" w:rsidRDefault="00420C8B" w:rsidP="006B0F69">
      <w:pPr>
        <w:spacing w:after="0" w:line="240" w:lineRule="auto"/>
        <w:jc w:val="both"/>
        <w:rPr>
          <w:rFonts w:ascii="Verdana" w:hAnsi="Verdana"/>
          <w:sz w:val="20"/>
          <w:szCs w:val="20"/>
        </w:rPr>
      </w:pPr>
      <w:r w:rsidRPr="00D357E4">
        <w:rPr>
          <w:rFonts w:ascii="Verdana" w:hAnsi="Verdana"/>
          <w:sz w:val="20"/>
          <w:szCs w:val="20"/>
        </w:rPr>
        <w:t xml:space="preserve">Dans le cadre du processus d’accréditation aux neuf piliers des instances de la COI, un projet de construction d’un référentiel de compétences est engagé. Cet outil stratégique vise à identifier, structurer et valoriser les compétences clés nécessaires au bon fonctionnement de l’organisation, en cohérence avec ses missions et ses objectifs stratégiques et </w:t>
      </w:r>
      <w:r w:rsidR="006B1B79">
        <w:rPr>
          <w:rFonts w:ascii="Verdana" w:hAnsi="Verdana"/>
          <w:sz w:val="20"/>
          <w:szCs w:val="20"/>
        </w:rPr>
        <w:t xml:space="preserve">à </w:t>
      </w:r>
      <w:r w:rsidRPr="00D357E4">
        <w:rPr>
          <w:rFonts w:ascii="Verdana" w:hAnsi="Verdana"/>
          <w:sz w:val="20"/>
          <w:szCs w:val="20"/>
        </w:rPr>
        <w:t>accompagner la professionnalisation du Secrétariat général. Le référentiel constituera une base commune pour harmoniser les pratiques de gestion des ressources humaines, renforcer les capacités des équipes et soutenir la professionnalisation de la COI. Il servira également de cadre de référence pour le recrutement, l’évaluation, la formation et l’évolution des collaborateurs, et assurer</w:t>
      </w:r>
      <w:r w:rsidR="006B1B79">
        <w:rPr>
          <w:rFonts w:ascii="Verdana" w:hAnsi="Verdana"/>
          <w:sz w:val="20"/>
          <w:szCs w:val="20"/>
        </w:rPr>
        <w:t>a</w:t>
      </w:r>
      <w:r w:rsidRPr="00D357E4">
        <w:rPr>
          <w:rFonts w:ascii="Verdana" w:hAnsi="Verdana"/>
          <w:sz w:val="20"/>
          <w:szCs w:val="20"/>
        </w:rPr>
        <w:t xml:space="preserve"> une meilleure adéquation entre les compétences disponibles et les besoins des projets.</w:t>
      </w:r>
    </w:p>
    <w:p w14:paraId="07D4C842" w14:textId="77777777" w:rsidR="00420C8B" w:rsidRPr="00D357E4" w:rsidRDefault="00420C8B" w:rsidP="006B0F69">
      <w:pPr>
        <w:spacing w:after="0" w:line="240" w:lineRule="auto"/>
        <w:jc w:val="both"/>
        <w:rPr>
          <w:rFonts w:ascii="Verdana" w:hAnsi="Verdana"/>
          <w:sz w:val="20"/>
          <w:szCs w:val="20"/>
        </w:rPr>
      </w:pPr>
    </w:p>
    <w:p w14:paraId="0913375D" w14:textId="5BFF0DC7" w:rsidR="00420C8B" w:rsidRPr="00D357E4" w:rsidRDefault="00420C8B" w:rsidP="006B0F69">
      <w:pPr>
        <w:spacing w:after="0" w:line="240" w:lineRule="auto"/>
        <w:jc w:val="both"/>
        <w:rPr>
          <w:rFonts w:ascii="Verdana" w:hAnsi="Verdana"/>
          <w:sz w:val="20"/>
          <w:szCs w:val="20"/>
        </w:rPr>
      </w:pPr>
      <w:r w:rsidRPr="00D357E4">
        <w:rPr>
          <w:rFonts w:ascii="Verdana" w:hAnsi="Verdana"/>
          <w:sz w:val="20"/>
          <w:szCs w:val="20"/>
        </w:rPr>
        <w:t xml:space="preserve">Afin de développer ce référentiel, le Secrétariat général a fait appel à un consultant financé </w:t>
      </w:r>
      <w:r w:rsidR="006B1B79">
        <w:rPr>
          <w:rFonts w:ascii="Verdana" w:hAnsi="Verdana"/>
          <w:sz w:val="20"/>
          <w:szCs w:val="20"/>
        </w:rPr>
        <w:t>par</w:t>
      </w:r>
      <w:r w:rsidRPr="00D357E4">
        <w:rPr>
          <w:rFonts w:ascii="Verdana" w:hAnsi="Verdana"/>
          <w:sz w:val="20"/>
          <w:szCs w:val="20"/>
        </w:rPr>
        <w:t xml:space="preserve"> le projet Horizon 2030. Sa mission consistera à accompagner l’identification des besoins spécifiques, à concevoir la méthodologie de structuration des compétences et à proposer un cadre opérationnel adapté au contexte de la COI. </w:t>
      </w:r>
      <w:r w:rsidRPr="006B1B79">
        <w:rPr>
          <w:rFonts w:ascii="Verdana" w:hAnsi="Verdana"/>
          <w:sz w:val="20"/>
          <w:szCs w:val="20"/>
        </w:rPr>
        <w:t xml:space="preserve">M. Marc-Henri </w:t>
      </w:r>
      <w:r w:rsidR="005E5B55" w:rsidRPr="006B1B79">
        <w:rPr>
          <w:rFonts w:ascii="Verdana" w:hAnsi="Verdana"/>
          <w:sz w:val="20"/>
          <w:szCs w:val="20"/>
        </w:rPr>
        <w:t>FAGLA</w:t>
      </w:r>
      <w:r w:rsidRPr="00D357E4">
        <w:rPr>
          <w:rFonts w:ascii="Verdana" w:hAnsi="Verdana"/>
          <w:sz w:val="20"/>
          <w:szCs w:val="20"/>
        </w:rPr>
        <w:t xml:space="preserve"> a ainsi </w:t>
      </w:r>
      <w:r w:rsidRPr="00D357E4">
        <w:rPr>
          <w:rFonts w:ascii="Verdana" w:hAnsi="Verdana"/>
          <w:sz w:val="20"/>
          <w:szCs w:val="20"/>
        </w:rPr>
        <w:lastRenderedPageBreak/>
        <w:t>rejoint le Secrétariat général pour quelques mois afin d’apporter son expertise et de conduire ce travail en étroite collaboration avec les équipes. L’appui de ce consultant permettra de garantir la qualité technique du référentiel et son alignement avec les standards internationaux ainsi qu’avec les priorités définies dans le PDS.</w:t>
      </w:r>
    </w:p>
    <w:p w14:paraId="413FA4C8" w14:textId="77777777" w:rsidR="00420C8B" w:rsidRPr="00D357E4" w:rsidRDefault="00420C8B" w:rsidP="006B0F69">
      <w:pPr>
        <w:spacing w:after="0" w:line="240" w:lineRule="auto"/>
        <w:jc w:val="both"/>
        <w:rPr>
          <w:rFonts w:ascii="Verdana" w:hAnsi="Verdana"/>
          <w:sz w:val="20"/>
          <w:szCs w:val="20"/>
        </w:rPr>
      </w:pPr>
    </w:p>
    <w:p w14:paraId="0437EC8E" w14:textId="32F89420" w:rsidR="00420C8B" w:rsidRPr="00D357E4" w:rsidRDefault="00806840" w:rsidP="00FA15FB">
      <w:pPr>
        <w:pStyle w:val="Sous-partie2"/>
        <w:numPr>
          <w:ilvl w:val="0"/>
          <w:numId w:val="0"/>
        </w:numPr>
        <w:ind w:left="360"/>
      </w:pPr>
      <w:r w:rsidRPr="00D357E4">
        <w:t xml:space="preserve">2.3. </w:t>
      </w:r>
      <w:r w:rsidR="00420C8B" w:rsidRPr="00D357E4">
        <w:t xml:space="preserve">Formation  </w:t>
      </w:r>
    </w:p>
    <w:p w14:paraId="707AA97F" w14:textId="27A62741" w:rsidR="00420C8B" w:rsidRPr="00D357E4" w:rsidRDefault="00420C8B" w:rsidP="006B0F69">
      <w:pPr>
        <w:spacing w:after="0" w:line="240" w:lineRule="auto"/>
        <w:jc w:val="both"/>
        <w:rPr>
          <w:rFonts w:ascii="Verdana" w:hAnsi="Verdana"/>
          <w:sz w:val="20"/>
          <w:szCs w:val="20"/>
        </w:rPr>
      </w:pPr>
      <w:r w:rsidRPr="00D357E4">
        <w:rPr>
          <w:rFonts w:ascii="Verdana" w:hAnsi="Verdana"/>
          <w:sz w:val="20"/>
          <w:szCs w:val="20"/>
        </w:rPr>
        <w:t xml:space="preserve">Dans le cadre du processus de modernisation de la COI et en lien avec l’accréditation aux neuf piliers, un plan de formation pluriannuel couvrant la période 2025-2027 </w:t>
      </w:r>
      <w:r w:rsidR="005A17E8" w:rsidRPr="00D357E4">
        <w:rPr>
          <w:rFonts w:ascii="Verdana" w:hAnsi="Verdana"/>
          <w:b/>
          <w:bCs/>
          <w:sz w:val="20"/>
          <w:szCs w:val="20"/>
        </w:rPr>
        <w:t>(Annexe 3)</w:t>
      </w:r>
      <w:r w:rsidR="005A17E8" w:rsidRPr="00D357E4">
        <w:rPr>
          <w:rFonts w:ascii="Verdana" w:hAnsi="Verdana"/>
          <w:sz w:val="20"/>
          <w:szCs w:val="20"/>
        </w:rPr>
        <w:t xml:space="preserve"> </w:t>
      </w:r>
      <w:r w:rsidRPr="00D357E4">
        <w:rPr>
          <w:rFonts w:ascii="Verdana" w:hAnsi="Verdana"/>
          <w:sz w:val="20"/>
          <w:szCs w:val="20"/>
        </w:rPr>
        <w:t xml:space="preserve">a été élaboré. Financé en grande partie par le projet </w:t>
      </w:r>
      <w:r w:rsidRPr="00D357E4">
        <w:rPr>
          <w:rFonts w:ascii="Verdana" w:hAnsi="Verdana"/>
          <w:i/>
          <w:iCs/>
          <w:sz w:val="20"/>
          <w:szCs w:val="20"/>
        </w:rPr>
        <w:t>Horizon 2030</w:t>
      </w:r>
      <w:r w:rsidRPr="00D357E4">
        <w:rPr>
          <w:rFonts w:ascii="Verdana" w:hAnsi="Verdana"/>
          <w:sz w:val="20"/>
          <w:szCs w:val="20"/>
        </w:rPr>
        <w:t>, il prévoit un dispositif combinant des formations assurées par les Assistants techniques du projet, des sessions organisées en interne ainsi que des formations dispensées par des prestataires externes. Ce plan vise à doter le personnel des compétences nécessaires pour répondre aux priorités définies dans le Plan de Développement Stratégique (PDS) et accompagner la mise en œuvre des projets régionaux. À ce titre, plusieurs appels d’offres seront lancés dans les prochaines semaines afin de mobiliser des prestataires externes spécialisés. Ce plan de formation constitue ainsi un levier central de professionnalisation et de performance organisationnelle, contribuant directement à la modernisation de la COI et à l’atteinte de ses objectifs stratégiques.</w:t>
      </w:r>
    </w:p>
    <w:p w14:paraId="2CC569E5" w14:textId="77777777" w:rsidR="00420C8B" w:rsidRPr="00D357E4" w:rsidRDefault="00420C8B" w:rsidP="006B0F69">
      <w:pPr>
        <w:spacing w:after="0" w:line="240" w:lineRule="auto"/>
        <w:jc w:val="both"/>
        <w:rPr>
          <w:rFonts w:ascii="Verdana" w:hAnsi="Verdana"/>
          <w:sz w:val="20"/>
          <w:szCs w:val="20"/>
        </w:rPr>
      </w:pPr>
    </w:p>
    <w:p w14:paraId="2C04AB41" w14:textId="57C41E37" w:rsidR="00CA09B9" w:rsidRPr="00D357E4" w:rsidRDefault="00CA09B9" w:rsidP="006B0F69">
      <w:pPr>
        <w:spacing w:after="0" w:line="240" w:lineRule="auto"/>
        <w:jc w:val="both"/>
        <w:rPr>
          <w:rFonts w:ascii="Verdana" w:hAnsi="Verdana"/>
          <w:sz w:val="20"/>
          <w:szCs w:val="20"/>
        </w:rPr>
      </w:pPr>
      <w:r w:rsidRPr="00D357E4">
        <w:rPr>
          <w:rFonts w:ascii="Verdana" w:hAnsi="Verdana"/>
          <w:sz w:val="20"/>
          <w:szCs w:val="20"/>
        </w:rPr>
        <w:t xml:space="preserve">En 2025, </w:t>
      </w:r>
      <w:r w:rsidR="00CE3B43" w:rsidRPr="00D357E4">
        <w:rPr>
          <w:rFonts w:ascii="Verdana" w:hAnsi="Verdana"/>
          <w:sz w:val="20"/>
          <w:szCs w:val="20"/>
        </w:rPr>
        <w:t>la priorité en formation a été mis</w:t>
      </w:r>
      <w:r w:rsidR="00B50EED" w:rsidRPr="00D357E4">
        <w:rPr>
          <w:rFonts w:ascii="Verdana" w:hAnsi="Verdana"/>
          <w:sz w:val="20"/>
          <w:szCs w:val="20"/>
        </w:rPr>
        <w:t>e</w:t>
      </w:r>
      <w:r w:rsidR="00CE3B43" w:rsidRPr="00D357E4">
        <w:rPr>
          <w:rFonts w:ascii="Verdana" w:hAnsi="Verdana"/>
          <w:sz w:val="20"/>
          <w:szCs w:val="20"/>
        </w:rPr>
        <w:t xml:space="preserve"> sur le renforcement de l’éthique au sein de l’organisation, </w:t>
      </w:r>
      <w:r w:rsidRPr="00D357E4">
        <w:rPr>
          <w:rFonts w:ascii="Verdana" w:hAnsi="Verdana"/>
          <w:sz w:val="20"/>
          <w:szCs w:val="20"/>
        </w:rPr>
        <w:t xml:space="preserve">plus de </w:t>
      </w:r>
      <w:r w:rsidR="003454D7" w:rsidRPr="00D357E4">
        <w:rPr>
          <w:rFonts w:ascii="Verdana" w:hAnsi="Verdana"/>
          <w:sz w:val="20"/>
          <w:szCs w:val="20"/>
        </w:rPr>
        <w:t xml:space="preserve">80 </w:t>
      </w:r>
      <w:r w:rsidRPr="00D357E4">
        <w:rPr>
          <w:rFonts w:ascii="Verdana" w:hAnsi="Verdana"/>
          <w:sz w:val="20"/>
          <w:szCs w:val="20"/>
        </w:rPr>
        <w:t xml:space="preserve">agents ont bénéficié de ces actions, à travers </w:t>
      </w:r>
      <w:r w:rsidR="006B0F69" w:rsidRPr="00D357E4">
        <w:rPr>
          <w:rFonts w:ascii="Verdana" w:hAnsi="Verdana"/>
          <w:sz w:val="20"/>
          <w:szCs w:val="20"/>
        </w:rPr>
        <w:t xml:space="preserve">10 </w:t>
      </w:r>
      <w:r w:rsidRPr="00D357E4">
        <w:rPr>
          <w:rFonts w:ascii="Verdana" w:hAnsi="Verdana"/>
          <w:sz w:val="20"/>
          <w:szCs w:val="20"/>
        </w:rPr>
        <w:t xml:space="preserve">sessions de formation portant sur </w:t>
      </w:r>
      <w:r w:rsidR="006B1B79">
        <w:rPr>
          <w:rFonts w:ascii="Verdana" w:hAnsi="Verdana"/>
          <w:sz w:val="20"/>
          <w:szCs w:val="20"/>
        </w:rPr>
        <w:t>la p</w:t>
      </w:r>
      <w:r w:rsidR="005E05A2" w:rsidRPr="00D357E4">
        <w:rPr>
          <w:rFonts w:ascii="Verdana" w:hAnsi="Verdana"/>
          <w:sz w:val="20"/>
          <w:szCs w:val="20"/>
        </w:rPr>
        <w:t>révention des discriminations, d</w:t>
      </w:r>
      <w:r w:rsidR="006B1B79">
        <w:rPr>
          <w:rFonts w:ascii="Verdana" w:hAnsi="Verdana"/>
          <w:sz w:val="20"/>
          <w:szCs w:val="20"/>
        </w:rPr>
        <w:t>u</w:t>
      </w:r>
      <w:r w:rsidR="005E05A2" w:rsidRPr="00D357E4">
        <w:rPr>
          <w:rFonts w:ascii="Verdana" w:hAnsi="Verdana"/>
          <w:sz w:val="20"/>
          <w:szCs w:val="20"/>
        </w:rPr>
        <w:t xml:space="preserve"> harcèlement et de l’abus d’autorité</w:t>
      </w:r>
      <w:r w:rsidR="00CE3B43" w:rsidRPr="00D357E4">
        <w:rPr>
          <w:rFonts w:ascii="Verdana" w:hAnsi="Verdana"/>
          <w:sz w:val="20"/>
          <w:szCs w:val="20"/>
        </w:rPr>
        <w:t xml:space="preserve">, la </w:t>
      </w:r>
      <w:r w:rsidR="006B1B79">
        <w:rPr>
          <w:rFonts w:ascii="Verdana" w:hAnsi="Verdana"/>
          <w:sz w:val="20"/>
          <w:szCs w:val="20"/>
        </w:rPr>
        <w:t>c</w:t>
      </w:r>
      <w:r w:rsidR="00CE3B43" w:rsidRPr="00D357E4">
        <w:rPr>
          <w:rFonts w:ascii="Verdana" w:hAnsi="Verdana"/>
          <w:sz w:val="20"/>
          <w:szCs w:val="20"/>
        </w:rPr>
        <w:t xml:space="preserve">ybersécurité, </w:t>
      </w:r>
      <w:r w:rsidR="006B1B79">
        <w:rPr>
          <w:rFonts w:ascii="Verdana" w:hAnsi="Verdana"/>
          <w:sz w:val="20"/>
          <w:szCs w:val="20"/>
        </w:rPr>
        <w:t>l</w:t>
      </w:r>
      <w:r w:rsidR="00CE3B43" w:rsidRPr="00D357E4">
        <w:rPr>
          <w:rFonts w:ascii="Verdana" w:hAnsi="Verdana"/>
          <w:sz w:val="20"/>
          <w:szCs w:val="20"/>
        </w:rPr>
        <w:t>e contrôle interne, le code d’éthique et la procédure de lanceur d’alerte</w:t>
      </w:r>
      <w:r w:rsidRPr="00D357E4">
        <w:rPr>
          <w:rFonts w:ascii="Verdana" w:hAnsi="Verdana"/>
          <w:sz w:val="20"/>
          <w:szCs w:val="20"/>
        </w:rPr>
        <w:t>.</w:t>
      </w:r>
    </w:p>
    <w:p w14:paraId="2C7C3A4E" w14:textId="19C7F86D" w:rsidR="00420C8B" w:rsidRPr="00D357E4" w:rsidRDefault="00675365" w:rsidP="006B0F69">
      <w:pPr>
        <w:spacing w:after="0" w:line="240" w:lineRule="auto"/>
        <w:jc w:val="both"/>
        <w:rPr>
          <w:rFonts w:ascii="Verdana" w:hAnsi="Verdana"/>
          <w:sz w:val="20"/>
          <w:szCs w:val="20"/>
        </w:rPr>
      </w:pPr>
      <w:r w:rsidRPr="00D357E4">
        <w:rPr>
          <w:rFonts w:ascii="Verdana" w:hAnsi="Verdana"/>
          <w:sz w:val="20"/>
          <w:szCs w:val="20"/>
        </w:rPr>
        <w:t xml:space="preserve">Certains agents ont pu également </w:t>
      </w:r>
      <w:proofErr w:type="gramStart"/>
      <w:r w:rsidRPr="00D357E4">
        <w:rPr>
          <w:rFonts w:ascii="Verdana" w:hAnsi="Verdana"/>
          <w:sz w:val="20"/>
          <w:szCs w:val="20"/>
        </w:rPr>
        <w:t>profité</w:t>
      </w:r>
      <w:proofErr w:type="gramEnd"/>
      <w:r w:rsidRPr="00D357E4">
        <w:rPr>
          <w:rFonts w:ascii="Verdana" w:hAnsi="Verdana"/>
          <w:sz w:val="20"/>
          <w:szCs w:val="20"/>
        </w:rPr>
        <w:t xml:space="preserve"> de formation individuelle.</w:t>
      </w:r>
    </w:p>
    <w:p w14:paraId="05CA2B22" w14:textId="77777777" w:rsidR="0057744F" w:rsidRPr="00D357E4" w:rsidRDefault="0057744F" w:rsidP="006B0F69">
      <w:pPr>
        <w:pStyle w:val="Paragraphe"/>
      </w:pPr>
    </w:p>
    <w:p w14:paraId="2F7F5914" w14:textId="608AD6BB" w:rsidR="00955BB3" w:rsidRPr="00D357E4" w:rsidRDefault="00955BB3" w:rsidP="006B0F69">
      <w:pPr>
        <w:pStyle w:val="Titrepartie"/>
      </w:pPr>
      <w:r w:rsidRPr="00D357E4">
        <w:t>Proposition de décision</w:t>
      </w:r>
    </w:p>
    <w:p w14:paraId="05F1F967" w14:textId="4CB2A247" w:rsidR="0008468B" w:rsidRPr="00D357E4" w:rsidRDefault="0008468B" w:rsidP="006B0F69">
      <w:pPr>
        <w:pStyle w:val="Paragraphe"/>
      </w:pPr>
      <w:bookmarkStart w:id="2" w:name="_Hlk213082867"/>
      <w:r w:rsidRPr="00D357E4">
        <w:t xml:space="preserve">Le Comité des </w:t>
      </w:r>
      <w:r w:rsidR="00367777" w:rsidRPr="00D357E4">
        <w:t>OPL :</w:t>
      </w:r>
    </w:p>
    <w:bookmarkEnd w:id="2"/>
    <w:p w14:paraId="19BD7294" w14:textId="77777777" w:rsidR="006B1B79" w:rsidRPr="006B1B79" w:rsidRDefault="006B1B79" w:rsidP="006B1B79">
      <w:pPr>
        <w:pStyle w:val="Paragraphe"/>
        <w:numPr>
          <w:ilvl w:val="0"/>
          <w:numId w:val="23"/>
        </w:numPr>
        <w:ind w:left="993" w:hanging="426"/>
      </w:pPr>
      <w:r w:rsidRPr="006B1B79">
        <w:t>Félicite le Secrétariat général pour les progrès réalisés dans le renforcement des ressources humaines ;</w:t>
      </w:r>
    </w:p>
    <w:p w14:paraId="13E15728" w14:textId="77777777" w:rsidR="006B1B79" w:rsidRPr="006B1B79" w:rsidRDefault="006B1B79" w:rsidP="006B1B79">
      <w:pPr>
        <w:pStyle w:val="Paragraphe"/>
        <w:numPr>
          <w:ilvl w:val="0"/>
          <w:numId w:val="23"/>
        </w:numPr>
        <w:ind w:left="993" w:hanging="426"/>
      </w:pPr>
      <w:r w:rsidRPr="006B1B79">
        <w:t>Félicite le Secrétariat général pour l’initiative d’élaborer un référentiel de compétences en appui au processus de modernisation de la COI, et invite à partager le document finalisé aux États membres avant son déploiement ;</w:t>
      </w:r>
    </w:p>
    <w:p w14:paraId="46D966A2" w14:textId="77777777" w:rsidR="006B1B79" w:rsidRPr="006B1B79" w:rsidRDefault="006B1B79" w:rsidP="006B1B79">
      <w:pPr>
        <w:pStyle w:val="Paragraphe"/>
        <w:numPr>
          <w:ilvl w:val="0"/>
          <w:numId w:val="23"/>
        </w:numPr>
        <w:ind w:left="993" w:hanging="426"/>
      </w:pPr>
      <w:r w:rsidRPr="006B1B79">
        <w:t>Prend note de l’élaboration du plan de formation pluriannuel 2025-2027 et du lancement prochain des appels d’offres par le Secrétariat Général et salue les efforts continus de renforcement des capacités.</w:t>
      </w:r>
    </w:p>
    <w:p w14:paraId="430A2641" w14:textId="77777777" w:rsidR="008573BA" w:rsidRPr="00D357E4" w:rsidRDefault="008573BA" w:rsidP="006B0F69">
      <w:pPr>
        <w:pStyle w:val="Paragraphe"/>
        <w:ind w:left="720"/>
      </w:pPr>
    </w:p>
    <w:bookmarkEnd w:id="0"/>
    <w:p w14:paraId="1D6F1669" w14:textId="617B840F" w:rsidR="00417683" w:rsidRPr="00D357E4" w:rsidRDefault="00417683" w:rsidP="006B0F69">
      <w:pPr>
        <w:pStyle w:val="Titrepartie"/>
      </w:pPr>
      <w:r w:rsidRPr="00D357E4">
        <w:t>Annexe</w:t>
      </w:r>
      <w:r w:rsidR="008F173C" w:rsidRPr="00D357E4">
        <w:t>s</w:t>
      </w:r>
      <w:r w:rsidRPr="00D357E4">
        <w:t> :</w:t>
      </w:r>
    </w:p>
    <w:p w14:paraId="30A264E1" w14:textId="3E378543" w:rsidR="00206E8F" w:rsidRPr="00D357E4" w:rsidRDefault="00206E8F" w:rsidP="006B0F69">
      <w:pPr>
        <w:pStyle w:val="Paragraphe"/>
        <w:numPr>
          <w:ilvl w:val="0"/>
          <w:numId w:val="13"/>
        </w:numPr>
      </w:pPr>
      <w:r w:rsidRPr="00D357E4">
        <w:t>Annexe 1 : Arrivée et départs 202</w:t>
      </w:r>
      <w:r w:rsidR="00754F77" w:rsidRPr="00D357E4">
        <w:t>5</w:t>
      </w:r>
      <w:r w:rsidR="00B00115" w:rsidRPr="00D357E4">
        <w:t xml:space="preserve"> </w:t>
      </w:r>
    </w:p>
    <w:p w14:paraId="6104D458" w14:textId="77777777" w:rsidR="00206E8F" w:rsidRPr="00D357E4" w:rsidRDefault="00206E8F" w:rsidP="006B0F69">
      <w:pPr>
        <w:pStyle w:val="Paragraphe"/>
        <w:numPr>
          <w:ilvl w:val="0"/>
          <w:numId w:val="13"/>
        </w:numPr>
      </w:pPr>
      <w:r w:rsidRPr="00D357E4">
        <w:t>Annexe 2 : Distribution du personnel par catégorie</w:t>
      </w:r>
    </w:p>
    <w:p w14:paraId="60741F43" w14:textId="5B98A7A0" w:rsidR="005A17E8" w:rsidRPr="00D357E4" w:rsidRDefault="00130B5A" w:rsidP="006B0F69">
      <w:pPr>
        <w:pStyle w:val="Paragraphe"/>
        <w:numPr>
          <w:ilvl w:val="0"/>
          <w:numId w:val="13"/>
        </w:numPr>
      </w:pPr>
      <w:r w:rsidRPr="00D357E4">
        <w:t xml:space="preserve">Annexe 3 : </w:t>
      </w:r>
      <w:r w:rsidR="005A17E8" w:rsidRPr="00D357E4">
        <w:t>Plan de formation 2025-2027</w:t>
      </w:r>
    </w:p>
    <w:p w14:paraId="50265A38" w14:textId="193649A2" w:rsidR="009526D7" w:rsidRPr="00D357E4" w:rsidRDefault="005A17E8" w:rsidP="004D44BC">
      <w:pPr>
        <w:pStyle w:val="Paragraphe"/>
        <w:numPr>
          <w:ilvl w:val="0"/>
          <w:numId w:val="13"/>
        </w:numPr>
      </w:pPr>
      <w:r w:rsidRPr="00D357E4">
        <w:t xml:space="preserve">Annexe 4 : </w:t>
      </w:r>
      <w:r w:rsidR="00130B5A" w:rsidRPr="00D357E4">
        <w:t>Organigramme</w:t>
      </w:r>
    </w:p>
    <w:sectPr w:rsidR="009526D7" w:rsidRPr="00D357E4" w:rsidSect="00FA15FB">
      <w:headerReference w:type="default" r:id="rId8"/>
      <w:footerReference w:type="default" r:id="rId9"/>
      <w:pgSz w:w="11906" w:h="16838"/>
      <w:pgMar w:top="1701" w:right="1417" w:bottom="1135" w:left="1417" w:header="708" w:footer="1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C04EC" w14:textId="77777777" w:rsidR="0071012A" w:rsidRDefault="0071012A">
      <w:pPr>
        <w:spacing w:after="0" w:line="240" w:lineRule="auto"/>
      </w:pPr>
      <w:r>
        <w:separator/>
      </w:r>
    </w:p>
  </w:endnote>
  <w:endnote w:type="continuationSeparator" w:id="0">
    <w:p w14:paraId="71E15884" w14:textId="77777777" w:rsidR="0071012A" w:rsidRDefault="007101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Narrow">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6392675"/>
      <w:docPartObj>
        <w:docPartGallery w:val="Page Numbers (Bottom of Page)"/>
        <w:docPartUnique/>
      </w:docPartObj>
    </w:sdtPr>
    <w:sdtContent>
      <w:p w14:paraId="4D3A5F2A" w14:textId="631EC867" w:rsidR="00AA63A3" w:rsidRDefault="00AA63A3" w:rsidP="000F4728">
        <w:pPr>
          <w:pStyle w:val="Pieddepage"/>
          <w:pBdr>
            <w:top w:val="single" w:sz="4" w:space="1" w:color="ED7D31" w:themeColor="accent2"/>
          </w:pBdr>
          <w:jc w:val="right"/>
        </w:pPr>
        <w:r>
          <w:fldChar w:fldCharType="begin"/>
        </w:r>
        <w:r>
          <w:instrText>PAGE   \* MERGEFORMAT</w:instrText>
        </w:r>
        <w:r>
          <w:fldChar w:fldCharType="separate"/>
        </w:r>
        <w:r>
          <w:t>2</w:t>
        </w:r>
        <w:r>
          <w:fldChar w:fldCharType="end"/>
        </w:r>
      </w:p>
    </w:sdtContent>
  </w:sdt>
  <w:p w14:paraId="5BF7192F" w14:textId="77777777" w:rsidR="00063A26" w:rsidRDefault="00063A2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5329C" w14:textId="77777777" w:rsidR="0071012A" w:rsidRDefault="0071012A">
      <w:pPr>
        <w:spacing w:after="0" w:line="240" w:lineRule="auto"/>
      </w:pPr>
      <w:r>
        <w:separator/>
      </w:r>
    </w:p>
  </w:footnote>
  <w:footnote w:type="continuationSeparator" w:id="0">
    <w:p w14:paraId="433448F4" w14:textId="77777777" w:rsidR="0071012A" w:rsidRDefault="007101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B6C79" w14:textId="5274215C" w:rsidR="00063A26" w:rsidRDefault="00854EEA" w:rsidP="00063A26">
    <w:pPr>
      <w:pStyle w:val="En-tte"/>
      <w:tabs>
        <w:tab w:val="clear" w:pos="4536"/>
        <w:tab w:val="clear" w:pos="9072"/>
        <w:tab w:val="center" w:pos="0"/>
      </w:tabs>
      <w:rPr>
        <w:b/>
        <w:bCs/>
      </w:rPr>
    </w:pPr>
    <w:r>
      <w:rPr>
        <w:i/>
        <w:iCs/>
        <w:noProof/>
      </w:rPr>
      <w:drawing>
        <wp:inline distT="0" distB="0" distL="0" distR="0" wp14:anchorId="09635A91" wp14:editId="3A6A5A2C">
          <wp:extent cx="1090909" cy="360000"/>
          <wp:effectExtent l="0" t="0" r="0" b="2540"/>
          <wp:docPr id="773521694" name="Image 7735216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screen">
                    <a:extLst>
                      <a:ext uri="{28A0092B-C50C-407E-A947-70E740481C1C}">
                        <a14:useLocalDpi xmlns:a14="http://schemas.microsoft.com/office/drawing/2010/main"/>
                      </a:ext>
                    </a:extLst>
                  </a:blip>
                  <a:stretch>
                    <a:fillRect/>
                  </a:stretch>
                </pic:blipFill>
                <pic:spPr>
                  <a:xfrm>
                    <a:off x="0" y="0"/>
                    <a:ext cx="1090909" cy="360000"/>
                  </a:xfrm>
                  <a:prstGeom prst="rect">
                    <a:avLst/>
                  </a:prstGeom>
                </pic:spPr>
              </pic:pic>
            </a:graphicData>
          </a:graphic>
        </wp:inline>
      </w:drawing>
    </w:r>
    <w:r w:rsidR="003604B9">
      <w:tab/>
    </w:r>
    <w:r w:rsidR="003604B9">
      <w:tab/>
    </w:r>
    <w:r w:rsidR="003604B9">
      <w:tab/>
    </w:r>
    <w:r w:rsidR="003604B9">
      <w:tab/>
    </w:r>
    <w:r w:rsidR="004F5C4B">
      <w:tab/>
    </w:r>
    <w:r>
      <w:tab/>
    </w:r>
    <w:r>
      <w:tab/>
    </w:r>
    <w:r>
      <w:tab/>
    </w:r>
    <w:r>
      <w:tab/>
    </w:r>
    <w:r w:rsidR="003604B9" w:rsidRPr="0018252D">
      <w:rPr>
        <w:rFonts w:ascii="Verdana" w:hAnsi="Verdana"/>
        <w:b/>
        <w:bCs/>
        <w:sz w:val="20"/>
        <w:szCs w:val="20"/>
      </w:rPr>
      <w:t xml:space="preserve">Point. </w:t>
    </w:r>
    <w:r w:rsidR="00745ECE">
      <w:rPr>
        <w:rFonts w:ascii="Verdana" w:hAnsi="Verdana"/>
        <w:b/>
        <w:bCs/>
        <w:sz w:val="20"/>
        <w:szCs w:val="20"/>
      </w:rPr>
      <w:t>3.1</w:t>
    </w:r>
  </w:p>
  <w:p w14:paraId="7FE17793" w14:textId="77777777" w:rsidR="00AA63A3" w:rsidRDefault="00AA63A3" w:rsidP="00AA63A3">
    <w:pPr>
      <w:pStyle w:val="En-tte"/>
      <w:pBdr>
        <w:bottom w:val="single" w:sz="4" w:space="1" w:color="0070C0"/>
      </w:pBdr>
      <w:tabs>
        <w:tab w:val="clear" w:pos="4536"/>
        <w:tab w:val="clear" w:pos="9072"/>
        <w:tab w:val="center" w:pos="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839B0"/>
    <w:multiLevelType w:val="multilevel"/>
    <w:tmpl w:val="A67A0F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302E10"/>
    <w:multiLevelType w:val="hybridMultilevel"/>
    <w:tmpl w:val="D12E7892"/>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0ED0860"/>
    <w:multiLevelType w:val="hybridMultilevel"/>
    <w:tmpl w:val="FE1C3E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1D30430"/>
    <w:multiLevelType w:val="multilevel"/>
    <w:tmpl w:val="A2669954"/>
    <w:lvl w:ilvl="0">
      <w:start w:val="1"/>
      <w:numFmt w:val="decimal"/>
      <w:pStyle w:val="Titrepartie"/>
      <w:lvlText w:val="%1."/>
      <w:lvlJc w:val="left"/>
      <w:pPr>
        <w:ind w:left="720" w:hanging="360"/>
      </w:pPr>
      <w:rPr>
        <w:rFonts w:hint="default"/>
      </w:rPr>
    </w:lvl>
    <w:lvl w:ilvl="1">
      <w:start w:val="1"/>
      <w:numFmt w:val="decimal"/>
      <w:pStyle w:val="Sous-partie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17C47BF2"/>
    <w:multiLevelType w:val="hybridMultilevel"/>
    <w:tmpl w:val="753E279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D2B3E67"/>
    <w:multiLevelType w:val="hybridMultilevel"/>
    <w:tmpl w:val="1AB4D776"/>
    <w:lvl w:ilvl="0" w:tplc="1722C52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3610BD4"/>
    <w:multiLevelType w:val="hybridMultilevel"/>
    <w:tmpl w:val="00F401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4AE6FB7"/>
    <w:multiLevelType w:val="hybridMultilevel"/>
    <w:tmpl w:val="8A7AD03E"/>
    <w:lvl w:ilvl="0" w:tplc="2000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A0222D0"/>
    <w:multiLevelType w:val="hybridMultilevel"/>
    <w:tmpl w:val="0414D84A"/>
    <w:lvl w:ilvl="0" w:tplc="D4986736">
      <w:start w:val="2"/>
      <w:numFmt w:val="bullet"/>
      <w:lvlText w:val="-"/>
      <w:lvlJc w:val="left"/>
      <w:pPr>
        <w:ind w:left="1080" w:hanging="360"/>
      </w:pPr>
      <w:rPr>
        <w:rFonts w:ascii="Verdana" w:eastAsiaTheme="minorHAnsi" w:hAnsi="Verdana" w:cs="Calibri"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9" w15:restartNumberingAfterBreak="0">
    <w:nsid w:val="40D60A85"/>
    <w:multiLevelType w:val="multilevel"/>
    <w:tmpl w:val="98D21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6106DED"/>
    <w:multiLevelType w:val="hybridMultilevel"/>
    <w:tmpl w:val="7D246900"/>
    <w:lvl w:ilvl="0" w:tplc="C664A47A">
      <w:start w:val="2"/>
      <w:numFmt w:val="bullet"/>
      <w:lvlText w:val="-"/>
      <w:lvlJc w:val="left"/>
      <w:pPr>
        <w:ind w:left="1080" w:hanging="360"/>
      </w:pPr>
      <w:rPr>
        <w:rFonts w:ascii="Verdana" w:eastAsiaTheme="minorHAnsi" w:hAnsi="Verdana" w:cstheme="minorBidi"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1" w15:restartNumberingAfterBreak="0">
    <w:nsid w:val="57FF2699"/>
    <w:multiLevelType w:val="hybridMultilevel"/>
    <w:tmpl w:val="F0244FBA"/>
    <w:lvl w:ilvl="0" w:tplc="040C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9E745D8"/>
    <w:multiLevelType w:val="multilevel"/>
    <w:tmpl w:val="C09A773A"/>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5BB02E3C"/>
    <w:multiLevelType w:val="hybridMultilevel"/>
    <w:tmpl w:val="529A6248"/>
    <w:lvl w:ilvl="0" w:tplc="A8F2D19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23D7C6F"/>
    <w:multiLevelType w:val="hybridMultilevel"/>
    <w:tmpl w:val="7E202998"/>
    <w:lvl w:ilvl="0" w:tplc="2E7477B8">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1306857274">
    <w:abstractNumId w:val="5"/>
  </w:num>
  <w:num w:numId="2" w16cid:durableId="693463901">
    <w:abstractNumId w:val="13"/>
  </w:num>
  <w:num w:numId="3" w16cid:durableId="821701795">
    <w:abstractNumId w:val="3"/>
  </w:num>
  <w:num w:numId="4" w16cid:durableId="1419017904">
    <w:abstractNumId w:val="1"/>
  </w:num>
  <w:num w:numId="5" w16cid:durableId="1097139959">
    <w:abstractNumId w:val="11"/>
  </w:num>
  <w:num w:numId="6" w16cid:durableId="2071610087">
    <w:abstractNumId w:val="4"/>
  </w:num>
  <w:num w:numId="7" w16cid:durableId="2107577626">
    <w:abstractNumId w:val="6"/>
  </w:num>
  <w:num w:numId="8" w16cid:durableId="1778521923">
    <w:abstractNumId w:val="3"/>
    <w:lvlOverride w:ilvl="0">
      <w:startOverride w:val="1"/>
    </w:lvlOverride>
  </w:num>
  <w:num w:numId="9" w16cid:durableId="2010212023">
    <w:abstractNumId w:val="2"/>
  </w:num>
  <w:num w:numId="10" w16cid:durableId="1521746232">
    <w:abstractNumId w:val="7"/>
  </w:num>
  <w:num w:numId="11" w16cid:durableId="119095068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55048064">
    <w:abstractNumId w:val="3"/>
  </w:num>
  <w:num w:numId="13" w16cid:durableId="607735705">
    <w:abstractNumId w:val="12"/>
  </w:num>
  <w:num w:numId="14" w16cid:durableId="246353209">
    <w:abstractNumId w:val="3"/>
  </w:num>
  <w:num w:numId="15" w16cid:durableId="438792381">
    <w:abstractNumId w:val="3"/>
  </w:num>
  <w:num w:numId="16" w16cid:durableId="1429961536">
    <w:abstractNumId w:val="0"/>
  </w:num>
  <w:num w:numId="17" w16cid:durableId="656954349">
    <w:abstractNumId w:val="10"/>
  </w:num>
  <w:num w:numId="18" w16cid:durableId="1868371592">
    <w:abstractNumId w:val="9"/>
  </w:num>
  <w:num w:numId="19" w16cid:durableId="1107430927">
    <w:abstractNumId w:val="3"/>
  </w:num>
  <w:num w:numId="20" w16cid:durableId="553079148">
    <w:abstractNumId w:val="3"/>
  </w:num>
  <w:num w:numId="21" w16cid:durableId="2865500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72665285">
    <w:abstractNumId w:val="8"/>
  </w:num>
  <w:num w:numId="23" w16cid:durableId="21443042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2"/>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683"/>
    <w:rsid w:val="0000036D"/>
    <w:rsid w:val="00007B6C"/>
    <w:rsid w:val="00022EC7"/>
    <w:rsid w:val="00023F49"/>
    <w:rsid w:val="00030009"/>
    <w:rsid w:val="0003441F"/>
    <w:rsid w:val="000373B2"/>
    <w:rsid w:val="00042CF5"/>
    <w:rsid w:val="00046928"/>
    <w:rsid w:val="000556C9"/>
    <w:rsid w:val="00056C26"/>
    <w:rsid w:val="00060CA0"/>
    <w:rsid w:val="00063A26"/>
    <w:rsid w:val="0008468B"/>
    <w:rsid w:val="000936FC"/>
    <w:rsid w:val="000A23AA"/>
    <w:rsid w:val="000A468A"/>
    <w:rsid w:val="000A6422"/>
    <w:rsid w:val="000B0FBD"/>
    <w:rsid w:val="000B1938"/>
    <w:rsid w:val="000B4009"/>
    <w:rsid w:val="000D0EB1"/>
    <w:rsid w:val="000D72DA"/>
    <w:rsid w:val="000E50B6"/>
    <w:rsid w:val="000F4728"/>
    <w:rsid w:val="00100726"/>
    <w:rsid w:val="00107D9D"/>
    <w:rsid w:val="00112550"/>
    <w:rsid w:val="001127CD"/>
    <w:rsid w:val="001177D1"/>
    <w:rsid w:val="001177FB"/>
    <w:rsid w:val="001271C8"/>
    <w:rsid w:val="00130B5A"/>
    <w:rsid w:val="001327E4"/>
    <w:rsid w:val="00136B62"/>
    <w:rsid w:val="00140AF8"/>
    <w:rsid w:val="00141948"/>
    <w:rsid w:val="00150AC5"/>
    <w:rsid w:val="0015294B"/>
    <w:rsid w:val="00155011"/>
    <w:rsid w:val="00156EE3"/>
    <w:rsid w:val="0016192F"/>
    <w:rsid w:val="0016246C"/>
    <w:rsid w:val="001729B2"/>
    <w:rsid w:val="0018252D"/>
    <w:rsid w:val="00183D04"/>
    <w:rsid w:val="0018498A"/>
    <w:rsid w:val="00197B37"/>
    <w:rsid w:val="001A1B43"/>
    <w:rsid w:val="001A56F1"/>
    <w:rsid w:val="001B3A8D"/>
    <w:rsid w:val="001B4738"/>
    <w:rsid w:val="001B71A4"/>
    <w:rsid w:val="001D6D52"/>
    <w:rsid w:val="001E1D66"/>
    <w:rsid w:val="001E35DE"/>
    <w:rsid w:val="001E592A"/>
    <w:rsid w:val="001E6336"/>
    <w:rsid w:val="00201AE9"/>
    <w:rsid w:val="00206E8F"/>
    <w:rsid w:val="0021063C"/>
    <w:rsid w:val="00214D5A"/>
    <w:rsid w:val="00215683"/>
    <w:rsid w:val="0022240D"/>
    <w:rsid w:val="002242B3"/>
    <w:rsid w:val="002242D3"/>
    <w:rsid w:val="002274FC"/>
    <w:rsid w:val="00227B22"/>
    <w:rsid w:val="00236E50"/>
    <w:rsid w:val="00254C08"/>
    <w:rsid w:val="00260240"/>
    <w:rsid w:val="00260991"/>
    <w:rsid w:val="002662B2"/>
    <w:rsid w:val="00272D9E"/>
    <w:rsid w:val="00274FF9"/>
    <w:rsid w:val="00281C93"/>
    <w:rsid w:val="0029209A"/>
    <w:rsid w:val="0029272D"/>
    <w:rsid w:val="002A0933"/>
    <w:rsid w:val="002A096E"/>
    <w:rsid w:val="002B2D79"/>
    <w:rsid w:val="002B62D4"/>
    <w:rsid w:val="002C250A"/>
    <w:rsid w:val="002C56ED"/>
    <w:rsid w:val="002D43AC"/>
    <w:rsid w:val="002D6D00"/>
    <w:rsid w:val="002E1D97"/>
    <w:rsid w:val="002E370A"/>
    <w:rsid w:val="002E3BD5"/>
    <w:rsid w:val="002E5F9D"/>
    <w:rsid w:val="00303D80"/>
    <w:rsid w:val="0031378A"/>
    <w:rsid w:val="003202A9"/>
    <w:rsid w:val="00333481"/>
    <w:rsid w:val="003376D1"/>
    <w:rsid w:val="00344FBE"/>
    <w:rsid w:val="003454D7"/>
    <w:rsid w:val="003604B9"/>
    <w:rsid w:val="003605C7"/>
    <w:rsid w:val="00360B33"/>
    <w:rsid w:val="0036287B"/>
    <w:rsid w:val="00367777"/>
    <w:rsid w:val="00375425"/>
    <w:rsid w:val="003772FB"/>
    <w:rsid w:val="00380B24"/>
    <w:rsid w:val="00391152"/>
    <w:rsid w:val="003922FC"/>
    <w:rsid w:val="003953C5"/>
    <w:rsid w:val="003A0CE5"/>
    <w:rsid w:val="003A2E01"/>
    <w:rsid w:val="003A335B"/>
    <w:rsid w:val="003A3425"/>
    <w:rsid w:val="003A4ED0"/>
    <w:rsid w:val="003A6631"/>
    <w:rsid w:val="003A6EEB"/>
    <w:rsid w:val="003A73E9"/>
    <w:rsid w:val="003B0954"/>
    <w:rsid w:val="003B2ADC"/>
    <w:rsid w:val="003C2538"/>
    <w:rsid w:val="003D485F"/>
    <w:rsid w:val="003D5328"/>
    <w:rsid w:val="003D5BF3"/>
    <w:rsid w:val="003D7611"/>
    <w:rsid w:val="003E0417"/>
    <w:rsid w:val="003E5CCF"/>
    <w:rsid w:val="003E60F0"/>
    <w:rsid w:val="003F2170"/>
    <w:rsid w:val="003F4C68"/>
    <w:rsid w:val="003F7937"/>
    <w:rsid w:val="00406B0C"/>
    <w:rsid w:val="00407172"/>
    <w:rsid w:val="00407BBC"/>
    <w:rsid w:val="0041278C"/>
    <w:rsid w:val="00414789"/>
    <w:rsid w:val="004167CA"/>
    <w:rsid w:val="00417683"/>
    <w:rsid w:val="00420C8B"/>
    <w:rsid w:val="004218E9"/>
    <w:rsid w:val="0042442D"/>
    <w:rsid w:val="0042455B"/>
    <w:rsid w:val="00426673"/>
    <w:rsid w:val="00430220"/>
    <w:rsid w:val="00433CD5"/>
    <w:rsid w:val="00442532"/>
    <w:rsid w:val="00447FA5"/>
    <w:rsid w:val="00454457"/>
    <w:rsid w:val="004607F7"/>
    <w:rsid w:val="00462EB1"/>
    <w:rsid w:val="0047203D"/>
    <w:rsid w:val="00480D04"/>
    <w:rsid w:val="0048229E"/>
    <w:rsid w:val="00491281"/>
    <w:rsid w:val="0049155E"/>
    <w:rsid w:val="00493AF7"/>
    <w:rsid w:val="0049438B"/>
    <w:rsid w:val="00495B0D"/>
    <w:rsid w:val="004A2698"/>
    <w:rsid w:val="004A67C2"/>
    <w:rsid w:val="004A6B13"/>
    <w:rsid w:val="004B48C7"/>
    <w:rsid w:val="004B5F39"/>
    <w:rsid w:val="004C0474"/>
    <w:rsid w:val="004C74DF"/>
    <w:rsid w:val="004E5297"/>
    <w:rsid w:val="004F5C4B"/>
    <w:rsid w:val="004F687D"/>
    <w:rsid w:val="00510250"/>
    <w:rsid w:val="00511F93"/>
    <w:rsid w:val="00513A6A"/>
    <w:rsid w:val="00515A1D"/>
    <w:rsid w:val="00523ECE"/>
    <w:rsid w:val="0052699E"/>
    <w:rsid w:val="00527180"/>
    <w:rsid w:val="00527968"/>
    <w:rsid w:val="0053773D"/>
    <w:rsid w:val="00547C67"/>
    <w:rsid w:val="00550A29"/>
    <w:rsid w:val="005611F7"/>
    <w:rsid w:val="005625CC"/>
    <w:rsid w:val="00562E4C"/>
    <w:rsid w:val="0056546F"/>
    <w:rsid w:val="00576329"/>
    <w:rsid w:val="0057744F"/>
    <w:rsid w:val="00585186"/>
    <w:rsid w:val="00587A32"/>
    <w:rsid w:val="005974E3"/>
    <w:rsid w:val="00597F09"/>
    <w:rsid w:val="005A17E8"/>
    <w:rsid w:val="005A2CAC"/>
    <w:rsid w:val="005A3E13"/>
    <w:rsid w:val="005A6B5A"/>
    <w:rsid w:val="005A7948"/>
    <w:rsid w:val="005B3350"/>
    <w:rsid w:val="005B3353"/>
    <w:rsid w:val="005B7D30"/>
    <w:rsid w:val="005C5AB0"/>
    <w:rsid w:val="005D5B1B"/>
    <w:rsid w:val="005E05A2"/>
    <w:rsid w:val="005E14AB"/>
    <w:rsid w:val="005E54D5"/>
    <w:rsid w:val="005E5B55"/>
    <w:rsid w:val="005E65F4"/>
    <w:rsid w:val="005E7D0E"/>
    <w:rsid w:val="005F0D98"/>
    <w:rsid w:val="005F3FED"/>
    <w:rsid w:val="005F4A14"/>
    <w:rsid w:val="006046C9"/>
    <w:rsid w:val="00607EBF"/>
    <w:rsid w:val="00620B90"/>
    <w:rsid w:val="00621943"/>
    <w:rsid w:val="00623E75"/>
    <w:rsid w:val="00624B5C"/>
    <w:rsid w:val="006250DE"/>
    <w:rsid w:val="00631BF9"/>
    <w:rsid w:val="006356AF"/>
    <w:rsid w:val="00636697"/>
    <w:rsid w:val="0063787E"/>
    <w:rsid w:val="00650370"/>
    <w:rsid w:val="006516F2"/>
    <w:rsid w:val="0065177D"/>
    <w:rsid w:val="006548BF"/>
    <w:rsid w:val="00660504"/>
    <w:rsid w:val="006609B8"/>
    <w:rsid w:val="00660AEB"/>
    <w:rsid w:val="00662C2B"/>
    <w:rsid w:val="0066387A"/>
    <w:rsid w:val="00667533"/>
    <w:rsid w:val="00675365"/>
    <w:rsid w:val="00676D6F"/>
    <w:rsid w:val="00686D65"/>
    <w:rsid w:val="00694B9C"/>
    <w:rsid w:val="006A2E19"/>
    <w:rsid w:val="006A4C6F"/>
    <w:rsid w:val="006A60DB"/>
    <w:rsid w:val="006A772F"/>
    <w:rsid w:val="006B0F69"/>
    <w:rsid w:val="006B1B79"/>
    <w:rsid w:val="006C0E5D"/>
    <w:rsid w:val="006C42E2"/>
    <w:rsid w:val="006D0C67"/>
    <w:rsid w:val="006E2D9E"/>
    <w:rsid w:val="006E3C85"/>
    <w:rsid w:val="006F2C29"/>
    <w:rsid w:val="006F62AD"/>
    <w:rsid w:val="006F6D81"/>
    <w:rsid w:val="006F74B4"/>
    <w:rsid w:val="0070269B"/>
    <w:rsid w:val="00705325"/>
    <w:rsid w:val="0070690B"/>
    <w:rsid w:val="0071012A"/>
    <w:rsid w:val="007210EC"/>
    <w:rsid w:val="00726BED"/>
    <w:rsid w:val="0073304B"/>
    <w:rsid w:val="00734CCF"/>
    <w:rsid w:val="00734D35"/>
    <w:rsid w:val="00736609"/>
    <w:rsid w:val="00742398"/>
    <w:rsid w:val="00743516"/>
    <w:rsid w:val="00745652"/>
    <w:rsid w:val="00745ECE"/>
    <w:rsid w:val="00746020"/>
    <w:rsid w:val="00751BB3"/>
    <w:rsid w:val="00754F77"/>
    <w:rsid w:val="00756917"/>
    <w:rsid w:val="00760405"/>
    <w:rsid w:val="00761F87"/>
    <w:rsid w:val="00763270"/>
    <w:rsid w:val="0076562C"/>
    <w:rsid w:val="0077212B"/>
    <w:rsid w:val="00775835"/>
    <w:rsid w:val="0078076F"/>
    <w:rsid w:val="0078165B"/>
    <w:rsid w:val="00783B45"/>
    <w:rsid w:val="00793469"/>
    <w:rsid w:val="00796D8B"/>
    <w:rsid w:val="007A1D41"/>
    <w:rsid w:val="007B1C8A"/>
    <w:rsid w:val="007B245C"/>
    <w:rsid w:val="007B6555"/>
    <w:rsid w:val="007C141B"/>
    <w:rsid w:val="007C3836"/>
    <w:rsid w:val="007C78FC"/>
    <w:rsid w:val="007D15DA"/>
    <w:rsid w:val="007E7342"/>
    <w:rsid w:val="007E7EF3"/>
    <w:rsid w:val="00804D7A"/>
    <w:rsid w:val="00805FA4"/>
    <w:rsid w:val="00806840"/>
    <w:rsid w:val="00813BE9"/>
    <w:rsid w:val="008151B8"/>
    <w:rsid w:val="00816DAC"/>
    <w:rsid w:val="0082083E"/>
    <w:rsid w:val="0082762E"/>
    <w:rsid w:val="008315C0"/>
    <w:rsid w:val="0083290E"/>
    <w:rsid w:val="00833A35"/>
    <w:rsid w:val="00843FF2"/>
    <w:rsid w:val="008445C6"/>
    <w:rsid w:val="008453AB"/>
    <w:rsid w:val="00854EEA"/>
    <w:rsid w:val="008551DA"/>
    <w:rsid w:val="008573BA"/>
    <w:rsid w:val="008577F2"/>
    <w:rsid w:val="008629B5"/>
    <w:rsid w:val="00862D92"/>
    <w:rsid w:val="008639A5"/>
    <w:rsid w:val="00866FC7"/>
    <w:rsid w:val="00873171"/>
    <w:rsid w:val="008909B5"/>
    <w:rsid w:val="008910E9"/>
    <w:rsid w:val="008A1133"/>
    <w:rsid w:val="008B1A22"/>
    <w:rsid w:val="008B1AAD"/>
    <w:rsid w:val="008B7BAF"/>
    <w:rsid w:val="008D1440"/>
    <w:rsid w:val="008D193F"/>
    <w:rsid w:val="008D4EB4"/>
    <w:rsid w:val="008D6A3D"/>
    <w:rsid w:val="008E046B"/>
    <w:rsid w:val="008E70AB"/>
    <w:rsid w:val="008F173C"/>
    <w:rsid w:val="00902F5E"/>
    <w:rsid w:val="00905A0D"/>
    <w:rsid w:val="00905E95"/>
    <w:rsid w:val="009116DE"/>
    <w:rsid w:val="00915853"/>
    <w:rsid w:val="009242CD"/>
    <w:rsid w:val="009328EA"/>
    <w:rsid w:val="00933A89"/>
    <w:rsid w:val="00945E64"/>
    <w:rsid w:val="00946CCD"/>
    <w:rsid w:val="009526D7"/>
    <w:rsid w:val="00955BB3"/>
    <w:rsid w:val="00960A70"/>
    <w:rsid w:val="00961DAA"/>
    <w:rsid w:val="009662CA"/>
    <w:rsid w:val="00974CFB"/>
    <w:rsid w:val="00977A3E"/>
    <w:rsid w:val="009845C1"/>
    <w:rsid w:val="009A38AD"/>
    <w:rsid w:val="009C07BA"/>
    <w:rsid w:val="009C0A02"/>
    <w:rsid w:val="009C3D43"/>
    <w:rsid w:val="009C54B2"/>
    <w:rsid w:val="009C7E92"/>
    <w:rsid w:val="009D681B"/>
    <w:rsid w:val="009E030F"/>
    <w:rsid w:val="009F09F3"/>
    <w:rsid w:val="009F5CB0"/>
    <w:rsid w:val="009F6177"/>
    <w:rsid w:val="00A05B9F"/>
    <w:rsid w:val="00A142C7"/>
    <w:rsid w:val="00A148A1"/>
    <w:rsid w:val="00A20DD7"/>
    <w:rsid w:val="00A212E7"/>
    <w:rsid w:val="00A23319"/>
    <w:rsid w:val="00A2450B"/>
    <w:rsid w:val="00A348E1"/>
    <w:rsid w:val="00A36C09"/>
    <w:rsid w:val="00A37C9F"/>
    <w:rsid w:val="00A42D23"/>
    <w:rsid w:val="00A452FB"/>
    <w:rsid w:val="00A45DF1"/>
    <w:rsid w:val="00A469FE"/>
    <w:rsid w:val="00A67E71"/>
    <w:rsid w:val="00A70123"/>
    <w:rsid w:val="00A71718"/>
    <w:rsid w:val="00A71AA1"/>
    <w:rsid w:val="00A73F34"/>
    <w:rsid w:val="00A74438"/>
    <w:rsid w:val="00A74B43"/>
    <w:rsid w:val="00A76B07"/>
    <w:rsid w:val="00A806E1"/>
    <w:rsid w:val="00A81B98"/>
    <w:rsid w:val="00A81BFE"/>
    <w:rsid w:val="00A851BF"/>
    <w:rsid w:val="00A90305"/>
    <w:rsid w:val="00A945AE"/>
    <w:rsid w:val="00A948D4"/>
    <w:rsid w:val="00A94CBF"/>
    <w:rsid w:val="00A97494"/>
    <w:rsid w:val="00AA17C1"/>
    <w:rsid w:val="00AA63A3"/>
    <w:rsid w:val="00AA74AB"/>
    <w:rsid w:val="00AB0FFE"/>
    <w:rsid w:val="00AB5EB7"/>
    <w:rsid w:val="00AB712D"/>
    <w:rsid w:val="00AC3CC8"/>
    <w:rsid w:val="00AC3F3A"/>
    <w:rsid w:val="00AD32F9"/>
    <w:rsid w:val="00AD4724"/>
    <w:rsid w:val="00AD4CCE"/>
    <w:rsid w:val="00AD4D97"/>
    <w:rsid w:val="00AD4F3D"/>
    <w:rsid w:val="00AE15C5"/>
    <w:rsid w:val="00AE2453"/>
    <w:rsid w:val="00AE2630"/>
    <w:rsid w:val="00AE4A93"/>
    <w:rsid w:val="00AF02AA"/>
    <w:rsid w:val="00AF4AE2"/>
    <w:rsid w:val="00B00115"/>
    <w:rsid w:val="00B00EE2"/>
    <w:rsid w:val="00B05700"/>
    <w:rsid w:val="00B05DFC"/>
    <w:rsid w:val="00B072F6"/>
    <w:rsid w:val="00B13158"/>
    <w:rsid w:val="00B22EC6"/>
    <w:rsid w:val="00B2572E"/>
    <w:rsid w:val="00B30795"/>
    <w:rsid w:val="00B36EEA"/>
    <w:rsid w:val="00B40EC9"/>
    <w:rsid w:val="00B44F01"/>
    <w:rsid w:val="00B452CA"/>
    <w:rsid w:val="00B50EED"/>
    <w:rsid w:val="00B571FA"/>
    <w:rsid w:val="00B73E52"/>
    <w:rsid w:val="00B82CC7"/>
    <w:rsid w:val="00B865DB"/>
    <w:rsid w:val="00B95060"/>
    <w:rsid w:val="00BA4B55"/>
    <w:rsid w:val="00BB0D5D"/>
    <w:rsid w:val="00BB314F"/>
    <w:rsid w:val="00BB53BB"/>
    <w:rsid w:val="00BC5500"/>
    <w:rsid w:val="00BD03BA"/>
    <w:rsid w:val="00BD0526"/>
    <w:rsid w:val="00BD2DEA"/>
    <w:rsid w:val="00BE7D84"/>
    <w:rsid w:val="00BF58A7"/>
    <w:rsid w:val="00C02228"/>
    <w:rsid w:val="00C03292"/>
    <w:rsid w:val="00C112A7"/>
    <w:rsid w:val="00C11C9C"/>
    <w:rsid w:val="00C12C93"/>
    <w:rsid w:val="00C1575A"/>
    <w:rsid w:val="00C325F5"/>
    <w:rsid w:val="00C35ED7"/>
    <w:rsid w:val="00C3612B"/>
    <w:rsid w:val="00C43FB6"/>
    <w:rsid w:val="00C457E8"/>
    <w:rsid w:val="00C45BFC"/>
    <w:rsid w:val="00C567C5"/>
    <w:rsid w:val="00C5712F"/>
    <w:rsid w:val="00C609B9"/>
    <w:rsid w:val="00C61A45"/>
    <w:rsid w:val="00C61D15"/>
    <w:rsid w:val="00C91A58"/>
    <w:rsid w:val="00CA09B9"/>
    <w:rsid w:val="00CA73A9"/>
    <w:rsid w:val="00CD384B"/>
    <w:rsid w:val="00CD426F"/>
    <w:rsid w:val="00CD52EF"/>
    <w:rsid w:val="00CE01FA"/>
    <w:rsid w:val="00CE2386"/>
    <w:rsid w:val="00CE3B43"/>
    <w:rsid w:val="00CE42B4"/>
    <w:rsid w:val="00CE7347"/>
    <w:rsid w:val="00CF4ED9"/>
    <w:rsid w:val="00CF5B97"/>
    <w:rsid w:val="00D05557"/>
    <w:rsid w:val="00D109F0"/>
    <w:rsid w:val="00D2497D"/>
    <w:rsid w:val="00D324FA"/>
    <w:rsid w:val="00D357E4"/>
    <w:rsid w:val="00D37487"/>
    <w:rsid w:val="00D424FF"/>
    <w:rsid w:val="00D47E6C"/>
    <w:rsid w:val="00D5308B"/>
    <w:rsid w:val="00D557DD"/>
    <w:rsid w:val="00D60761"/>
    <w:rsid w:val="00D718BD"/>
    <w:rsid w:val="00D77712"/>
    <w:rsid w:val="00D83DEF"/>
    <w:rsid w:val="00DA2B4A"/>
    <w:rsid w:val="00DA2EE0"/>
    <w:rsid w:val="00DA4009"/>
    <w:rsid w:val="00DA53DC"/>
    <w:rsid w:val="00DA678C"/>
    <w:rsid w:val="00DB78E4"/>
    <w:rsid w:val="00DC7986"/>
    <w:rsid w:val="00DD43DD"/>
    <w:rsid w:val="00DD7CAC"/>
    <w:rsid w:val="00DE5263"/>
    <w:rsid w:val="00DF05A1"/>
    <w:rsid w:val="00E042F8"/>
    <w:rsid w:val="00E32408"/>
    <w:rsid w:val="00E324EC"/>
    <w:rsid w:val="00E344E0"/>
    <w:rsid w:val="00E3543E"/>
    <w:rsid w:val="00E51DD6"/>
    <w:rsid w:val="00E60B60"/>
    <w:rsid w:val="00E61F54"/>
    <w:rsid w:val="00E713BA"/>
    <w:rsid w:val="00E763AB"/>
    <w:rsid w:val="00E77CDC"/>
    <w:rsid w:val="00E80F6E"/>
    <w:rsid w:val="00E831DE"/>
    <w:rsid w:val="00E845D4"/>
    <w:rsid w:val="00EA259F"/>
    <w:rsid w:val="00EB1650"/>
    <w:rsid w:val="00EB2C98"/>
    <w:rsid w:val="00EB3DCF"/>
    <w:rsid w:val="00EB6D9E"/>
    <w:rsid w:val="00EC22CC"/>
    <w:rsid w:val="00EC2430"/>
    <w:rsid w:val="00EC2E79"/>
    <w:rsid w:val="00EC36F7"/>
    <w:rsid w:val="00EC58D3"/>
    <w:rsid w:val="00ED07C0"/>
    <w:rsid w:val="00ED1185"/>
    <w:rsid w:val="00ED1F94"/>
    <w:rsid w:val="00ED30E8"/>
    <w:rsid w:val="00ED3D2A"/>
    <w:rsid w:val="00ED6B69"/>
    <w:rsid w:val="00ED71F6"/>
    <w:rsid w:val="00EE34F4"/>
    <w:rsid w:val="00EE4D6A"/>
    <w:rsid w:val="00EF22A4"/>
    <w:rsid w:val="00F00C50"/>
    <w:rsid w:val="00F12B14"/>
    <w:rsid w:val="00F13A29"/>
    <w:rsid w:val="00F14443"/>
    <w:rsid w:val="00F20BBD"/>
    <w:rsid w:val="00F2399D"/>
    <w:rsid w:val="00F26658"/>
    <w:rsid w:val="00F33FDB"/>
    <w:rsid w:val="00F34A73"/>
    <w:rsid w:val="00F3688F"/>
    <w:rsid w:val="00F36C98"/>
    <w:rsid w:val="00F37BB2"/>
    <w:rsid w:val="00F43983"/>
    <w:rsid w:val="00F510C3"/>
    <w:rsid w:val="00F51750"/>
    <w:rsid w:val="00F54EA0"/>
    <w:rsid w:val="00F62676"/>
    <w:rsid w:val="00F64118"/>
    <w:rsid w:val="00F6614F"/>
    <w:rsid w:val="00F71F8D"/>
    <w:rsid w:val="00F81965"/>
    <w:rsid w:val="00F819E5"/>
    <w:rsid w:val="00F92844"/>
    <w:rsid w:val="00F96812"/>
    <w:rsid w:val="00F96EE9"/>
    <w:rsid w:val="00FA07F3"/>
    <w:rsid w:val="00FA15FB"/>
    <w:rsid w:val="00FA1975"/>
    <w:rsid w:val="00FA1E3E"/>
    <w:rsid w:val="00FB0949"/>
    <w:rsid w:val="00FB4231"/>
    <w:rsid w:val="00FC30F8"/>
    <w:rsid w:val="00FC3D52"/>
    <w:rsid w:val="00FC4FBC"/>
    <w:rsid w:val="00FD44C2"/>
    <w:rsid w:val="00FE0298"/>
    <w:rsid w:val="00FE285D"/>
    <w:rsid w:val="00FE5DB0"/>
    <w:rsid w:val="00FE63A1"/>
    <w:rsid w:val="00FE642F"/>
    <w:rsid w:val="00FF554E"/>
    <w:rsid w:val="00FF6FC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0190A"/>
  <w15:chartTrackingRefBased/>
  <w15:docId w15:val="{F5285989-EA03-45CD-A0EC-BAC0915B9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68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17683"/>
    <w:pPr>
      <w:tabs>
        <w:tab w:val="center" w:pos="4536"/>
        <w:tab w:val="right" w:pos="9072"/>
      </w:tabs>
      <w:spacing w:after="0" w:line="240" w:lineRule="auto"/>
    </w:pPr>
  </w:style>
  <w:style w:type="character" w:customStyle="1" w:styleId="En-tteCar">
    <w:name w:val="En-tête Car"/>
    <w:basedOn w:val="Policepardfaut"/>
    <w:link w:val="En-tte"/>
    <w:uiPriority w:val="99"/>
    <w:rsid w:val="00417683"/>
  </w:style>
  <w:style w:type="paragraph" w:styleId="Pieddepage">
    <w:name w:val="footer"/>
    <w:basedOn w:val="Normal"/>
    <w:link w:val="PieddepageCar"/>
    <w:uiPriority w:val="99"/>
    <w:unhideWhenUsed/>
    <w:rsid w:val="004176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17683"/>
  </w:style>
  <w:style w:type="paragraph" w:styleId="Paragraphedeliste">
    <w:name w:val="List Paragraph"/>
    <w:basedOn w:val="Normal"/>
    <w:link w:val="ParagraphedelisteCar"/>
    <w:uiPriority w:val="34"/>
    <w:qFormat/>
    <w:rsid w:val="00417683"/>
    <w:pPr>
      <w:ind w:left="720"/>
      <w:contextualSpacing/>
    </w:pPr>
  </w:style>
  <w:style w:type="table" w:styleId="Grilledutableau">
    <w:name w:val="Table Grid"/>
    <w:basedOn w:val="TableauNormal"/>
    <w:uiPriority w:val="39"/>
    <w:rsid w:val="00C12C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1B4738"/>
    <w:rPr>
      <w:sz w:val="16"/>
      <w:szCs w:val="16"/>
    </w:rPr>
  </w:style>
  <w:style w:type="paragraph" w:styleId="Commentaire">
    <w:name w:val="annotation text"/>
    <w:basedOn w:val="Normal"/>
    <w:link w:val="CommentaireCar"/>
    <w:uiPriority w:val="99"/>
    <w:unhideWhenUsed/>
    <w:rsid w:val="001B4738"/>
    <w:pPr>
      <w:spacing w:line="240" w:lineRule="auto"/>
    </w:pPr>
    <w:rPr>
      <w:sz w:val="20"/>
      <w:szCs w:val="20"/>
    </w:rPr>
  </w:style>
  <w:style w:type="character" w:customStyle="1" w:styleId="CommentaireCar">
    <w:name w:val="Commentaire Car"/>
    <w:basedOn w:val="Policepardfaut"/>
    <w:link w:val="Commentaire"/>
    <w:uiPriority w:val="99"/>
    <w:rsid w:val="001B4738"/>
    <w:rPr>
      <w:sz w:val="20"/>
      <w:szCs w:val="20"/>
    </w:rPr>
  </w:style>
  <w:style w:type="paragraph" w:styleId="Objetducommentaire">
    <w:name w:val="annotation subject"/>
    <w:basedOn w:val="Commentaire"/>
    <w:next w:val="Commentaire"/>
    <w:link w:val="ObjetducommentaireCar"/>
    <w:uiPriority w:val="99"/>
    <w:semiHidden/>
    <w:unhideWhenUsed/>
    <w:rsid w:val="001B4738"/>
    <w:rPr>
      <w:b/>
      <w:bCs/>
    </w:rPr>
  </w:style>
  <w:style w:type="character" w:customStyle="1" w:styleId="ObjetducommentaireCar">
    <w:name w:val="Objet du commentaire Car"/>
    <w:basedOn w:val="CommentaireCar"/>
    <w:link w:val="Objetducommentaire"/>
    <w:uiPriority w:val="99"/>
    <w:semiHidden/>
    <w:rsid w:val="001B4738"/>
    <w:rPr>
      <w:b/>
      <w:bCs/>
      <w:sz w:val="20"/>
      <w:szCs w:val="20"/>
    </w:rPr>
  </w:style>
  <w:style w:type="paragraph" w:customStyle="1" w:styleId="Paragraphe">
    <w:name w:val="Paragraphe"/>
    <w:basedOn w:val="Normal"/>
    <w:link w:val="ParagrapheCar"/>
    <w:qFormat/>
    <w:rsid w:val="00CE2386"/>
    <w:pPr>
      <w:jc w:val="both"/>
    </w:pPr>
    <w:rPr>
      <w:rFonts w:ascii="Verdana" w:hAnsi="Verdana" w:cs="Calibri"/>
      <w:sz w:val="20"/>
      <w:szCs w:val="20"/>
    </w:rPr>
  </w:style>
  <w:style w:type="paragraph" w:customStyle="1" w:styleId="Titrepartie">
    <w:name w:val="Titre partie"/>
    <w:basedOn w:val="Paragraphedeliste"/>
    <w:link w:val="TitrepartieCar"/>
    <w:qFormat/>
    <w:rsid w:val="00A70123"/>
    <w:pPr>
      <w:numPr>
        <w:numId w:val="3"/>
      </w:numPr>
      <w:jc w:val="both"/>
    </w:pPr>
    <w:rPr>
      <w:rFonts w:ascii="Verdana" w:hAnsi="Verdana" w:cs="Calibri"/>
      <w:b/>
      <w:bCs/>
      <w:color w:val="0070C0"/>
      <w:szCs w:val="20"/>
    </w:rPr>
  </w:style>
  <w:style w:type="character" w:customStyle="1" w:styleId="ParagrapheCar">
    <w:name w:val="Paragraphe Car"/>
    <w:basedOn w:val="Policepardfaut"/>
    <w:link w:val="Paragraphe"/>
    <w:rsid w:val="00CE2386"/>
    <w:rPr>
      <w:rFonts w:ascii="Verdana" w:hAnsi="Verdana" w:cs="Calibri"/>
      <w:sz w:val="20"/>
      <w:szCs w:val="20"/>
    </w:rPr>
  </w:style>
  <w:style w:type="paragraph" w:customStyle="1" w:styleId="Exergue">
    <w:name w:val="Exergue"/>
    <w:basedOn w:val="Normal"/>
    <w:link w:val="ExergueCar"/>
    <w:qFormat/>
    <w:rsid w:val="00060CA0"/>
    <w:pPr>
      <w:spacing w:after="0" w:line="240" w:lineRule="auto"/>
      <w:jc w:val="both"/>
    </w:pPr>
    <w:rPr>
      <w:rFonts w:ascii="Verdana" w:eastAsia="Times New Roman" w:hAnsi="Verdana" w:cs="Times New Roman"/>
      <w:b/>
      <w:bCs/>
      <w:i/>
      <w:sz w:val="20"/>
      <w:szCs w:val="20"/>
    </w:rPr>
  </w:style>
  <w:style w:type="character" w:customStyle="1" w:styleId="ParagraphedelisteCar">
    <w:name w:val="Paragraphe de liste Car"/>
    <w:basedOn w:val="Policepardfaut"/>
    <w:link w:val="Paragraphedeliste"/>
    <w:uiPriority w:val="34"/>
    <w:rsid w:val="00A70123"/>
  </w:style>
  <w:style w:type="character" w:customStyle="1" w:styleId="TitrepartieCar">
    <w:name w:val="Titre partie Car"/>
    <w:basedOn w:val="ParagraphedelisteCar"/>
    <w:link w:val="Titrepartie"/>
    <w:rsid w:val="00A70123"/>
    <w:rPr>
      <w:rFonts w:ascii="Verdana" w:hAnsi="Verdana" w:cs="Calibri"/>
      <w:b/>
      <w:bCs/>
      <w:color w:val="0070C0"/>
      <w:szCs w:val="20"/>
    </w:rPr>
  </w:style>
  <w:style w:type="paragraph" w:customStyle="1" w:styleId="Sous-partie2">
    <w:name w:val="Sous-partie 2"/>
    <w:basedOn w:val="Paragraphedeliste"/>
    <w:link w:val="Sous-partie2Car"/>
    <w:qFormat/>
    <w:rsid w:val="002C56ED"/>
    <w:pPr>
      <w:numPr>
        <w:ilvl w:val="1"/>
        <w:numId w:val="3"/>
      </w:numPr>
      <w:jc w:val="both"/>
    </w:pPr>
    <w:rPr>
      <w:rFonts w:ascii="Verdana" w:hAnsi="Verdana" w:cs="Calibri"/>
      <w:color w:val="0070C0"/>
      <w:sz w:val="20"/>
      <w:szCs w:val="20"/>
    </w:rPr>
  </w:style>
  <w:style w:type="character" w:customStyle="1" w:styleId="ExergueCar">
    <w:name w:val="Exergue Car"/>
    <w:basedOn w:val="Policepardfaut"/>
    <w:link w:val="Exergue"/>
    <w:rsid w:val="00060CA0"/>
    <w:rPr>
      <w:rFonts w:ascii="Verdana" w:eastAsia="Times New Roman" w:hAnsi="Verdana" w:cs="Times New Roman"/>
      <w:b/>
      <w:bCs/>
      <w:i/>
      <w:sz w:val="20"/>
      <w:szCs w:val="20"/>
    </w:rPr>
  </w:style>
  <w:style w:type="character" w:styleId="Titredulivre">
    <w:name w:val="Book Title"/>
    <w:basedOn w:val="Policepardfaut"/>
    <w:uiPriority w:val="33"/>
    <w:qFormat/>
    <w:rsid w:val="002C56ED"/>
    <w:rPr>
      <w:b/>
      <w:bCs/>
      <w:i/>
      <w:iCs/>
      <w:spacing w:val="5"/>
    </w:rPr>
  </w:style>
  <w:style w:type="character" w:customStyle="1" w:styleId="Sous-partie2Car">
    <w:name w:val="Sous-partie 2 Car"/>
    <w:basedOn w:val="ParagraphedelisteCar"/>
    <w:link w:val="Sous-partie2"/>
    <w:rsid w:val="002C56ED"/>
    <w:rPr>
      <w:rFonts w:ascii="Verdana" w:hAnsi="Verdana" w:cs="Calibri"/>
      <w:color w:val="0070C0"/>
      <w:sz w:val="20"/>
      <w:szCs w:val="20"/>
    </w:rPr>
  </w:style>
  <w:style w:type="character" w:styleId="Rfrenceintense">
    <w:name w:val="Intense Reference"/>
    <w:basedOn w:val="Policepardfaut"/>
    <w:uiPriority w:val="32"/>
    <w:qFormat/>
    <w:rsid w:val="002C56ED"/>
    <w:rPr>
      <w:b/>
      <w:bCs/>
      <w:smallCaps/>
      <w:color w:val="4472C4" w:themeColor="accent1"/>
      <w:spacing w:val="5"/>
    </w:rPr>
  </w:style>
  <w:style w:type="character" w:styleId="Lienhypertexte">
    <w:name w:val="Hyperlink"/>
    <w:basedOn w:val="Policepardfaut"/>
    <w:uiPriority w:val="99"/>
    <w:unhideWhenUsed/>
    <w:rsid w:val="00156EE3"/>
    <w:rPr>
      <w:color w:val="0563C1" w:themeColor="hyperlink"/>
      <w:u w:val="single"/>
    </w:rPr>
  </w:style>
  <w:style w:type="character" w:styleId="Mentionnonrsolue">
    <w:name w:val="Unresolved Mention"/>
    <w:basedOn w:val="Policepardfaut"/>
    <w:uiPriority w:val="99"/>
    <w:semiHidden/>
    <w:unhideWhenUsed/>
    <w:rsid w:val="00156EE3"/>
    <w:rPr>
      <w:color w:val="605E5C"/>
      <w:shd w:val="clear" w:color="auto" w:fill="E1DFDD"/>
    </w:rPr>
  </w:style>
  <w:style w:type="paragraph" w:styleId="NormalWeb">
    <w:name w:val="Normal (Web)"/>
    <w:basedOn w:val="Normal"/>
    <w:uiPriority w:val="99"/>
    <w:semiHidden/>
    <w:unhideWhenUsed/>
    <w:rsid w:val="000D72DA"/>
    <w:pPr>
      <w:spacing w:before="100" w:beforeAutospacing="1" w:after="100" w:afterAutospacing="1" w:line="240" w:lineRule="auto"/>
    </w:pPr>
    <w:rPr>
      <w:rFonts w:ascii="Times New Roman" w:eastAsia="Times New Roman" w:hAnsi="Times New Roman" w:cs="Times New Roman"/>
      <w:sz w:val="24"/>
      <w:szCs w:val="24"/>
    </w:rPr>
  </w:style>
  <w:style w:type="paragraph" w:styleId="Rvision">
    <w:name w:val="Revision"/>
    <w:hidden/>
    <w:uiPriority w:val="99"/>
    <w:semiHidden/>
    <w:rsid w:val="00AE15C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75541">
      <w:bodyDiv w:val="1"/>
      <w:marLeft w:val="0"/>
      <w:marRight w:val="0"/>
      <w:marTop w:val="0"/>
      <w:marBottom w:val="0"/>
      <w:divBdr>
        <w:top w:val="none" w:sz="0" w:space="0" w:color="auto"/>
        <w:left w:val="none" w:sz="0" w:space="0" w:color="auto"/>
        <w:bottom w:val="none" w:sz="0" w:space="0" w:color="auto"/>
        <w:right w:val="none" w:sz="0" w:space="0" w:color="auto"/>
      </w:divBdr>
    </w:div>
    <w:div w:id="288780226">
      <w:bodyDiv w:val="1"/>
      <w:marLeft w:val="0"/>
      <w:marRight w:val="0"/>
      <w:marTop w:val="0"/>
      <w:marBottom w:val="0"/>
      <w:divBdr>
        <w:top w:val="none" w:sz="0" w:space="0" w:color="auto"/>
        <w:left w:val="none" w:sz="0" w:space="0" w:color="auto"/>
        <w:bottom w:val="none" w:sz="0" w:space="0" w:color="auto"/>
        <w:right w:val="none" w:sz="0" w:space="0" w:color="auto"/>
      </w:divBdr>
    </w:div>
    <w:div w:id="370114052">
      <w:bodyDiv w:val="1"/>
      <w:marLeft w:val="0"/>
      <w:marRight w:val="0"/>
      <w:marTop w:val="0"/>
      <w:marBottom w:val="0"/>
      <w:divBdr>
        <w:top w:val="none" w:sz="0" w:space="0" w:color="auto"/>
        <w:left w:val="none" w:sz="0" w:space="0" w:color="auto"/>
        <w:bottom w:val="none" w:sz="0" w:space="0" w:color="auto"/>
        <w:right w:val="none" w:sz="0" w:space="0" w:color="auto"/>
      </w:divBdr>
    </w:div>
    <w:div w:id="413597965">
      <w:bodyDiv w:val="1"/>
      <w:marLeft w:val="0"/>
      <w:marRight w:val="0"/>
      <w:marTop w:val="0"/>
      <w:marBottom w:val="0"/>
      <w:divBdr>
        <w:top w:val="none" w:sz="0" w:space="0" w:color="auto"/>
        <w:left w:val="none" w:sz="0" w:space="0" w:color="auto"/>
        <w:bottom w:val="none" w:sz="0" w:space="0" w:color="auto"/>
        <w:right w:val="none" w:sz="0" w:space="0" w:color="auto"/>
      </w:divBdr>
    </w:div>
    <w:div w:id="547834755">
      <w:bodyDiv w:val="1"/>
      <w:marLeft w:val="0"/>
      <w:marRight w:val="0"/>
      <w:marTop w:val="0"/>
      <w:marBottom w:val="0"/>
      <w:divBdr>
        <w:top w:val="none" w:sz="0" w:space="0" w:color="auto"/>
        <w:left w:val="none" w:sz="0" w:space="0" w:color="auto"/>
        <w:bottom w:val="none" w:sz="0" w:space="0" w:color="auto"/>
        <w:right w:val="none" w:sz="0" w:space="0" w:color="auto"/>
      </w:divBdr>
    </w:div>
    <w:div w:id="584270453">
      <w:bodyDiv w:val="1"/>
      <w:marLeft w:val="0"/>
      <w:marRight w:val="0"/>
      <w:marTop w:val="0"/>
      <w:marBottom w:val="0"/>
      <w:divBdr>
        <w:top w:val="none" w:sz="0" w:space="0" w:color="auto"/>
        <w:left w:val="none" w:sz="0" w:space="0" w:color="auto"/>
        <w:bottom w:val="none" w:sz="0" w:space="0" w:color="auto"/>
        <w:right w:val="none" w:sz="0" w:space="0" w:color="auto"/>
      </w:divBdr>
    </w:div>
    <w:div w:id="595480606">
      <w:bodyDiv w:val="1"/>
      <w:marLeft w:val="0"/>
      <w:marRight w:val="0"/>
      <w:marTop w:val="0"/>
      <w:marBottom w:val="0"/>
      <w:divBdr>
        <w:top w:val="none" w:sz="0" w:space="0" w:color="auto"/>
        <w:left w:val="none" w:sz="0" w:space="0" w:color="auto"/>
        <w:bottom w:val="none" w:sz="0" w:space="0" w:color="auto"/>
        <w:right w:val="none" w:sz="0" w:space="0" w:color="auto"/>
      </w:divBdr>
    </w:div>
    <w:div w:id="702293248">
      <w:bodyDiv w:val="1"/>
      <w:marLeft w:val="0"/>
      <w:marRight w:val="0"/>
      <w:marTop w:val="0"/>
      <w:marBottom w:val="0"/>
      <w:divBdr>
        <w:top w:val="none" w:sz="0" w:space="0" w:color="auto"/>
        <w:left w:val="none" w:sz="0" w:space="0" w:color="auto"/>
        <w:bottom w:val="none" w:sz="0" w:space="0" w:color="auto"/>
        <w:right w:val="none" w:sz="0" w:space="0" w:color="auto"/>
      </w:divBdr>
    </w:div>
    <w:div w:id="1025015046">
      <w:bodyDiv w:val="1"/>
      <w:marLeft w:val="0"/>
      <w:marRight w:val="0"/>
      <w:marTop w:val="0"/>
      <w:marBottom w:val="0"/>
      <w:divBdr>
        <w:top w:val="none" w:sz="0" w:space="0" w:color="auto"/>
        <w:left w:val="none" w:sz="0" w:space="0" w:color="auto"/>
        <w:bottom w:val="none" w:sz="0" w:space="0" w:color="auto"/>
        <w:right w:val="none" w:sz="0" w:space="0" w:color="auto"/>
      </w:divBdr>
    </w:div>
    <w:div w:id="1406226210">
      <w:bodyDiv w:val="1"/>
      <w:marLeft w:val="0"/>
      <w:marRight w:val="0"/>
      <w:marTop w:val="0"/>
      <w:marBottom w:val="0"/>
      <w:divBdr>
        <w:top w:val="none" w:sz="0" w:space="0" w:color="auto"/>
        <w:left w:val="none" w:sz="0" w:space="0" w:color="auto"/>
        <w:bottom w:val="none" w:sz="0" w:space="0" w:color="auto"/>
        <w:right w:val="none" w:sz="0" w:space="0" w:color="auto"/>
      </w:divBdr>
    </w:div>
    <w:div w:id="1605839827">
      <w:bodyDiv w:val="1"/>
      <w:marLeft w:val="0"/>
      <w:marRight w:val="0"/>
      <w:marTop w:val="0"/>
      <w:marBottom w:val="0"/>
      <w:divBdr>
        <w:top w:val="none" w:sz="0" w:space="0" w:color="auto"/>
        <w:left w:val="none" w:sz="0" w:space="0" w:color="auto"/>
        <w:bottom w:val="none" w:sz="0" w:space="0" w:color="auto"/>
        <w:right w:val="none" w:sz="0" w:space="0" w:color="auto"/>
      </w:divBdr>
    </w:div>
    <w:div w:id="1629168666">
      <w:bodyDiv w:val="1"/>
      <w:marLeft w:val="0"/>
      <w:marRight w:val="0"/>
      <w:marTop w:val="0"/>
      <w:marBottom w:val="0"/>
      <w:divBdr>
        <w:top w:val="none" w:sz="0" w:space="0" w:color="auto"/>
        <w:left w:val="none" w:sz="0" w:space="0" w:color="auto"/>
        <w:bottom w:val="none" w:sz="0" w:space="0" w:color="auto"/>
        <w:right w:val="none" w:sz="0" w:space="0" w:color="auto"/>
      </w:divBdr>
    </w:div>
    <w:div w:id="1922442281">
      <w:bodyDiv w:val="1"/>
      <w:marLeft w:val="0"/>
      <w:marRight w:val="0"/>
      <w:marTop w:val="0"/>
      <w:marBottom w:val="0"/>
      <w:divBdr>
        <w:top w:val="none" w:sz="0" w:space="0" w:color="auto"/>
        <w:left w:val="none" w:sz="0" w:space="0" w:color="auto"/>
        <w:bottom w:val="none" w:sz="0" w:space="0" w:color="auto"/>
        <w:right w:val="none" w:sz="0" w:space="0" w:color="auto"/>
      </w:divBdr>
    </w:div>
    <w:div w:id="2130933672">
      <w:bodyDiv w:val="1"/>
      <w:marLeft w:val="0"/>
      <w:marRight w:val="0"/>
      <w:marTop w:val="0"/>
      <w:marBottom w:val="0"/>
      <w:divBdr>
        <w:top w:val="none" w:sz="0" w:space="0" w:color="auto"/>
        <w:left w:val="none" w:sz="0" w:space="0" w:color="auto"/>
        <w:bottom w:val="none" w:sz="0" w:space="0" w:color="auto"/>
        <w:right w:val="none" w:sz="0" w:space="0" w:color="auto"/>
      </w:divBdr>
    </w:div>
    <w:div w:id="2139105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3" Type="http://schemas.openxmlformats.org/officeDocument/2006/relationships/oleObject" Target="file:///C:\Users\Kaleivani.K\Desktop\010%20HIRS%20Liste%20du%20personnel%20de%20la%20COI%20oct%202025.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3184416341896658"/>
          <c:y val="0.3512965879265092"/>
          <c:w val="0.58849751376014703"/>
          <c:h val="0.54270004187219789"/>
        </c:manualLayout>
      </c:layout>
      <c:pieChart>
        <c:varyColors val="1"/>
        <c:ser>
          <c:idx val="0"/>
          <c:order val="0"/>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34BD-48FA-BB08-66014536D8E8}"/>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34BD-48FA-BB08-66014536D8E8}"/>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34BD-48FA-BB08-66014536D8E8}"/>
              </c:ext>
            </c:extLst>
          </c:dPt>
          <c:dPt>
            <c:idx val="3"/>
            <c:bubble3D val="0"/>
            <c:spPr>
              <a:solidFill>
                <a:srgbClr val="FF3300"/>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7-34BD-48FA-BB08-66014536D8E8}"/>
              </c:ext>
            </c:extLst>
          </c:dPt>
          <c:dPt>
            <c:idx val="4"/>
            <c:bubble3D val="0"/>
            <c:spPr>
              <a:solidFill>
                <a:srgbClr val="FF00FF"/>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9-34BD-48FA-BB08-66014536D8E8}"/>
              </c:ext>
            </c:extLst>
          </c:dPt>
          <c:dLbls>
            <c:dLbl>
              <c:idx val="0"/>
              <c:layout>
                <c:manualLayout>
                  <c:x val="4.2098851567604685E-2"/>
                  <c:y val="-5.3293707936313411E-2"/>
                </c:manualLayout>
              </c:layout>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ysClr val="windowText" lastClr="000000"/>
                      </a:solidFill>
                      <a:latin typeface="+mn-lt"/>
                      <a:ea typeface="+mn-ea"/>
                      <a:cs typeface="+mn-cs"/>
                    </a:defRPr>
                  </a:pPr>
                  <a:endParaRPr lang="en-MU"/>
                </a:p>
              </c:txPr>
              <c:dLblPos val="bestFit"/>
              <c:showLegendKey val="0"/>
              <c:showVal val="0"/>
              <c:showCatName val="1"/>
              <c:showSerName val="0"/>
              <c:showPercent val="1"/>
              <c:showBubbleSize val="0"/>
              <c:extLst>
                <c:ext xmlns:c15="http://schemas.microsoft.com/office/drawing/2012/chart" uri="{CE6537A1-D6FC-4f65-9D91-7224C49458BB}">
                  <c15:layout>
                    <c:manualLayout>
                      <c:w val="0.27375128741818666"/>
                      <c:h val="0.22269799932595974"/>
                    </c:manualLayout>
                  </c15:layout>
                </c:ext>
                <c:ext xmlns:c16="http://schemas.microsoft.com/office/drawing/2014/chart" uri="{C3380CC4-5D6E-409C-BE32-E72D297353CC}">
                  <c16:uniqueId val="{00000001-34BD-48FA-BB08-66014536D8E8}"/>
                </c:ext>
              </c:extLst>
            </c:dLbl>
            <c:dLbl>
              <c:idx val="1"/>
              <c:layout>
                <c:manualLayout>
                  <c:x val="0.11152552133514951"/>
                  <c:y val="-0.14924272598220942"/>
                </c:manualLayout>
              </c:layout>
              <c:tx>
                <c:rich>
                  <a:bodyPr rot="0" spcFirstLastPara="1" vertOverflow="ellipsis" vert="horz" wrap="square" lIns="38100" tIns="19050" rIns="38100" bIns="19050" anchor="ctr" anchorCtr="1">
                    <a:noAutofit/>
                  </a:bodyPr>
                  <a:lstStyle/>
                  <a:p>
                    <a:pPr>
                      <a:defRPr sz="900" b="1" i="0" u="none" strike="noStrike" kern="1200" baseline="0">
                        <a:solidFill>
                          <a:sysClr val="windowText" lastClr="000000"/>
                        </a:solidFill>
                        <a:latin typeface="+mn-lt"/>
                        <a:ea typeface="+mn-ea"/>
                        <a:cs typeface="+mn-cs"/>
                      </a:defRPr>
                    </a:pPr>
                    <a:r>
                      <a:rPr lang="en-US"/>
                      <a:t> </a:t>
                    </a:r>
                    <a:fld id="{9E5F4A7D-F717-4191-9F46-C1E0434F3B6E}" type="CATEGORYNAME">
                      <a:rPr lang="en-US"/>
                      <a:pPr>
                        <a:defRPr>
                          <a:solidFill>
                            <a:sysClr val="windowText" lastClr="000000"/>
                          </a:solidFill>
                        </a:defRPr>
                      </a:pPr>
                      <a:t>[NOM DE CATÉGORIE]</a:t>
                    </a:fld>
                    <a:r>
                      <a:rPr lang="en-US"/>
                      <a:t> </a:t>
                    </a:r>
                  </a:p>
                  <a:p>
                    <a:pPr>
                      <a:defRPr>
                        <a:solidFill>
                          <a:sysClr val="windowText" lastClr="000000"/>
                        </a:solidFill>
                      </a:defRPr>
                    </a:pPr>
                    <a:r>
                      <a:rPr lang="en-US"/>
                      <a:t>64%</a:t>
                    </a:r>
                  </a:p>
                </c:rich>
              </c:tx>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ysClr val="windowText" lastClr="000000"/>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48480015947373656"/>
                      <c:h val="0.22205582278868838"/>
                    </c:manualLayout>
                  </c15:layout>
                  <c15:dlblFieldTable/>
                  <c15:showDataLabelsRange val="0"/>
                </c:ext>
                <c:ext xmlns:c16="http://schemas.microsoft.com/office/drawing/2014/chart" uri="{C3380CC4-5D6E-409C-BE32-E72D297353CC}">
                  <c16:uniqueId val="{00000003-34BD-48FA-BB08-66014536D8E8}"/>
                </c:ext>
              </c:extLst>
            </c:dLbl>
            <c:dLbl>
              <c:idx val="2"/>
              <c:layout>
                <c:manualLayout>
                  <c:x val="-2.3966496420398581E-2"/>
                  <c:y val="0.11824782913808918"/>
                </c:manualLayout>
              </c:layout>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ysClr val="windowText" lastClr="000000"/>
                      </a:solidFill>
                      <a:latin typeface="+mn-lt"/>
                      <a:ea typeface="+mn-ea"/>
                      <a:cs typeface="+mn-cs"/>
                    </a:defRPr>
                  </a:pPr>
                  <a:endParaRPr lang="en-MU"/>
                </a:p>
              </c:txPr>
              <c:dLblPos val="bestFit"/>
              <c:showLegendKey val="0"/>
              <c:showVal val="0"/>
              <c:showCatName val="1"/>
              <c:showSerName val="0"/>
              <c:showPercent val="1"/>
              <c:showBubbleSize val="0"/>
              <c:extLst>
                <c:ext xmlns:c15="http://schemas.microsoft.com/office/drawing/2012/chart" uri="{CE6537A1-D6FC-4f65-9D91-7224C49458BB}">
                  <c15:layout>
                    <c:manualLayout>
                      <c:w val="0.27108320320719403"/>
                      <c:h val="0.27457867377472756"/>
                    </c:manualLayout>
                  </c15:layout>
                </c:ext>
                <c:ext xmlns:c16="http://schemas.microsoft.com/office/drawing/2014/chart" uri="{C3380CC4-5D6E-409C-BE32-E72D297353CC}">
                  <c16:uniqueId val="{00000005-34BD-48FA-BB08-66014536D8E8}"/>
                </c:ext>
              </c:extLst>
            </c:dLbl>
            <c:dLbl>
              <c:idx val="3"/>
              <c:layout>
                <c:manualLayout>
                  <c:x val="-4.0274649213152165E-2"/>
                  <c:y val="-0.15786513067189559"/>
                </c:manualLayout>
              </c:layout>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ysClr val="windowText" lastClr="000000"/>
                      </a:solidFill>
                      <a:latin typeface="+mn-lt"/>
                      <a:ea typeface="+mn-ea"/>
                      <a:cs typeface="+mn-cs"/>
                    </a:defRPr>
                  </a:pPr>
                  <a:endParaRPr lang="en-MU"/>
                </a:p>
              </c:txPr>
              <c:dLblPos val="bestFit"/>
              <c:showLegendKey val="0"/>
              <c:showVal val="0"/>
              <c:showCatName val="1"/>
              <c:showSerName val="0"/>
              <c:showPercent val="1"/>
              <c:showBubbleSize val="0"/>
              <c:extLst>
                <c:ext xmlns:c15="http://schemas.microsoft.com/office/drawing/2012/chart" uri="{CE6537A1-D6FC-4f65-9D91-7224C49458BB}">
                  <c15:layout>
                    <c:manualLayout>
                      <c:w val="0.27690576652601967"/>
                      <c:h val="0.19683527885862517"/>
                    </c:manualLayout>
                  </c15:layout>
                </c:ext>
                <c:ext xmlns:c16="http://schemas.microsoft.com/office/drawing/2014/chart" uri="{C3380CC4-5D6E-409C-BE32-E72D297353CC}">
                  <c16:uniqueId val="{00000007-34BD-48FA-BB08-66014536D8E8}"/>
                </c:ext>
              </c:extLst>
            </c:dLbl>
            <c:dLbl>
              <c:idx val="4"/>
              <c:layout>
                <c:manualLayout>
                  <c:x val="6.3666788486882175E-2"/>
                  <c:y val="-0.14507429761941235"/>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34BD-48FA-BB08-66014536D8E8}"/>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MU"/>
              </a:p>
            </c:txPr>
            <c:dLblPos val="in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Rapport!$A$128:$A$132</c:f>
              <c:strCache>
                <c:ptCount val="5"/>
                <c:pt idx="0">
                  <c:v>Assistant Technique</c:v>
                </c:pt>
                <c:pt idx="1">
                  <c:v>Contrat COI employé</c:v>
                </c:pt>
                <c:pt idx="2">
                  <c:v>Consultant en contrat COI</c:v>
                </c:pt>
                <c:pt idx="3">
                  <c:v>Mise à disposition</c:v>
                </c:pt>
                <c:pt idx="4">
                  <c:v>VSI</c:v>
                </c:pt>
              </c:strCache>
            </c:strRef>
          </c:cat>
          <c:val>
            <c:numRef>
              <c:f>Rapport!$B$128:$B$132</c:f>
              <c:numCache>
                <c:formatCode>General</c:formatCode>
                <c:ptCount val="5"/>
                <c:pt idx="0">
                  <c:v>20</c:v>
                </c:pt>
                <c:pt idx="1">
                  <c:v>64</c:v>
                </c:pt>
                <c:pt idx="2">
                  <c:v>8</c:v>
                </c:pt>
                <c:pt idx="3">
                  <c:v>5</c:v>
                </c:pt>
                <c:pt idx="4">
                  <c:v>3</c:v>
                </c:pt>
              </c:numCache>
            </c:numRef>
          </c:val>
          <c:extLst>
            <c:ext xmlns:c16="http://schemas.microsoft.com/office/drawing/2014/chart" uri="{C3380CC4-5D6E-409C-BE32-E72D297353CC}">
              <c16:uniqueId val="{0000000A-34BD-48FA-BB08-66014536D8E8}"/>
            </c:ext>
          </c:extLst>
        </c:ser>
        <c:ser>
          <c:idx val="1"/>
          <c:order val="1"/>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C-34BD-48FA-BB08-66014536D8E8}"/>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E-34BD-48FA-BB08-66014536D8E8}"/>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10-34BD-48FA-BB08-66014536D8E8}"/>
              </c:ext>
            </c:extLst>
          </c:dPt>
          <c:dPt>
            <c:idx val="3"/>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12-34BD-48FA-BB08-66014536D8E8}"/>
              </c:ext>
            </c:extLst>
          </c:dPt>
          <c:dPt>
            <c:idx val="4"/>
            <c:bubble3D val="0"/>
            <c:spPr>
              <a:solidFill>
                <a:schemeClr val="accent5"/>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14-34BD-48FA-BB08-66014536D8E8}"/>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MU"/>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Rapport!$A$128:$A$132</c:f>
              <c:strCache>
                <c:ptCount val="5"/>
                <c:pt idx="0">
                  <c:v>Assistant Technique</c:v>
                </c:pt>
                <c:pt idx="1">
                  <c:v>Contrat COI employé</c:v>
                </c:pt>
                <c:pt idx="2">
                  <c:v>Consultant en contrat COI</c:v>
                </c:pt>
                <c:pt idx="3">
                  <c:v>Mise à disposition</c:v>
                </c:pt>
                <c:pt idx="4">
                  <c:v>VSI</c:v>
                </c:pt>
              </c:strCache>
            </c:strRef>
          </c:cat>
          <c:val>
            <c:numRef>
              <c:f>Rapport!$C$128:$C$132</c:f>
              <c:numCache>
                <c:formatCode>_ * #,##0.0_)_ ;_ * \(#,##0.0\)_ ;_ * "-"_)_ ;_ @_ </c:formatCode>
                <c:ptCount val="5"/>
                <c:pt idx="0">
                  <c:v>20</c:v>
                </c:pt>
                <c:pt idx="1">
                  <c:v>64</c:v>
                </c:pt>
                <c:pt idx="2">
                  <c:v>8</c:v>
                </c:pt>
                <c:pt idx="3">
                  <c:v>5</c:v>
                </c:pt>
                <c:pt idx="4">
                  <c:v>3</c:v>
                </c:pt>
              </c:numCache>
            </c:numRef>
          </c:val>
          <c:extLst>
            <c:ext xmlns:c16="http://schemas.microsoft.com/office/drawing/2014/chart" uri="{C3380CC4-5D6E-409C-BE32-E72D297353CC}">
              <c16:uniqueId val="{00000015-34BD-48FA-BB08-66014536D8E8}"/>
            </c:ext>
          </c:extLst>
        </c:ser>
        <c:dLbls>
          <c:dLblPos val="inEnd"/>
          <c:showLegendKey val="0"/>
          <c:showVal val="0"/>
          <c:showCatName val="0"/>
          <c:showSerName val="0"/>
          <c:showPercent val="1"/>
          <c:showBubbleSize val="0"/>
          <c:showLeaderLines val="1"/>
        </c:dLbls>
        <c:firstSliceAng val="0"/>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M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1008</Words>
  <Characters>5547</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MAMINIAINA</dc:creator>
  <cp:keywords/>
  <dc:description/>
  <cp:lastModifiedBy>Shirley LAW</cp:lastModifiedBy>
  <cp:revision>4</cp:revision>
  <dcterms:created xsi:type="dcterms:W3CDTF">2025-10-14T10:55:00Z</dcterms:created>
  <dcterms:modified xsi:type="dcterms:W3CDTF">2025-11-07T06:50:00Z</dcterms:modified>
</cp:coreProperties>
</file>