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18193D"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18193D" w14:paraId="51109D41" w14:textId="77777777" w:rsidTr="000E2E1E">
        <w:tc>
          <w:tcPr>
            <w:tcW w:w="9062" w:type="dxa"/>
            <w:gridSpan w:val="2"/>
          </w:tcPr>
          <w:p w14:paraId="6FC76F95" w14:textId="6D13FBAE" w:rsidR="00EC22CC" w:rsidRPr="0018193D" w:rsidRDefault="00D42931" w:rsidP="00854EEA">
            <w:pPr>
              <w:jc w:val="center"/>
              <w:rPr>
                <w:rFonts w:ascii="Verdana" w:hAnsi="Verdana"/>
                <w:b/>
                <w:bCs/>
                <w:sz w:val="20"/>
                <w:szCs w:val="20"/>
              </w:rPr>
            </w:pPr>
            <w:r w:rsidRPr="0018193D">
              <w:rPr>
                <w:rFonts w:ascii="Verdana" w:hAnsi="Verdana"/>
                <w:b/>
                <w:bCs/>
                <w:sz w:val="20"/>
                <w:szCs w:val="20"/>
              </w:rPr>
              <w:t>PECHES : ECOFISH, PLAN REGIONAL DE SURVEILLANCE DES PECHES ET SWIO</w:t>
            </w:r>
          </w:p>
        </w:tc>
      </w:tr>
      <w:tr w:rsidR="00EC22CC" w:rsidRPr="0018193D" w14:paraId="7F1B63D2" w14:textId="77777777" w:rsidTr="002A0933">
        <w:tc>
          <w:tcPr>
            <w:tcW w:w="7225" w:type="dxa"/>
          </w:tcPr>
          <w:p w14:paraId="056D9B10" w14:textId="53A083E3" w:rsidR="00EC22CC" w:rsidRPr="0018193D" w:rsidRDefault="000E4FA9" w:rsidP="002A096E">
            <w:pPr>
              <w:rPr>
                <w:rFonts w:ascii="Verdana" w:hAnsi="Verdana"/>
                <w:sz w:val="20"/>
                <w:szCs w:val="20"/>
              </w:rPr>
            </w:pPr>
            <w:r w:rsidRPr="0018193D">
              <w:rPr>
                <w:rFonts w:ascii="Verdana" w:hAnsi="Verdana"/>
                <w:sz w:val="20"/>
                <w:szCs w:val="20"/>
              </w:rPr>
              <w:t>Comité des OPL n°02/2025 | Novembre 2025, Maurice</w:t>
            </w:r>
          </w:p>
        </w:tc>
        <w:tc>
          <w:tcPr>
            <w:tcW w:w="1837" w:type="dxa"/>
          </w:tcPr>
          <w:p w14:paraId="58E25D1F" w14:textId="6B8FDF75" w:rsidR="00EC22CC" w:rsidRPr="0018193D" w:rsidRDefault="002A096E" w:rsidP="00854EEA">
            <w:pPr>
              <w:jc w:val="center"/>
              <w:rPr>
                <w:rFonts w:ascii="Verdana" w:hAnsi="Verdana"/>
                <w:sz w:val="20"/>
                <w:szCs w:val="20"/>
              </w:rPr>
            </w:pPr>
            <w:r w:rsidRPr="0018193D">
              <w:rPr>
                <w:rFonts w:ascii="Verdana" w:hAnsi="Verdana"/>
                <w:sz w:val="20"/>
                <w:szCs w:val="20"/>
              </w:rPr>
              <w:t xml:space="preserve">Point </w:t>
            </w:r>
            <w:r w:rsidR="007275D3" w:rsidRPr="0018193D">
              <w:rPr>
                <w:rFonts w:ascii="Verdana" w:hAnsi="Verdana"/>
                <w:sz w:val="20"/>
                <w:szCs w:val="20"/>
              </w:rPr>
              <w:t>2.9</w:t>
            </w:r>
          </w:p>
        </w:tc>
      </w:tr>
      <w:tr w:rsidR="00EC22CC" w:rsidRPr="0018193D" w14:paraId="537D1DE5" w14:textId="77777777" w:rsidTr="002A0933">
        <w:tc>
          <w:tcPr>
            <w:tcW w:w="7225" w:type="dxa"/>
          </w:tcPr>
          <w:p w14:paraId="43DEF09E" w14:textId="135DA7CF" w:rsidR="00EC22CC" w:rsidRPr="0018193D" w:rsidRDefault="00A148A1" w:rsidP="002A096E">
            <w:pPr>
              <w:rPr>
                <w:rFonts w:ascii="Verdana" w:hAnsi="Verdana"/>
                <w:sz w:val="20"/>
                <w:szCs w:val="20"/>
              </w:rPr>
            </w:pPr>
            <w:r w:rsidRPr="0018193D">
              <w:rPr>
                <w:rFonts w:ascii="Verdana" w:hAnsi="Verdana"/>
                <w:i/>
                <w:iCs/>
                <w:sz w:val="20"/>
                <w:szCs w:val="20"/>
              </w:rPr>
              <w:t>Dossier suivi par :</w:t>
            </w:r>
            <w:r w:rsidR="00EC22CC" w:rsidRPr="0018193D">
              <w:rPr>
                <w:rFonts w:ascii="Verdana" w:hAnsi="Verdana"/>
                <w:sz w:val="20"/>
                <w:szCs w:val="20"/>
              </w:rPr>
              <w:t xml:space="preserve"> </w:t>
            </w:r>
            <w:r w:rsidR="00D42931" w:rsidRPr="0018193D">
              <w:rPr>
                <w:rFonts w:ascii="Verdana" w:hAnsi="Verdana"/>
                <w:sz w:val="20"/>
                <w:szCs w:val="20"/>
              </w:rPr>
              <w:t>Marc MAMINIAINA, Chargé de mission</w:t>
            </w:r>
          </w:p>
        </w:tc>
        <w:tc>
          <w:tcPr>
            <w:tcW w:w="1837" w:type="dxa"/>
          </w:tcPr>
          <w:p w14:paraId="5AC1AFAB" w14:textId="4DEF6E24" w:rsidR="00EC22CC" w:rsidRPr="0018193D" w:rsidRDefault="004607F7" w:rsidP="00854EEA">
            <w:pPr>
              <w:jc w:val="center"/>
              <w:rPr>
                <w:rFonts w:ascii="Verdana" w:hAnsi="Verdana"/>
                <w:sz w:val="20"/>
                <w:szCs w:val="20"/>
              </w:rPr>
            </w:pPr>
            <w:r w:rsidRPr="0018193D">
              <w:rPr>
                <w:rFonts w:ascii="Verdana" w:hAnsi="Verdana"/>
                <w:sz w:val="20"/>
                <w:szCs w:val="20"/>
              </w:rPr>
              <w:t xml:space="preserve">Décision </w:t>
            </w:r>
          </w:p>
        </w:tc>
      </w:tr>
      <w:tr w:rsidR="00A90305" w:rsidRPr="0018193D" w14:paraId="6896DB30" w14:textId="77777777" w:rsidTr="009F5233">
        <w:tc>
          <w:tcPr>
            <w:tcW w:w="9062" w:type="dxa"/>
            <w:gridSpan w:val="2"/>
          </w:tcPr>
          <w:p w14:paraId="0495241B" w14:textId="3ECCF847" w:rsidR="00A90305" w:rsidRPr="0018193D" w:rsidRDefault="00A90305" w:rsidP="00A90305">
            <w:pPr>
              <w:rPr>
                <w:rFonts w:ascii="Verdana" w:hAnsi="Verdana"/>
                <w:sz w:val="20"/>
                <w:szCs w:val="20"/>
              </w:rPr>
            </w:pPr>
            <w:r w:rsidRPr="0018193D">
              <w:rPr>
                <w:rFonts w:ascii="Verdana" w:hAnsi="Verdana"/>
                <w:i/>
                <w:iCs/>
                <w:sz w:val="20"/>
                <w:szCs w:val="20"/>
              </w:rPr>
              <w:t>Version du</w:t>
            </w:r>
            <w:r w:rsidR="00D42931" w:rsidRPr="0018193D">
              <w:rPr>
                <w:rFonts w:ascii="Verdana" w:hAnsi="Verdana"/>
                <w:i/>
                <w:iCs/>
                <w:sz w:val="20"/>
                <w:szCs w:val="20"/>
              </w:rPr>
              <w:t xml:space="preserve"> 09 octobre 2025</w:t>
            </w:r>
            <w:r w:rsidRPr="0018193D">
              <w:rPr>
                <w:rFonts w:ascii="Verdana" w:hAnsi="Verdana"/>
                <w:i/>
                <w:iCs/>
                <w:sz w:val="20"/>
                <w:szCs w:val="20"/>
              </w:rPr>
              <w:t xml:space="preserve">  </w:t>
            </w:r>
          </w:p>
        </w:tc>
      </w:tr>
    </w:tbl>
    <w:p w14:paraId="1611BCC4" w14:textId="77777777" w:rsidR="00854EEA" w:rsidRPr="0018193D" w:rsidRDefault="00854EEA" w:rsidP="00816DAC">
      <w:pPr>
        <w:pStyle w:val="Paragraphe"/>
      </w:pPr>
      <w:bookmarkStart w:id="0" w:name="_Hlk24535240"/>
    </w:p>
    <w:p w14:paraId="678F0DFC" w14:textId="2A2EA6B3" w:rsidR="00854EEA" w:rsidRPr="0018193D" w:rsidRDefault="00140D4D" w:rsidP="00A70123">
      <w:pPr>
        <w:pStyle w:val="Titrepartie"/>
      </w:pPr>
      <w:r w:rsidRPr="0018193D">
        <w:t>ECOFISH : Clôture du programme, réalisations et pérennisation des acquis</w:t>
      </w:r>
    </w:p>
    <w:p w14:paraId="4AF74486" w14:textId="4E020E6F" w:rsidR="00410F15" w:rsidRPr="0018193D" w:rsidRDefault="00140D4D" w:rsidP="00CE2386">
      <w:pPr>
        <w:pStyle w:val="Paragraphe"/>
      </w:pPr>
      <w:r w:rsidRPr="0018193D">
        <w:t xml:space="preserve">Le programme ECOFISH a été clôturé officiellement le 12 septembre 2025. Le </w:t>
      </w:r>
      <w:r w:rsidR="00510C9D">
        <w:t>b</w:t>
      </w:r>
      <w:r w:rsidRPr="0018193D">
        <w:t xml:space="preserve">ilan général d’ECOFISH est globalement positif malgré une surcharge de travail pendant les 12 mois d’extension accordée par l’Union </w:t>
      </w:r>
      <w:r w:rsidR="000D1825" w:rsidRPr="0018193D">
        <w:t>e</w:t>
      </w:r>
      <w:r w:rsidRPr="0018193D">
        <w:t xml:space="preserve">uropéenne. </w:t>
      </w:r>
      <w:r w:rsidR="00921217" w:rsidRPr="0018193D">
        <w:t xml:space="preserve">Le devis-programme marin </w:t>
      </w:r>
      <w:r w:rsidR="00410F15" w:rsidRPr="0018193D">
        <w:t>géré par la COI a permis de mettre en œuvre</w:t>
      </w:r>
      <w:r w:rsidR="000D1825" w:rsidRPr="0018193D">
        <w:t xml:space="preserve"> et</w:t>
      </w:r>
      <w:r w:rsidR="00410F15" w:rsidRPr="0018193D">
        <w:t xml:space="preserve"> de renforcer les cadres politiques et institutionnels </w:t>
      </w:r>
      <w:r w:rsidR="00510C9D">
        <w:t>pour</w:t>
      </w:r>
      <w:r w:rsidR="00410F15" w:rsidRPr="0018193D">
        <w:t xml:space="preserve"> la gestion des pêches (Résultat 1) et de déployer des actions liées </w:t>
      </w:r>
      <w:r w:rsidR="00510C9D">
        <w:t>a</w:t>
      </w:r>
      <w:r w:rsidR="00410F15" w:rsidRPr="0018193D">
        <w:t xml:space="preserve">u suivi, </w:t>
      </w:r>
      <w:r w:rsidR="00510C9D">
        <w:t xml:space="preserve">au </w:t>
      </w:r>
      <w:r w:rsidR="00410F15" w:rsidRPr="0018193D">
        <w:t xml:space="preserve">contrôle et </w:t>
      </w:r>
      <w:r w:rsidR="00510C9D">
        <w:t xml:space="preserve">à la </w:t>
      </w:r>
      <w:r w:rsidR="00410F15" w:rsidRPr="0018193D">
        <w:t>surveillance des pêches (Résultat 2)</w:t>
      </w:r>
    </w:p>
    <w:p w14:paraId="7EC8E08C" w14:textId="32E566C0" w:rsidR="00A17662" w:rsidRPr="0018193D" w:rsidRDefault="00A17662" w:rsidP="00A17662">
      <w:pPr>
        <w:pStyle w:val="Paragraphe"/>
      </w:pPr>
      <w:r w:rsidRPr="0018193D">
        <w:t xml:space="preserve">Concernant le </w:t>
      </w:r>
      <w:r w:rsidR="00410F15" w:rsidRPr="0018193D">
        <w:t>Résultat 1 du plan de travail de la COI</w:t>
      </w:r>
      <w:r w:rsidRPr="0018193D">
        <w:t xml:space="preserve"> sur </w:t>
      </w:r>
      <w:r w:rsidR="00410F15" w:rsidRPr="0018193D">
        <w:t>le développement durable et la gouvernance des pêches artisanales marines dans l’ensemble de l’océan Indien occidental</w:t>
      </w:r>
      <w:r w:rsidRPr="0018193D">
        <w:t xml:space="preserve">, quelques </w:t>
      </w:r>
      <w:r w:rsidR="00410F15" w:rsidRPr="0018193D">
        <w:t xml:space="preserve">réalisations importantes ont été accomplies, </w:t>
      </w:r>
      <w:r w:rsidRPr="0018193D">
        <w:t xml:space="preserve">entre </w:t>
      </w:r>
      <w:r w:rsidR="00092572" w:rsidRPr="0018193D">
        <w:t>autres :</w:t>
      </w:r>
    </w:p>
    <w:p w14:paraId="321523E9" w14:textId="27547F6C" w:rsidR="00A17662" w:rsidRPr="0018193D" w:rsidRDefault="00410F15" w:rsidP="00A17662">
      <w:pPr>
        <w:pStyle w:val="Paragraphe"/>
        <w:numPr>
          <w:ilvl w:val="0"/>
          <w:numId w:val="12"/>
        </w:numPr>
      </w:pPr>
      <w:proofErr w:type="gramStart"/>
      <w:r w:rsidRPr="0018193D">
        <w:t>les</w:t>
      </w:r>
      <w:proofErr w:type="gramEnd"/>
      <w:r w:rsidRPr="0018193D">
        <w:t xml:space="preserve"> plans de gestion</w:t>
      </w:r>
      <w:r w:rsidR="00B84B8D" w:rsidRPr="0018193D">
        <w:t xml:space="preserve"> </w:t>
      </w:r>
      <w:r w:rsidRPr="0018193D">
        <w:t>pour l’holothurie aux Seychelles et le poulpe à Zanzibar,</w:t>
      </w:r>
    </w:p>
    <w:p w14:paraId="44DA8B89" w14:textId="77777777" w:rsidR="00A17662" w:rsidRPr="0018193D" w:rsidRDefault="00410F15" w:rsidP="00A17662">
      <w:pPr>
        <w:pStyle w:val="Paragraphe"/>
        <w:numPr>
          <w:ilvl w:val="0"/>
          <w:numId w:val="12"/>
        </w:numPr>
      </w:pPr>
      <w:proofErr w:type="gramStart"/>
      <w:r w:rsidRPr="0018193D">
        <w:t>une</w:t>
      </w:r>
      <w:proofErr w:type="gramEnd"/>
      <w:r w:rsidRPr="0018193D">
        <w:t xml:space="preserve"> stratégie régionale pour la chaîne de valeur du thon,</w:t>
      </w:r>
    </w:p>
    <w:p w14:paraId="7CCF5BED" w14:textId="5A338BA7" w:rsidR="00A17662" w:rsidRPr="0018193D" w:rsidRDefault="00A17662" w:rsidP="00A17662">
      <w:pPr>
        <w:pStyle w:val="Paragraphe"/>
        <w:numPr>
          <w:ilvl w:val="0"/>
          <w:numId w:val="12"/>
        </w:numPr>
      </w:pPr>
      <w:proofErr w:type="gramStart"/>
      <w:r w:rsidRPr="0018193D">
        <w:t>la</w:t>
      </w:r>
      <w:proofErr w:type="gramEnd"/>
      <w:r w:rsidRPr="0018193D">
        <w:t xml:space="preserve"> mise en place </w:t>
      </w:r>
      <w:r w:rsidR="00410F15" w:rsidRPr="0018193D">
        <w:t>d’outils d’évaluation de l’économie bleue (BEFSA) au Kenya, à Madagascar, aux Comores et à Djibouti,</w:t>
      </w:r>
    </w:p>
    <w:p w14:paraId="262672C0" w14:textId="77777777" w:rsidR="00A17662" w:rsidRPr="0018193D" w:rsidRDefault="00410F15" w:rsidP="00A17662">
      <w:pPr>
        <w:pStyle w:val="Paragraphe"/>
        <w:numPr>
          <w:ilvl w:val="0"/>
          <w:numId w:val="12"/>
        </w:numPr>
      </w:pPr>
      <w:proofErr w:type="gramStart"/>
      <w:r w:rsidRPr="0018193D">
        <w:t>la</w:t>
      </w:r>
      <w:proofErr w:type="gramEnd"/>
      <w:r w:rsidRPr="0018193D">
        <w:t xml:space="preserve"> création de l’Observatoire régional des pêches et du changement climatique,</w:t>
      </w:r>
    </w:p>
    <w:p w14:paraId="1E8E92AA" w14:textId="3F11BA57" w:rsidR="00410F15" w:rsidRPr="0018193D" w:rsidRDefault="00410F15" w:rsidP="00A17662">
      <w:pPr>
        <w:pStyle w:val="Paragraphe"/>
        <w:numPr>
          <w:ilvl w:val="0"/>
          <w:numId w:val="12"/>
        </w:numPr>
      </w:pPr>
      <w:proofErr w:type="gramStart"/>
      <w:r w:rsidRPr="0018193D">
        <w:t>des</w:t>
      </w:r>
      <w:proofErr w:type="gramEnd"/>
      <w:r w:rsidRPr="0018193D">
        <w:t xml:space="preserve"> innovations communautaires comme la taxe de solidarité pour la conservation à Zanzibar et le déploiement de dispositifs de concentration de poissons (DCP) côtiers aux Comores, accompagnés d’une solide stratégie de renforcement des capacités dans les pays bénéficiaires.</w:t>
      </w:r>
    </w:p>
    <w:p w14:paraId="14DFB9C6" w14:textId="6B172D88" w:rsidR="00410F15" w:rsidRPr="0018193D" w:rsidRDefault="00410F15" w:rsidP="00410F15">
      <w:pPr>
        <w:pStyle w:val="Paragraphe"/>
      </w:pPr>
      <w:r w:rsidRPr="0018193D">
        <w:t xml:space="preserve">Les enseignements tirés soulignent la nécessité d’un ancrage institutionnel plus fort, d’un financement durable et d’une participation inclusive des acteurs non étatiques, </w:t>
      </w:r>
      <w:r w:rsidR="00510C9D">
        <w:t xml:space="preserve">ainsi que </w:t>
      </w:r>
      <w:r w:rsidRPr="0018193D">
        <w:t>des femmes et des jeunes.</w:t>
      </w:r>
    </w:p>
    <w:p w14:paraId="21FD9AB3" w14:textId="113C7AE1" w:rsidR="00A03FD7" w:rsidRPr="0018193D" w:rsidRDefault="00A17662" w:rsidP="00A03FD7">
      <w:pPr>
        <w:pStyle w:val="Paragraphe"/>
      </w:pPr>
      <w:r w:rsidRPr="0018193D">
        <w:t xml:space="preserve">S’agissant du </w:t>
      </w:r>
      <w:r w:rsidR="00510C9D">
        <w:t>R</w:t>
      </w:r>
      <w:r w:rsidR="0018193D">
        <w:t>é</w:t>
      </w:r>
      <w:r w:rsidRPr="0018193D">
        <w:t>sultat 2</w:t>
      </w:r>
      <w:r w:rsidR="00977D04" w:rsidRPr="0018193D">
        <w:t xml:space="preserve">, outre l’appui aux activités du PRSP, des actions dans le cadre du renforcement des capacités </w:t>
      </w:r>
      <w:r w:rsidR="008A5003" w:rsidRPr="0018193D">
        <w:t xml:space="preserve">de </w:t>
      </w:r>
      <w:r w:rsidR="00A03FD7" w:rsidRPr="0018193D">
        <w:t xml:space="preserve">Suivi, Contrôle et Surveillance (SCS) des Pêches dans la Région </w:t>
      </w:r>
      <w:r w:rsidR="008A5003" w:rsidRPr="0018193D">
        <w:t>Sud-Ouest de l’oc</w:t>
      </w:r>
      <w:r w:rsidR="0018193D">
        <w:t>é</w:t>
      </w:r>
      <w:r w:rsidR="008A5003" w:rsidRPr="0018193D">
        <w:t>an Indien ont été d</w:t>
      </w:r>
      <w:r w:rsidR="0018193D">
        <w:t>é</w:t>
      </w:r>
      <w:r w:rsidR="008A5003" w:rsidRPr="0018193D">
        <w:t xml:space="preserve">ployées à travers </w:t>
      </w:r>
      <w:r w:rsidR="00510C9D">
        <w:t>l</w:t>
      </w:r>
      <w:r w:rsidR="008A5003" w:rsidRPr="0018193D">
        <w:t>es quelques r</w:t>
      </w:r>
      <w:r w:rsidR="0018193D">
        <w:t>é</w:t>
      </w:r>
      <w:r w:rsidR="008A5003" w:rsidRPr="0018193D">
        <w:t>alisations phares</w:t>
      </w:r>
      <w:r w:rsidR="0018193D">
        <w:t xml:space="preserve"> </w:t>
      </w:r>
      <w:r w:rsidR="00510C9D">
        <w:t xml:space="preserve">suivantes </w:t>
      </w:r>
      <w:r w:rsidR="008A5003" w:rsidRPr="0018193D">
        <w:t xml:space="preserve">: </w:t>
      </w:r>
    </w:p>
    <w:p w14:paraId="5A0AFB18" w14:textId="03671916" w:rsidR="008A5003" w:rsidRPr="0018193D" w:rsidRDefault="008A5003" w:rsidP="00510C9D">
      <w:pPr>
        <w:pStyle w:val="Paragraphe"/>
        <w:numPr>
          <w:ilvl w:val="0"/>
          <w:numId w:val="12"/>
        </w:numPr>
        <w:ind w:left="567" w:hanging="283"/>
      </w:pPr>
      <w:r w:rsidRPr="0018193D">
        <w:rPr>
          <w:b/>
          <w:bCs/>
        </w:rPr>
        <w:t>M</w:t>
      </w:r>
      <w:r w:rsidR="00A03FD7" w:rsidRPr="0018193D">
        <w:rPr>
          <w:b/>
          <w:bCs/>
        </w:rPr>
        <w:t>esures opérationnelles</w:t>
      </w:r>
      <w:r w:rsidR="0018193D">
        <w:rPr>
          <w:b/>
          <w:bCs/>
        </w:rPr>
        <w:t xml:space="preserve"> </w:t>
      </w:r>
      <w:r w:rsidRPr="0018193D">
        <w:rPr>
          <w:b/>
          <w:bCs/>
        </w:rPr>
        <w:t xml:space="preserve">: </w:t>
      </w:r>
      <w:r w:rsidR="00A03FD7" w:rsidRPr="0018193D">
        <w:t>Déploiement d’inspecteurs régionaux et nationaux pour le contrôle des activités de pêche</w:t>
      </w:r>
      <w:r w:rsidRPr="0018193D">
        <w:t>, o</w:t>
      </w:r>
      <w:r w:rsidR="00A03FD7" w:rsidRPr="0018193D">
        <w:t>rganisation de patrouilles conjointes de SCS avec d’autres partenaires régionaux</w:t>
      </w:r>
      <w:r w:rsidRPr="0018193D">
        <w:t>, r</w:t>
      </w:r>
      <w:r w:rsidR="00A03FD7" w:rsidRPr="0018193D">
        <w:t>enforcement des liens avec les mécanismes de SCS existants dans la région.</w:t>
      </w:r>
    </w:p>
    <w:p w14:paraId="40EB9DC6" w14:textId="77777777" w:rsidR="003F3BB6" w:rsidRPr="0018193D" w:rsidRDefault="00A03FD7" w:rsidP="00510C9D">
      <w:pPr>
        <w:pStyle w:val="Paragraphe"/>
        <w:numPr>
          <w:ilvl w:val="0"/>
          <w:numId w:val="12"/>
        </w:numPr>
        <w:ind w:left="567" w:hanging="283"/>
      </w:pPr>
      <w:r w:rsidRPr="0018193D">
        <w:rPr>
          <w:b/>
          <w:bCs/>
        </w:rPr>
        <w:t>Cadre juridique et institutionnel</w:t>
      </w:r>
      <w:r w:rsidR="008A5003" w:rsidRPr="0018193D">
        <w:t xml:space="preserve"> : r</w:t>
      </w:r>
      <w:r w:rsidRPr="0018193D">
        <w:t>évision des législations nationales afin de renforcer l’efficacité des actions de SCS</w:t>
      </w:r>
      <w:r w:rsidR="008A5003" w:rsidRPr="0018193D">
        <w:t>, i</w:t>
      </w:r>
      <w:r w:rsidRPr="0018193D">
        <w:t>nstitutionnalisation du PRSP</w:t>
      </w:r>
      <w:r w:rsidR="008A5003" w:rsidRPr="0018193D">
        <w:t xml:space="preserve"> </w:t>
      </w:r>
      <w:r w:rsidRPr="0018193D">
        <w:t>pour une coordination durable</w:t>
      </w:r>
      <w:r w:rsidR="008A5003" w:rsidRPr="0018193D">
        <w:t xml:space="preserve">, </w:t>
      </w:r>
      <w:r w:rsidRPr="0018193D">
        <w:t>élaboration d’approches coordonnées pour le SCS des navires artisanaux et semi-artisanaux ciblant les ressources marines partagées.</w:t>
      </w:r>
    </w:p>
    <w:p w14:paraId="2AF4739B" w14:textId="416C430A" w:rsidR="003F3BB6" w:rsidRPr="0018193D" w:rsidRDefault="00A03FD7" w:rsidP="00510C9D">
      <w:pPr>
        <w:pStyle w:val="Paragraphe"/>
        <w:numPr>
          <w:ilvl w:val="0"/>
          <w:numId w:val="12"/>
        </w:numPr>
        <w:ind w:left="567" w:hanging="283"/>
      </w:pPr>
      <w:r w:rsidRPr="0018193D">
        <w:rPr>
          <w:b/>
          <w:bCs/>
        </w:rPr>
        <w:t>Appui aux États participants</w:t>
      </w:r>
      <w:r w:rsidR="0018193D">
        <w:rPr>
          <w:b/>
          <w:bCs/>
        </w:rPr>
        <w:t xml:space="preserve"> </w:t>
      </w:r>
      <w:r w:rsidR="008A5003" w:rsidRPr="0018193D">
        <w:t>: f</w:t>
      </w:r>
      <w:r w:rsidRPr="0018193D">
        <w:t>ourniture de soutien direct aux départements des pêches des États participants au PRSP</w:t>
      </w:r>
      <w:r w:rsidR="003F3BB6" w:rsidRPr="0018193D">
        <w:t>, a</w:t>
      </w:r>
      <w:r w:rsidRPr="0018193D">
        <w:t>ppui logistique et matériel pour les opérations de SCS contre la pêche INN</w:t>
      </w:r>
      <w:r w:rsidR="003F3BB6" w:rsidRPr="0018193D">
        <w:t>, m</w:t>
      </w:r>
      <w:r w:rsidRPr="0018193D">
        <w:t>ise à disposition d’expertise technique,</w:t>
      </w:r>
      <w:r w:rsidRPr="0018193D">
        <w:rPr>
          <w:b/>
          <w:bCs/>
        </w:rPr>
        <w:t xml:space="preserve"> </w:t>
      </w:r>
      <w:r w:rsidRPr="0018193D">
        <w:t>de formations et de conseils à court terme pour les unités nationales de SCS.</w:t>
      </w:r>
    </w:p>
    <w:p w14:paraId="7C3CAB01" w14:textId="0562E365" w:rsidR="003F3BB6" w:rsidRPr="0018193D" w:rsidRDefault="00A03FD7" w:rsidP="00510C9D">
      <w:pPr>
        <w:pStyle w:val="Paragraphe"/>
        <w:numPr>
          <w:ilvl w:val="0"/>
          <w:numId w:val="12"/>
        </w:numPr>
        <w:ind w:left="567" w:hanging="283"/>
        <w:rPr>
          <w:b/>
          <w:bCs/>
        </w:rPr>
      </w:pPr>
      <w:r w:rsidRPr="0018193D">
        <w:rPr>
          <w:b/>
          <w:bCs/>
        </w:rPr>
        <w:lastRenderedPageBreak/>
        <w:t>Renforcement des capacités institutionnelles</w:t>
      </w:r>
      <w:r w:rsidR="0018193D">
        <w:rPr>
          <w:b/>
          <w:bCs/>
        </w:rPr>
        <w:t xml:space="preserve"> </w:t>
      </w:r>
      <w:r w:rsidR="003F3BB6" w:rsidRPr="0018193D">
        <w:t>: a</w:t>
      </w:r>
      <w:r w:rsidRPr="0018193D">
        <w:t>ppui au développement de procédures régionalement harmonisées d’application de la loi, de conformité et de poursuites</w:t>
      </w:r>
      <w:r w:rsidR="003F3BB6" w:rsidRPr="0018193D">
        <w:t>, s</w:t>
      </w:r>
      <w:r w:rsidRPr="0018193D">
        <w:t>outien à la mise en œuvre de l’Accord sur les mesures du ressort de l’État du port (PSMA)</w:t>
      </w:r>
      <w:r w:rsidR="003F3BB6" w:rsidRPr="0018193D">
        <w:t xml:space="preserve"> et r</w:t>
      </w:r>
      <w:r w:rsidRPr="0018193D">
        <w:t>enforcement des capacités et assistance technique pour les systèmes de certification et de traçabilité.</w:t>
      </w:r>
    </w:p>
    <w:p w14:paraId="35BFC799" w14:textId="2FC345A2" w:rsidR="00A03FD7" w:rsidRPr="0018193D" w:rsidRDefault="003F3BB6" w:rsidP="00510C9D">
      <w:pPr>
        <w:pStyle w:val="Paragraphe"/>
        <w:numPr>
          <w:ilvl w:val="0"/>
          <w:numId w:val="18"/>
        </w:numPr>
        <w:spacing w:after="0"/>
        <w:ind w:left="567" w:hanging="283"/>
      </w:pPr>
      <w:r w:rsidRPr="0018193D">
        <w:rPr>
          <w:b/>
          <w:bCs/>
        </w:rPr>
        <w:t>D</w:t>
      </w:r>
      <w:r w:rsidR="0018193D">
        <w:rPr>
          <w:b/>
          <w:bCs/>
        </w:rPr>
        <w:t>é</w:t>
      </w:r>
      <w:r w:rsidRPr="0018193D">
        <w:rPr>
          <w:b/>
          <w:bCs/>
        </w:rPr>
        <w:t>veloppement d’o</w:t>
      </w:r>
      <w:r w:rsidR="00A03FD7" w:rsidRPr="0018193D">
        <w:rPr>
          <w:b/>
          <w:bCs/>
        </w:rPr>
        <w:t>utils d’évaluation et de surveillance</w:t>
      </w:r>
      <w:r w:rsidRPr="0018193D">
        <w:rPr>
          <w:b/>
          <w:bCs/>
        </w:rPr>
        <w:t xml:space="preserve"> </w:t>
      </w:r>
      <w:r w:rsidRPr="0018193D">
        <w:t>à travers la c</w:t>
      </w:r>
      <w:r w:rsidR="00A03FD7" w:rsidRPr="0018193D">
        <w:t xml:space="preserve">réation d’un cadre régional d’évaluation des risques, avec l’appui de l’EFCA </w:t>
      </w:r>
      <w:r w:rsidRPr="0018193D">
        <w:t>et a</w:t>
      </w:r>
      <w:r w:rsidR="00A03FD7" w:rsidRPr="0018193D">
        <w:t>ppui au développement et au déploiement de programmes d’observateurs régionaux et nationaux.</w:t>
      </w:r>
    </w:p>
    <w:p w14:paraId="0E198BDD" w14:textId="77777777" w:rsidR="00140D4D" w:rsidRPr="0018193D" w:rsidRDefault="00140D4D" w:rsidP="00CE2386">
      <w:pPr>
        <w:pStyle w:val="Paragraphe"/>
      </w:pPr>
    </w:p>
    <w:p w14:paraId="68009DDB" w14:textId="1C8A9B19" w:rsidR="0008468B" w:rsidRPr="0018193D" w:rsidRDefault="00410F15" w:rsidP="00A70123">
      <w:pPr>
        <w:pStyle w:val="Titrepartie"/>
      </w:pPr>
      <w:r w:rsidRPr="0018193D">
        <w:t>P</w:t>
      </w:r>
      <w:r w:rsidR="003F3BB6" w:rsidRPr="0018193D">
        <w:t xml:space="preserve">lan </w:t>
      </w:r>
      <w:r w:rsidRPr="0018193D">
        <w:t>R</w:t>
      </w:r>
      <w:r w:rsidR="003F3BB6" w:rsidRPr="0018193D">
        <w:t xml:space="preserve">égional de </w:t>
      </w:r>
      <w:r w:rsidRPr="0018193D">
        <w:t>S</w:t>
      </w:r>
      <w:r w:rsidR="003F3BB6" w:rsidRPr="0018193D">
        <w:t xml:space="preserve">urveillance des </w:t>
      </w:r>
      <w:r w:rsidRPr="0018193D">
        <w:t>P</w:t>
      </w:r>
      <w:r w:rsidR="003F3BB6" w:rsidRPr="0018193D">
        <w:t>êches (PRSP)</w:t>
      </w:r>
    </w:p>
    <w:p w14:paraId="677DC3CE" w14:textId="19493F3A" w:rsidR="003F3BB6" w:rsidRPr="0018193D" w:rsidRDefault="003F3BB6" w:rsidP="003F3BB6">
      <w:pPr>
        <w:pStyle w:val="Paragraphe"/>
      </w:pPr>
      <w:r w:rsidRPr="0018193D">
        <w:t xml:space="preserve">La dernière année de mise en œuvre du programme ECOFISH a apporté un appui considérable </w:t>
      </w:r>
      <w:r w:rsidR="00B84B8D" w:rsidRPr="0018193D">
        <w:t xml:space="preserve">en vue de </w:t>
      </w:r>
      <w:r w:rsidRPr="0018193D">
        <w:t>d</w:t>
      </w:r>
      <w:r w:rsidR="0018193D">
        <w:t>é</w:t>
      </w:r>
      <w:r w:rsidRPr="0018193D">
        <w:t xml:space="preserve">finir les orientations stratégiques </w:t>
      </w:r>
      <w:r w:rsidR="00B84B8D" w:rsidRPr="0018193D">
        <w:t xml:space="preserve">pour </w:t>
      </w:r>
      <w:r w:rsidRPr="0018193D">
        <w:t>l’institutionnalisation et la pér</w:t>
      </w:r>
      <w:r w:rsidR="0018193D">
        <w:t>e</w:t>
      </w:r>
      <w:r w:rsidRPr="0018193D">
        <w:t>nnisation du mécanisme régional de lutte contre l</w:t>
      </w:r>
      <w:r w:rsidR="00B84B8D" w:rsidRPr="0018193D">
        <w:t>a p</w:t>
      </w:r>
      <w:r w:rsidR="0018193D">
        <w:t>ê</w:t>
      </w:r>
      <w:r w:rsidR="00B84B8D" w:rsidRPr="0018193D">
        <w:t>che INN</w:t>
      </w:r>
      <w:r w:rsidRPr="0018193D">
        <w:t xml:space="preserve">. </w:t>
      </w:r>
    </w:p>
    <w:p w14:paraId="0466E50B" w14:textId="0CB0A93B" w:rsidR="003F3BB6" w:rsidRPr="0018193D" w:rsidRDefault="003F3BB6" w:rsidP="003F3BB6">
      <w:pPr>
        <w:pStyle w:val="Sous-partie2"/>
      </w:pPr>
      <w:r w:rsidRPr="0018193D">
        <w:t>Les principales recommandations de la troisième conférence ministérielle</w:t>
      </w:r>
    </w:p>
    <w:p w14:paraId="5B7C1987" w14:textId="1A536BA9" w:rsidR="003F3BB6" w:rsidRPr="0018193D" w:rsidRDefault="003F3BB6" w:rsidP="003F3BB6">
      <w:pPr>
        <w:pStyle w:val="Paragraphe"/>
      </w:pPr>
      <w:r w:rsidRPr="0018193D">
        <w:t xml:space="preserve">Les principales recommandations de la troisième conférence ministérielle PRSP du 28 février 2025 consistent essentiellement à institutionnaliser le mécanisme du PRSP sur la base des projections financières de son fonctionnement actuel, de sa structure et de ses coûts, et </w:t>
      </w:r>
      <w:r w:rsidR="00510C9D">
        <w:t xml:space="preserve">à </w:t>
      </w:r>
      <w:r w:rsidRPr="0018193D">
        <w:t xml:space="preserve">établir les exigences de la personnalité juridique pour la nouvelle structure; </w:t>
      </w:r>
      <w:r w:rsidR="00510C9D">
        <w:t xml:space="preserve">à </w:t>
      </w:r>
      <w:r w:rsidRPr="0018193D">
        <w:t xml:space="preserve">produire un rapport financier sur les coûts réels du système du PRSP actuellement en place ; </w:t>
      </w:r>
      <w:r w:rsidR="00510C9D">
        <w:t xml:space="preserve">à </w:t>
      </w:r>
      <w:r w:rsidRPr="0018193D">
        <w:t>établir une liste des tâches attendues du Centre régional de coordination du suivi, du contrôle, de la surveillance et de l'observation des pêches (CRCSCSOP) et</w:t>
      </w:r>
      <w:r w:rsidR="00B84B8D" w:rsidRPr="0018193D">
        <w:t xml:space="preserve"> </w:t>
      </w:r>
      <w:r w:rsidR="00510C9D">
        <w:t xml:space="preserve">à </w:t>
      </w:r>
      <w:r w:rsidRPr="0018193D">
        <w:t>fournir une estimation du temps et du personnel nécessaire ;</w:t>
      </w:r>
    </w:p>
    <w:p w14:paraId="0DC8FDE9" w14:textId="56BF3B4F" w:rsidR="0076770C" w:rsidRPr="0018193D" w:rsidRDefault="003F3BB6" w:rsidP="0076770C">
      <w:pPr>
        <w:pStyle w:val="Paragraphe"/>
      </w:pPr>
      <w:r w:rsidRPr="0018193D">
        <w:t xml:space="preserve">À ce titre, </w:t>
      </w:r>
      <w:r w:rsidR="0076770C" w:rsidRPr="0018193D">
        <w:t>le 39</w:t>
      </w:r>
      <w:r w:rsidR="0076770C" w:rsidRPr="0018193D">
        <w:rPr>
          <w:vertAlign w:val="superscript"/>
        </w:rPr>
        <w:t xml:space="preserve">ème </w:t>
      </w:r>
      <w:r w:rsidR="00F16138" w:rsidRPr="0018193D">
        <w:t>C</w:t>
      </w:r>
      <w:r w:rsidR="0076770C" w:rsidRPr="0018193D">
        <w:t>onseil de la COI du 16 avril 2025 (Décision 3) a demandé au Secrétariat de poursuivre les consultations avec les États participants</w:t>
      </w:r>
      <w:r w:rsidR="0076770C" w:rsidRPr="0018193D">
        <w:rPr>
          <w:b/>
          <w:bCs/>
        </w:rPr>
        <w:t xml:space="preserve"> </w:t>
      </w:r>
      <w:r w:rsidR="0076770C" w:rsidRPr="0018193D">
        <w:t>pour la mise en œuvre effective des recommandations de la troisième Conférence ministérielle PRSP relatives à l’institutionnalisation et la pérennisation du PRSP.</w:t>
      </w:r>
    </w:p>
    <w:p w14:paraId="3631DEE1" w14:textId="20BA0CD2" w:rsidR="0076770C" w:rsidRPr="0018193D" w:rsidRDefault="0076770C" w:rsidP="00CB72E3">
      <w:pPr>
        <w:pStyle w:val="Sous-partie2"/>
      </w:pPr>
      <w:r w:rsidRPr="0018193D">
        <w:t>État lieux de la mise en œuvre de la décision 39</w:t>
      </w:r>
      <w:r w:rsidRPr="0018193D">
        <w:rPr>
          <w:vertAlign w:val="superscript"/>
        </w:rPr>
        <w:t>ème</w:t>
      </w:r>
      <w:r w:rsidRPr="0018193D">
        <w:t xml:space="preserve"> </w:t>
      </w:r>
      <w:r w:rsidR="00CB72E3" w:rsidRPr="0018193D">
        <w:t>Co</w:t>
      </w:r>
      <w:r w:rsidRPr="0018193D">
        <w:t>nseil de la COI sur l’institutionnalisation du PRSP </w:t>
      </w:r>
    </w:p>
    <w:p w14:paraId="19006AED" w14:textId="39193A42" w:rsidR="0076770C" w:rsidRPr="0018193D" w:rsidRDefault="00E00F9B" w:rsidP="0076770C">
      <w:pPr>
        <w:pStyle w:val="Paragraphe"/>
      </w:pPr>
      <w:r w:rsidRPr="0018193D">
        <w:t>Conformément à l</w:t>
      </w:r>
      <w:r w:rsidR="0076770C" w:rsidRPr="0018193D">
        <w:t>a d</w:t>
      </w:r>
      <w:r w:rsidR="0018193D">
        <w:t>é</w:t>
      </w:r>
      <w:r w:rsidR="0076770C" w:rsidRPr="0018193D">
        <w:t>cision du 39</w:t>
      </w:r>
      <w:r w:rsidR="0076770C" w:rsidRPr="0018193D">
        <w:rPr>
          <w:vertAlign w:val="superscript"/>
        </w:rPr>
        <w:t>ème</w:t>
      </w:r>
      <w:r w:rsidR="0076770C" w:rsidRPr="0018193D">
        <w:t xml:space="preserve"> </w:t>
      </w:r>
      <w:r w:rsidR="00CB72E3" w:rsidRPr="0018193D">
        <w:t>C</w:t>
      </w:r>
      <w:r w:rsidR="0076770C" w:rsidRPr="0018193D">
        <w:t xml:space="preserve">onseil, le Secrétariat a élaboré une feuille de route en vue de la mise en place d'un Centre régional de coordination du suivi, du contrôle, de la surveillance et de l'observation des pêches dans le cadre du PRSP, lequel a été soumis aux </w:t>
      </w:r>
      <w:r w:rsidR="0018193D" w:rsidRPr="0018193D">
        <w:t>États</w:t>
      </w:r>
      <w:r w:rsidR="0076770C" w:rsidRPr="0018193D">
        <w:t xml:space="preserve"> participants à l’occasion du dernier COPIL PRSP du 25 juillet 2025</w:t>
      </w:r>
      <w:r w:rsidRPr="0018193D">
        <w:t xml:space="preserve">. Cette rencontre entre les Autorités compétentes des </w:t>
      </w:r>
      <w:r w:rsidR="0018193D" w:rsidRPr="0018193D">
        <w:t>États</w:t>
      </w:r>
      <w:r w:rsidRPr="0018193D">
        <w:t xml:space="preserve"> participants au PRSP </w:t>
      </w:r>
      <w:r w:rsidR="0076770C" w:rsidRPr="0018193D">
        <w:t>a permis d’</w:t>
      </w:r>
      <w:r w:rsidR="0018193D">
        <w:t>é</w:t>
      </w:r>
      <w:r w:rsidR="0076770C" w:rsidRPr="0018193D">
        <w:t>changer sur la structure proposée pour le futur centre, la structure transitoire et l’héb</w:t>
      </w:r>
      <w:r w:rsidR="0018193D">
        <w:t>e</w:t>
      </w:r>
      <w:r w:rsidR="0076770C" w:rsidRPr="0018193D">
        <w:t>rgement</w:t>
      </w:r>
      <w:r w:rsidR="0018193D">
        <w:t xml:space="preserve"> </w:t>
      </w:r>
      <w:r w:rsidR="0076770C" w:rsidRPr="0018193D">
        <w:t xml:space="preserve">du centre. </w:t>
      </w:r>
    </w:p>
    <w:p w14:paraId="57FF095D" w14:textId="50DB1E7A" w:rsidR="0076770C" w:rsidRPr="0018193D" w:rsidRDefault="0076770C" w:rsidP="0076770C">
      <w:pPr>
        <w:pStyle w:val="Paragraphe"/>
      </w:pPr>
      <w:r w:rsidRPr="0018193D">
        <w:t>Les recommandations du COPIL ont port</w:t>
      </w:r>
      <w:r w:rsidR="00066A2F" w:rsidRPr="0018193D">
        <w:t>é</w:t>
      </w:r>
      <w:r w:rsidRPr="0018193D">
        <w:t xml:space="preserve"> essentiellement </w:t>
      </w:r>
      <w:r w:rsidR="00066A2F" w:rsidRPr="0018193D">
        <w:t>sur :</w:t>
      </w:r>
    </w:p>
    <w:p w14:paraId="2C8C3F67" w14:textId="292F90BF" w:rsidR="00066A2F" w:rsidRPr="0018193D" w:rsidRDefault="00066A2F" w:rsidP="00066A2F">
      <w:pPr>
        <w:pStyle w:val="Paragraphe"/>
        <w:numPr>
          <w:ilvl w:val="0"/>
          <w:numId w:val="12"/>
        </w:numPr>
      </w:pPr>
      <w:r w:rsidRPr="0018193D">
        <w:t>La proposition de structure du Centre Régional ;</w:t>
      </w:r>
    </w:p>
    <w:p w14:paraId="507AA1F4" w14:textId="48D2F4A7" w:rsidR="00066A2F" w:rsidRPr="0018193D" w:rsidRDefault="00066A2F" w:rsidP="00066A2F">
      <w:pPr>
        <w:pStyle w:val="Paragraphe"/>
        <w:numPr>
          <w:ilvl w:val="0"/>
          <w:numId w:val="12"/>
        </w:numPr>
      </w:pPr>
      <w:r w:rsidRPr="0018193D">
        <w:t>Le budget prévisionnel et le mécanisme de financement ;</w:t>
      </w:r>
    </w:p>
    <w:p w14:paraId="5D9182BC" w14:textId="631132A3" w:rsidR="00066A2F" w:rsidRPr="0018193D" w:rsidRDefault="00066A2F" w:rsidP="00066A2F">
      <w:pPr>
        <w:pStyle w:val="Paragraphe"/>
        <w:numPr>
          <w:ilvl w:val="0"/>
          <w:numId w:val="12"/>
        </w:numPr>
      </w:pPr>
      <w:r w:rsidRPr="0018193D">
        <w:t>La structure transitoire et mode opératoire ;</w:t>
      </w:r>
    </w:p>
    <w:p w14:paraId="554FFACF" w14:textId="0014633B" w:rsidR="00066A2F" w:rsidRPr="0018193D" w:rsidRDefault="00066A2F" w:rsidP="00066A2F">
      <w:pPr>
        <w:pStyle w:val="Paragraphe"/>
        <w:numPr>
          <w:ilvl w:val="0"/>
          <w:numId w:val="12"/>
        </w:numPr>
      </w:pPr>
      <w:r w:rsidRPr="0018193D">
        <w:t xml:space="preserve">L’hébergement </w:t>
      </w:r>
      <w:r w:rsidR="00083319" w:rsidRPr="0018193D">
        <w:t xml:space="preserve">du </w:t>
      </w:r>
      <w:r w:rsidRPr="0018193D">
        <w:t>Centre Régional.</w:t>
      </w:r>
    </w:p>
    <w:p w14:paraId="398ABEDF" w14:textId="2EAF5805" w:rsidR="00066A2F" w:rsidRPr="0018193D" w:rsidRDefault="00066A2F" w:rsidP="00510C9D">
      <w:pPr>
        <w:widowControl w:val="0"/>
        <w:numPr>
          <w:ilvl w:val="0"/>
          <w:numId w:val="23"/>
        </w:numPr>
        <w:spacing w:after="0" w:line="240" w:lineRule="auto"/>
        <w:ind w:left="714" w:hanging="357"/>
        <w:jc w:val="both"/>
        <w:rPr>
          <w:rFonts w:ascii="Verdana" w:hAnsi="Verdana" w:cs="Calibri"/>
          <w:sz w:val="20"/>
          <w:szCs w:val="20"/>
        </w:rPr>
      </w:pPr>
      <w:r w:rsidRPr="0018193D">
        <w:rPr>
          <w:rFonts w:ascii="Verdana" w:hAnsi="Verdana" w:cs="Calibri"/>
          <w:sz w:val="20"/>
          <w:szCs w:val="20"/>
        </w:rPr>
        <w:t xml:space="preserve">La finalisation et la signature de l’accord entre les États participants au PRSP pour l'échange d'informations sur les pêches aux fins du Suivi, Contrôle et Surveillance ainsi que le protocole d'accord pour la certification et la coordination des observateurs des États côtiers au niveau sous-régional et le partage des </w:t>
      </w:r>
      <w:r w:rsidRPr="0018193D">
        <w:rPr>
          <w:rFonts w:ascii="Verdana" w:hAnsi="Verdana" w:cs="Calibri"/>
          <w:sz w:val="20"/>
          <w:szCs w:val="20"/>
        </w:rPr>
        <w:lastRenderedPageBreak/>
        <w:t>informations et des données des observateurs</w:t>
      </w:r>
    </w:p>
    <w:p w14:paraId="1B7CDA5D" w14:textId="77777777" w:rsidR="0076770C" w:rsidRPr="0018193D" w:rsidRDefault="0076770C" w:rsidP="00066A2F">
      <w:pPr>
        <w:pStyle w:val="Titrepartie"/>
        <w:numPr>
          <w:ilvl w:val="0"/>
          <w:numId w:val="0"/>
        </w:numPr>
        <w:rPr>
          <w:sz w:val="2"/>
          <w:szCs w:val="2"/>
        </w:rPr>
      </w:pPr>
    </w:p>
    <w:p w14:paraId="54812860" w14:textId="4707918E" w:rsidR="0076770C" w:rsidRPr="0018193D" w:rsidRDefault="00066A2F" w:rsidP="00994401">
      <w:pPr>
        <w:pStyle w:val="Sous-partie2"/>
        <w:numPr>
          <w:ilvl w:val="1"/>
          <w:numId w:val="22"/>
        </w:numPr>
      </w:pPr>
      <w:r w:rsidRPr="0018193D">
        <w:t xml:space="preserve">Structure </w:t>
      </w:r>
      <w:r w:rsidR="00994401" w:rsidRPr="0018193D">
        <w:t>transitoire</w:t>
      </w:r>
      <w:r w:rsidRPr="0018193D">
        <w:t xml:space="preserve"> et </w:t>
      </w:r>
      <w:r w:rsidR="00994401" w:rsidRPr="0018193D">
        <w:t>hébergement</w:t>
      </w:r>
      <w:r w:rsidRPr="0018193D">
        <w:t xml:space="preserve"> du centre</w:t>
      </w:r>
    </w:p>
    <w:p w14:paraId="02B2D8F7" w14:textId="6BCC7A41" w:rsidR="00994401" w:rsidRDefault="00994401" w:rsidP="00994401">
      <w:pPr>
        <w:spacing w:after="0" w:line="240" w:lineRule="auto"/>
        <w:jc w:val="both"/>
        <w:rPr>
          <w:rFonts w:ascii="Verdana" w:hAnsi="Verdana" w:cs="Calibri"/>
          <w:sz w:val="20"/>
          <w:szCs w:val="20"/>
        </w:rPr>
      </w:pPr>
      <w:r w:rsidRPr="0018193D">
        <w:rPr>
          <w:rFonts w:ascii="Verdana" w:hAnsi="Verdana" w:cs="Calibri"/>
          <w:sz w:val="20"/>
          <w:szCs w:val="20"/>
        </w:rPr>
        <w:t>Le dernier COPIL PRSP a confirmé la nécessité de la mise en place dans les meilleurs délais d’une structure transitoire auprès du Secrétariat général pour assurer l’opérationnalisation effective des activités du SWIOP</w:t>
      </w:r>
      <w:r w:rsidR="00B3479B" w:rsidRPr="0018193D">
        <w:rPr>
          <w:rFonts w:ascii="Verdana" w:hAnsi="Verdana" w:cs="Calibri"/>
          <w:sz w:val="20"/>
          <w:szCs w:val="20"/>
        </w:rPr>
        <w:t xml:space="preserve"> et poursuivre le processus d’institutionnalisation du PRSP</w:t>
      </w:r>
      <w:r w:rsidRPr="0018193D">
        <w:rPr>
          <w:rFonts w:ascii="Verdana" w:hAnsi="Verdana" w:cs="Calibri"/>
          <w:sz w:val="20"/>
          <w:szCs w:val="20"/>
        </w:rPr>
        <w:t xml:space="preserve">. </w:t>
      </w:r>
      <w:proofErr w:type="spellStart"/>
      <w:r w:rsidRPr="0018193D">
        <w:rPr>
          <w:rFonts w:ascii="Verdana" w:hAnsi="Verdana" w:cs="Calibri"/>
          <w:sz w:val="20"/>
          <w:szCs w:val="20"/>
        </w:rPr>
        <w:t>A</w:t>
      </w:r>
      <w:proofErr w:type="spellEnd"/>
      <w:r w:rsidRPr="0018193D">
        <w:rPr>
          <w:rFonts w:ascii="Verdana" w:hAnsi="Verdana" w:cs="Calibri"/>
          <w:sz w:val="20"/>
          <w:szCs w:val="20"/>
        </w:rPr>
        <w:t xml:space="preserve"> ce titre, la proposition de structure transitoire a été validée et soumise au </w:t>
      </w:r>
      <w:r w:rsidR="00A56B44" w:rsidRPr="0018193D">
        <w:rPr>
          <w:rFonts w:ascii="Verdana" w:hAnsi="Verdana" w:cs="Calibri"/>
          <w:sz w:val="20"/>
          <w:szCs w:val="20"/>
        </w:rPr>
        <w:t>C</w:t>
      </w:r>
      <w:r w:rsidRPr="0018193D">
        <w:rPr>
          <w:rFonts w:ascii="Verdana" w:hAnsi="Verdana" w:cs="Calibri"/>
          <w:sz w:val="20"/>
          <w:szCs w:val="20"/>
        </w:rPr>
        <w:t xml:space="preserve">onseil. Le Secrétariat a déjà saisi les États membres en vue de la mise à disposition de deux experts pour assurer l’opérationnalisation du PRSP pendant cette période transitoire. </w:t>
      </w:r>
    </w:p>
    <w:p w14:paraId="0ACA515F" w14:textId="77777777" w:rsidR="0018193D" w:rsidRPr="0018193D" w:rsidRDefault="0018193D" w:rsidP="00994401">
      <w:pPr>
        <w:spacing w:after="0" w:line="240" w:lineRule="auto"/>
        <w:jc w:val="both"/>
        <w:rPr>
          <w:rFonts w:ascii="Verdana" w:hAnsi="Verdana" w:cs="Calibri"/>
          <w:sz w:val="20"/>
          <w:szCs w:val="20"/>
        </w:rPr>
      </w:pPr>
    </w:p>
    <w:p w14:paraId="33D2B212" w14:textId="19B70062" w:rsidR="00994401" w:rsidRPr="0018193D" w:rsidRDefault="00994401" w:rsidP="00994401">
      <w:pPr>
        <w:jc w:val="both"/>
        <w:rPr>
          <w:rFonts w:ascii="Verdana" w:hAnsi="Verdana" w:cs="Calibri"/>
          <w:sz w:val="20"/>
          <w:szCs w:val="20"/>
        </w:rPr>
      </w:pPr>
      <w:r w:rsidRPr="0018193D">
        <w:rPr>
          <w:rFonts w:ascii="Verdana" w:hAnsi="Verdana" w:cs="Calibri"/>
          <w:sz w:val="20"/>
          <w:szCs w:val="20"/>
        </w:rPr>
        <w:t xml:space="preserve">S’agissant du Centre Régional de Coordination de Suivi, de Contrôle, de Surveillance et d'Observation des Pêches, deux États membres (Seychelles et Maurice) ont émis leur souhait d’héberger le centre. Les consultations </w:t>
      </w:r>
      <w:r w:rsidR="00510C9D">
        <w:rPr>
          <w:rFonts w:ascii="Verdana" w:hAnsi="Verdana" w:cs="Calibri"/>
          <w:sz w:val="20"/>
          <w:szCs w:val="20"/>
        </w:rPr>
        <w:t>seront</w:t>
      </w:r>
      <w:r w:rsidRPr="0018193D">
        <w:rPr>
          <w:rFonts w:ascii="Verdana" w:hAnsi="Verdana" w:cs="Calibri"/>
          <w:sz w:val="20"/>
          <w:szCs w:val="20"/>
        </w:rPr>
        <w:t xml:space="preserve"> approfondies. </w:t>
      </w:r>
    </w:p>
    <w:p w14:paraId="49753C4B" w14:textId="77777777" w:rsidR="003F3BB6" w:rsidRPr="0018193D" w:rsidRDefault="003F3BB6" w:rsidP="00B3479B">
      <w:pPr>
        <w:pStyle w:val="Titrepartie"/>
        <w:numPr>
          <w:ilvl w:val="0"/>
          <w:numId w:val="0"/>
        </w:numPr>
      </w:pPr>
    </w:p>
    <w:p w14:paraId="7B5C63BB" w14:textId="0EA0659C" w:rsidR="00410F15" w:rsidRPr="0018193D" w:rsidRDefault="00410F15" w:rsidP="00A70123">
      <w:pPr>
        <w:pStyle w:val="Titrepartie"/>
      </w:pPr>
      <w:r w:rsidRPr="0018193D">
        <w:t>SWIOP</w:t>
      </w:r>
      <w:r w:rsidR="00B96BA8" w:rsidRPr="0018193D">
        <w:t> : appui aux activités du PRSP</w:t>
      </w:r>
    </w:p>
    <w:p w14:paraId="5C2B05F1" w14:textId="77777777" w:rsidR="00B96BA8" w:rsidRPr="0018193D" w:rsidRDefault="00B96BA8" w:rsidP="0008468B">
      <w:pPr>
        <w:jc w:val="both"/>
        <w:rPr>
          <w:rFonts w:ascii="Verdana" w:hAnsi="Verdana" w:cs="Calibri"/>
          <w:sz w:val="20"/>
          <w:szCs w:val="20"/>
        </w:rPr>
      </w:pPr>
      <w:r w:rsidRPr="0018193D">
        <w:rPr>
          <w:rFonts w:ascii="Verdana" w:hAnsi="Verdana" w:cs="Calibri"/>
          <w:sz w:val="20"/>
          <w:szCs w:val="20"/>
        </w:rPr>
        <w:t>Le nouveau programme financé par l’UE sous le NDICI-Global Europe a prévu un appui aux activités du PRSP pour un montant de 3 millions EUR pendant 4 ans.</w:t>
      </w:r>
    </w:p>
    <w:p w14:paraId="1626DE2A" w14:textId="77777777" w:rsidR="00B96BA8" w:rsidRPr="0018193D" w:rsidRDefault="00B96BA8" w:rsidP="00B96BA8">
      <w:pPr>
        <w:jc w:val="both"/>
        <w:rPr>
          <w:rFonts w:ascii="Verdana" w:hAnsi="Verdana" w:cs="Calibri"/>
          <w:sz w:val="20"/>
          <w:szCs w:val="20"/>
        </w:rPr>
      </w:pPr>
      <w:r w:rsidRPr="0018193D">
        <w:rPr>
          <w:rFonts w:ascii="Verdana" w:hAnsi="Verdana" w:cs="Calibri"/>
          <w:sz w:val="20"/>
          <w:szCs w:val="20"/>
        </w:rPr>
        <w:t>Le programme a prévu un appui dans les domaines suivants :</w:t>
      </w:r>
    </w:p>
    <w:p w14:paraId="5D932F56" w14:textId="77777777" w:rsidR="00B96BA8" w:rsidRPr="0018193D" w:rsidRDefault="00B96BA8" w:rsidP="00510C9D">
      <w:pPr>
        <w:pStyle w:val="Paragraphedeliste"/>
        <w:numPr>
          <w:ilvl w:val="0"/>
          <w:numId w:val="23"/>
        </w:numPr>
        <w:tabs>
          <w:tab w:val="clear" w:pos="720"/>
          <w:tab w:val="num" w:pos="567"/>
        </w:tabs>
        <w:ind w:left="567" w:hanging="283"/>
        <w:jc w:val="both"/>
        <w:rPr>
          <w:rFonts w:ascii="Verdana" w:hAnsi="Verdana" w:cs="Calibri"/>
          <w:sz w:val="20"/>
          <w:szCs w:val="20"/>
        </w:rPr>
      </w:pPr>
      <w:r w:rsidRPr="0018193D">
        <w:rPr>
          <w:rFonts w:ascii="Verdana" w:hAnsi="Verdana" w:cs="Calibri"/>
          <w:sz w:val="20"/>
          <w:szCs w:val="20"/>
        </w:rPr>
        <w:t>Coordination des programmes d’observateurs : organisation de réunions du Groupe de travail des responsables nationaux des programmes d’observateurs, échanges sur les bonnes pratiques et harmonisation des méthodes de collecte de données à bord.</w:t>
      </w:r>
    </w:p>
    <w:p w14:paraId="49120D6C" w14:textId="77777777" w:rsidR="00875FB5" w:rsidRPr="0018193D" w:rsidRDefault="00B96BA8" w:rsidP="00510C9D">
      <w:pPr>
        <w:pStyle w:val="Paragraphedeliste"/>
        <w:numPr>
          <w:ilvl w:val="0"/>
          <w:numId w:val="23"/>
        </w:numPr>
        <w:tabs>
          <w:tab w:val="clear" w:pos="720"/>
          <w:tab w:val="num" w:pos="567"/>
        </w:tabs>
        <w:ind w:left="567" w:hanging="283"/>
        <w:jc w:val="both"/>
        <w:rPr>
          <w:rFonts w:ascii="Verdana" w:hAnsi="Verdana" w:cs="Calibri"/>
          <w:sz w:val="20"/>
          <w:szCs w:val="20"/>
        </w:rPr>
      </w:pPr>
      <w:r w:rsidRPr="0018193D">
        <w:rPr>
          <w:rFonts w:ascii="Verdana" w:hAnsi="Verdana" w:cs="Calibri"/>
          <w:sz w:val="20"/>
          <w:szCs w:val="20"/>
        </w:rPr>
        <w:t>Partage et gestion des données VMS et AIS : renforcement du partage et de la gestion des données issues des systèmes VMS (Vessel Monitoring System) et AIS (</w:t>
      </w:r>
      <w:proofErr w:type="spellStart"/>
      <w:r w:rsidRPr="0018193D">
        <w:rPr>
          <w:rFonts w:ascii="Verdana" w:hAnsi="Verdana" w:cs="Calibri"/>
          <w:sz w:val="20"/>
          <w:szCs w:val="20"/>
        </w:rPr>
        <w:t>Automatic</w:t>
      </w:r>
      <w:proofErr w:type="spellEnd"/>
      <w:r w:rsidRPr="0018193D">
        <w:rPr>
          <w:rFonts w:ascii="Verdana" w:hAnsi="Verdana" w:cs="Calibri"/>
          <w:sz w:val="20"/>
          <w:szCs w:val="20"/>
        </w:rPr>
        <w:t xml:space="preserve"> Identification System) entre les États membres</w:t>
      </w:r>
      <w:r w:rsidR="00875FB5" w:rsidRPr="0018193D">
        <w:rPr>
          <w:rFonts w:ascii="Verdana" w:hAnsi="Verdana" w:cs="Calibri"/>
          <w:sz w:val="20"/>
          <w:szCs w:val="20"/>
        </w:rPr>
        <w:t>, a</w:t>
      </w:r>
      <w:r w:rsidRPr="0018193D">
        <w:rPr>
          <w:rFonts w:ascii="Verdana" w:hAnsi="Verdana" w:cs="Calibri"/>
          <w:sz w:val="20"/>
          <w:szCs w:val="20"/>
        </w:rPr>
        <w:t>mélioration de l'interopérabilité des systèmes de surveillance maritime.</w:t>
      </w:r>
    </w:p>
    <w:p w14:paraId="42F48ADD" w14:textId="2564892E" w:rsidR="00875FB5" w:rsidRPr="0018193D" w:rsidRDefault="00B96BA8" w:rsidP="00510C9D">
      <w:pPr>
        <w:pStyle w:val="Paragraphedeliste"/>
        <w:numPr>
          <w:ilvl w:val="0"/>
          <w:numId w:val="23"/>
        </w:numPr>
        <w:tabs>
          <w:tab w:val="clear" w:pos="720"/>
          <w:tab w:val="num" w:pos="567"/>
        </w:tabs>
        <w:ind w:left="567" w:hanging="283"/>
        <w:jc w:val="both"/>
        <w:rPr>
          <w:rFonts w:ascii="Verdana" w:hAnsi="Verdana" w:cs="Calibri"/>
          <w:sz w:val="20"/>
          <w:szCs w:val="20"/>
        </w:rPr>
      </w:pPr>
      <w:r w:rsidRPr="0018193D">
        <w:rPr>
          <w:rFonts w:ascii="Verdana" w:hAnsi="Verdana" w:cs="Calibri"/>
          <w:sz w:val="20"/>
          <w:szCs w:val="20"/>
        </w:rPr>
        <w:t xml:space="preserve">Plateforme web de partage d’informations – </w:t>
      </w:r>
      <w:proofErr w:type="spellStart"/>
      <w:r w:rsidRPr="0018193D">
        <w:rPr>
          <w:rFonts w:ascii="Verdana" w:hAnsi="Verdana" w:cs="Calibri"/>
          <w:sz w:val="20"/>
          <w:szCs w:val="20"/>
        </w:rPr>
        <w:t>StaRFISH</w:t>
      </w:r>
      <w:proofErr w:type="spellEnd"/>
      <w:r w:rsidR="0018193D">
        <w:rPr>
          <w:rFonts w:ascii="Verdana" w:hAnsi="Verdana" w:cs="Calibri"/>
          <w:sz w:val="20"/>
          <w:szCs w:val="20"/>
        </w:rPr>
        <w:t xml:space="preserve"> </w:t>
      </w:r>
      <w:r w:rsidR="00875FB5" w:rsidRPr="0018193D">
        <w:rPr>
          <w:rFonts w:ascii="Verdana" w:hAnsi="Verdana" w:cs="Calibri"/>
          <w:sz w:val="20"/>
          <w:szCs w:val="20"/>
        </w:rPr>
        <w:t>:</w:t>
      </w:r>
      <w:r w:rsidR="00875FB5" w:rsidRPr="0018193D">
        <w:rPr>
          <w:rFonts w:ascii="Verdana" w:hAnsi="Verdana" w:cs="Calibri"/>
          <w:b/>
          <w:bCs/>
          <w:sz w:val="20"/>
          <w:szCs w:val="20"/>
        </w:rPr>
        <w:t xml:space="preserve"> </w:t>
      </w:r>
      <w:r w:rsidRPr="0018193D">
        <w:rPr>
          <w:rFonts w:ascii="Verdana" w:hAnsi="Verdana" w:cs="Calibri"/>
          <w:sz w:val="20"/>
          <w:szCs w:val="20"/>
        </w:rPr>
        <w:t xml:space="preserve">Utilisation de la plateforme </w:t>
      </w:r>
      <w:proofErr w:type="spellStart"/>
      <w:r w:rsidRPr="0018193D">
        <w:rPr>
          <w:rFonts w:ascii="Verdana" w:hAnsi="Verdana" w:cs="Calibri"/>
          <w:sz w:val="20"/>
          <w:szCs w:val="20"/>
        </w:rPr>
        <w:t>StaRFISH</w:t>
      </w:r>
      <w:proofErr w:type="spellEnd"/>
      <w:r w:rsidRPr="0018193D">
        <w:rPr>
          <w:rFonts w:ascii="Verdana" w:hAnsi="Verdana" w:cs="Calibri"/>
          <w:sz w:val="20"/>
          <w:szCs w:val="20"/>
        </w:rPr>
        <w:t xml:space="preserve"> pour le partage d’informations relatives aux pêches à des fins de SCS.</w:t>
      </w:r>
    </w:p>
    <w:p w14:paraId="34044899" w14:textId="41F69150" w:rsidR="00875FB5" w:rsidRPr="0018193D" w:rsidRDefault="00B96BA8" w:rsidP="00510C9D">
      <w:pPr>
        <w:pStyle w:val="Paragraphedeliste"/>
        <w:numPr>
          <w:ilvl w:val="0"/>
          <w:numId w:val="23"/>
        </w:numPr>
        <w:tabs>
          <w:tab w:val="clear" w:pos="720"/>
          <w:tab w:val="num" w:pos="567"/>
        </w:tabs>
        <w:ind w:left="567" w:hanging="283"/>
        <w:jc w:val="both"/>
        <w:rPr>
          <w:rFonts w:ascii="Verdana" w:hAnsi="Verdana" w:cs="Calibri"/>
          <w:sz w:val="20"/>
          <w:szCs w:val="20"/>
        </w:rPr>
      </w:pPr>
      <w:r w:rsidRPr="0018193D">
        <w:rPr>
          <w:rFonts w:ascii="Verdana" w:hAnsi="Verdana" w:cs="Calibri"/>
          <w:sz w:val="20"/>
          <w:szCs w:val="20"/>
        </w:rPr>
        <w:t>Patrouilles conjointes de surveillance maritime et aérienne</w:t>
      </w:r>
      <w:r w:rsidR="0018193D">
        <w:rPr>
          <w:rFonts w:ascii="Verdana" w:hAnsi="Verdana" w:cs="Calibri"/>
          <w:sz w:val="20"/>
          <w:szCs w:val="20"/>
        </w:rPr>
        <w:t xml:space="preserve"> </w:t>
      </w:r>
      <w:r w:rsidR="00875FB5" w:rsidRPr="0018193D">
        <w:rPr>
          <w:rFonts w:ascii="Verdana" w:hAnsi="Verdana" w:cs="Calibri"/>
          <w:sz w:val="20"/>
          <w:szCs w:val="20"/>
        </w:rPr>
        <w:t>: r</w:t>
      </w:r>
      <w:r w:rsidRPr="0018193D">
        <w:rPr>
          <w:rFonts w:ascii="Verdana" w:hAnsi="Verdana" w:cs="Calibri"/>
          <w:sz w:val="20"/>
          <w:szCs w:val="20"/>
        </w:rPr>
        <w:t>éalisation de patrouilles conjointes en mer et aériennes pour renforcer le contrôle des zones de pêche.</w:t>
      </w:r>
    </w:p>
    <w:p w14:paraId="14239BE2" w14:textId="3A66B8B6" w:rsidR="00875FB5" w:rsidRPr="0018193D" w:rsidRDefault="00B96BA8" w:rsidP="00510C9D">
      <w:pPr>
        <w:pStyle w:val="Paragraphedeliste"/>
        <w:numPr>
          <w:ilvl w:val="0"/>
          <w:numId w:val="23"/>
        </w:numPr>
        <w:tabs>
          <w:tab w:val="clear" w:pos="720"/>
          <w:tab w:val="num" w:pos="567"/>
        </w:tabs>
        <w:ind w:left="567" w:hanging="283"/>
        <w:jc w:val="both"/>
        <w:rPr>
          <w:rFonts w:ascii="Verdana" w:hAnsi="Verdana" w:cs="Calibri"/>
          <w:sz w:val="20"/>
          <w:szCs w:val="20"/>
        </w:rPr>
      </w:pPr>
      <w:r w:rsidRPr="0018193D">
        <w:rPr>
          <w:rFonts w:ascii="Verdana" w:hAnsi="Verdana" w:cs="Calibri"/>
          <w:sz w:val="20"/>
          <w:szCs w:val="20"/>
        </w:rPr>
        <w:t>Renforcement des capacités</w:t>
      </w:r>
      <w:r w:rsidR="0018193D">
        <w:rPr>
          <w:rFonts w:ascii="Verdana" w:hAnsi="Verdana" w:cs="Calibri"/>
          <w:sz w:val="20"/>
          <w:szCs w:val="20"/>
        </w:rPr>
        <w:t xml:space="preserve"> </w:t>
      </w:r>
      <w:r w:rsidR="00875FB5" w:rsidRPr="0018193D">
        <w:rPr>
          <w:rFonts w:ascii="Verdana" w:hAnsi="Verdana" w:cs="Calibri"/>
          <w:sz w:val="20"/>
          <w:szCs w:val="20"/>
        </w:rPr>
        <w:t>: f</w:t>
      </w:r>
      <w:r w:rsidRPr="0018193D">
        <w:rPr>
          <w:rFonts w:ascii="Verdana" w:hAnsi="Verdana" w:cs="Calibri"/>
          <w:sz w:val="20"/>
          <w:szCs w:val="20"/>
        </w:rPr>
        <w:t>ormation et accompagnement des agents de SCS et observateurs dans le cadre de partenariats avec l’Agence européenne de contrôle des pêches</w:t>
      </w:r>
      <w:r w:rsidR="00875FB5" w:rsidRPr="0018193D">
        <w:rPr>
          <w:rFonts w:ascii="Verdana" w:hAnsi="Verdana" w:cs="Calibri"/>
          <w:sz w:val="20"/>
          <w:szCs w:val="20"/>
        </w:rPr>
        <w:t xml:space="preserve">, </w:t>
      </w:r>
      <w:r w:rsidRPr="0018193D">
        <w:rPr>
          <w:rFonts w:ascii="Verdana" w:hAnsi="Verdana" w:cs="Calibri"/>
          <w:sz w:val="20"/>
          <w:szCs w:val="20"/>
        </w:rPr>
        <w:t>la CTOI</w:t>
      </w:r>
      <w:r w:rsidR="00875FB5" w:rsidRPr="0018193D">
        <w:rPr>
          <w:rFonts w:ascii="Verdana" w:hAnsi="Verdana" w:cs="Calibri"/>
          <w:sz w:val="20"/>
          <w:szCs w:val="20"/>
        </w:rPr>
        <w:t xml:space="preserve"> et la SIOFA.</w:t>
      </w:r>
    </w:p>
    <w:p w14:paraId="22B28962" w14:textId="2B318268" w:rsidR="00B96BA8" w:rsidRPr="0018193D" w:rsidRDefault="00B96BA8" w:rsidP="00510C9D">
      <w:pPr>
        <w:pStyle w:val="Paragraphedeliste"/>
        <w:numPr>
          <w:ilvl w:val="0"/>
          <w:numId w:val="23"/>
        </w:numPr>
        <w:tabs>
          <w:tab w:val="clear" w:pos="720"/>
          <w:tab w:val="num" w:pos="567"/>
        </w:tabs>
        <w:ind w:left="567" w:hanging="283"/>
        <w:jc w:val="both"/>
        <w:rPr>
          <w:rFonts w:ascii="Verdana" w:hAnsi="Verdana" w:cs="Calibri"/>
          <w:sz w:val="20"/>
          <w:szCs w:val="20"/>
        </w:rPr>
      </w:pPr>
      <w:r w:rsidRPr="0018193D">
        <w:rPr>
          <w:rFonts w:ascii="Verdana" w:hAnsi="Verdana" w:cs="Calibri"/>
          <w:sz w:val="20"/>
          <w:szCs w:val="20"/>
        </w:rPr>
        <w:t>Poursuite de la coopération régionale contre la pêche INN</w:t>
      </w:r>
      <w:r w:rsidR="0018193D">
        <w:rPr>
          <w:rFonts w:ascii="Verdana" w:hAnsi="Verdana" w:cs="Calibri"/>
          <w:sz w:val="20"/>
          <w:szCs w:val="20"/>
        </w:rPr>
        <w:t xml:space="preserve"> </w:t>
      </w:r>
      <w:r w:rsidR="00875FB5" w:rsidRPr="0018193D">
        <w:rPr>
          <w:rFonts w:ascii="Verdana" w:hAnsi="Verdana" w:cs="Calibri"/>
          <w:sz w:val="20"/>
          <w:szCs w:val="20"/>
        </w:rPr>
        <w:t>: m</w:t>
      </w:r>
      <w:r w:rsidRPr="0018193D">
        <w:rPr>
          <w:rFonts w:ascii="Verdana" w:hAnsi="Verdana" w:cs="Calibri"/>
          <w:sz w:val="20"/>
          <w:szCs w:val="20"/>
        </w:rPr>
        <w:t>aintien de la collaboration active avec l’ensemble des acteurs engagés dans la lutte contre la pêche illicite, non déclarée et non réglementée (INN).</w:t>
      </w:r>
    </w:p>
    <w:p w14:paraId="392F2855" w14:textId="36FDCEE2" w:rsidR="00B96BA8" w:rsidRPr="0018193D" w:rsidRDefault="00875FB5" w:rsidP="0008468B">
      <w:pPr>
        <w:jc w:val="both"/>
        <w:rPr>
          <w:rFonts w:ascii="Verdana" w:hAnsi="Verdana" w:cs="Calibri"/>
          <w:sz w:val="20"/>
          <w:szCs w:val="20"/>
        </w:rPr>
      </w:pPr>
      <w:r w:rsidRPr="0018193D">
        <w:rPr>
          <w:rFonts w:ascii="Verdana" w:hAnsi="Verdana" w:cs="Calibri"/>
          <w:sz w:val="20"/>
          <w:szCs w:val="20"/>
        </w:rPr>
        <w:t xml:space="preserve">Les documents de projet sont en cours de finalisation. L’une des conditions </w:t>
      </w:r>
      <w:r w:rsidRPr="0018193D">
        <w:rPr>
          <w:rFonts w:ascii="Verdana" w:hAnsi="Verdana" w:cs="Calibri"/>
          <w:i/>
          <w:iCs/>
          <w:sz w:val="20"/>
          <w:szCs w:val="20"/>
        </w:rPr>
        <w:t>sine qu</w:t>
      </w:r>
      <w:r w:rsidR="00B3479B" w:rsidRPr="0018193D">
        <w:rPr>
          <w:rFonts w:ascii="Verdana" w:hAnsi="Verdana" w:cs="Calibri"/>
          <w:i/>
          <w:iCs/>
          <w:sz w:val="20"/>
          <w:szCs w:val="20"/>
        </w:rPr>
        <w:t xml:space="preserve">a </w:t>
      </w:r>
      <w:r w:rsidRPr="0018193D">
        <w:rPr>
          <w:rFonts w:ascii="Verdana" w:hAnsi="Verdana" w:cs="Calibri"/>
          <w:i/>
          <w:iCs/>
          <w:sz w:val="20"/>
          <w:szCs w:val="20"/>
        </w:rPr>
        <w:t>non</w:t>
      </w:r>
      <w:r w:rsidRPr="0018193D">
        <w:rPr>
          <w:rFonts w:ascii="Verdana" w:hAnsi="Verdana" w:cs="Calibri"/>
          <w:sz w:val="20"/>
          <w:szCs w:val="20"/>
        </w:rPr>
        <w:t xml:space="preserve"> de l’Union </w:t>
      </w:r>
      <w:r w:rsidR="00F944AC" w:rsidRPr="0018193D">
        <w:rPr>
          <w:rFonts w:ascii="Verdana" w:hAnsi="Verdana" w:cs="Calibri"/>
          <w:sz w:val="20"/>
          <w:szCs w:val="20"/>
        </w:rPr>
        <w:t>e</w:t>
      </w:r>
      <w:r w:rsidRPr="0018193D">
        <w:rPr>
          <w:rFonts w:ascii="Verdana" w:hAnsi="Verdana" w:cs="Calibri"/>
          <w:sz w:val="20"/>
          <w:szCs w:val="20"/>
        </w:rPr>
        <w:t>urop</w:t>
      </w:r>
      <w:r w:rsidR="002B371D" w:rsidRPr="0018193D">
        <w:rPr>
          <w:rFonts w:ascii="Verdana" w:hAnsi="Verdana" w:cs="Calibri"/>
          <w:sz w:val="20"/>
          <w:szCs w:val="20"/>
        </w:rPr>
        <w:t>é</w:t>
      </w:r>
      <w:r w:rsidRPr="0018193D">
        <w:rPr>
          <w:rFonts w:ascii="Verdana" w:hAnsi="Verdana" w:cs="Calibri"/>
          <w:sz w:val="20"/>
          <w:szCs w:val="20"/>
        </w:rPr>
        <w:t>enne en vue de l’obtention de ce financement consiste à la prise</w:t>
      </w:r>
      <w:r w:rsidR="00B3479B" w:rsidRPr="0018193D">
        <w:rPr>
          <w:rFonts w:ascii="Verdana" w:hAnsi="Verdana" w:cs="Calibri"/>
          <w:sz w:val="20"/>
          <w:szCs w:val="20"/>
        </w:rPr>
        <w:t xml:space="preserve"> en charge</w:t>
      </w:r>
      <w:r w:rsidRPr="0018193D">
        <w:rPr>
          <w:rFonts w:ascii="Verdana" w:hAnsi="Verdana" w:cs="Calibri"/>
          <w:sz w:val="20"/>
          <w:szCs w:val="20"/>
        </w:rPr>
        <w:t xml:space="preserve"> compl</w:t>
      </w:r>
      <w:r w:rsidR="00B3479B" w:rsidRPr="0018193D">
        <w:rPr>
          <w:rFonts w:ascii="Verdana" w:hAnsi="Verdana" w:cs="Calibri"/>
          <w:sz w:val="20"/>
          <w:szCs w:val="20"/>
        </w:rPr>
        <w:t>è</w:t>
      </w:r>
      <w:r w:rsidRPr="0018193D">
        <w:rPr>
          <w:rFonts w:ascii="Verdana" w:hAnsi="Verdana" w:cs="Calibri"/>
          <w:sz w:val="20"/>
          <w:szCs w:val="20"/>
        </w:rPr>
        <w:t>te par la COI des moyens de mise en œuvre op</w:t>
      </w:r>
      <w:r w:rsidR="0018193D">
        <w:rPr>
          <w:rFonts w:ascii="Verdana" w:hAnsi="Verdana" w:cs="Calibri"/>
          <w:sz w:val="20"/>
          <w:szCs w:val="20"/>
        </w:rPr>
        <w:t>é</w:t>
      </w:r>
      <w:r w:rsidRPr="0018193D">
        <w:rPr>
          <w:rFonts w:ascii="Verdana" w:hAnsi="Verdana" w:cs="Calibri"/>
          <w:sz w:val="20"/>
          <w:szCs w:val="20"/>
        </w:rPr>
        <w:t>rationnelle de ce nouveau programme. D’où la n</w:t>
      </w:r>
      <w:r w:rsidR="0018193D">
        <w:rPr>
          <w:rFonts w:ascii="Verdana" w:hAnsi="Verdana" w:cs="Calibri"/>
          <w:sz w:val="20"/>
          <w:szCs w:val="20"/>
        </w:rPr>
        <w:t>é</w:t>
      </w:r>
      <w:r w:rsidRPr="0018193D">
        <w:rPr>
          <w:rFonts w:ascii="Verdana" w:hAnsi="Verdana" w:cs="Calibri"/>
          <w:sz w:val="20"/>
          <w:szCs w:val="20"/>
        </w:rPr>
        <w:t>cessit</w:t>
      </w:r>
      <w:r w:rsidR="00B3479B" w:rsidRPr="0018193D">
        <w:rPr>
          <w:rFonts w:ascii="Verdana" w:hAnsi="Verdana" w:cs="Calibri"/>
          <w:sz w:val="20"/>
          <w:szCs w:val="20"/>
        </w:rPr>
        <w:t>é</w:t>
      </w:r>
      <w:r w:rsidRPr="0018193D">
        <w:rPr>
          <w:rFonts w:ascii="Verdana" w:hAnsi="Verdana" w:cs="Calibri"/>
          <w:sz w:val="20"/>
          <w:szCs w:val="20"/>
        </w:rPr>
        <w:t xml:space="preserve"> de la mise en place dans les meilleurs d</w:t>
      </w:r>
      <w:r w:rsidR="0018193D">
        <w:rPr>
          <w:rFonts w:ascii="Verdana" w:hAnsi="Verdana" w:cs="Calibri"/>
          <w:sz w:val="20"/>
          <w:szCs w:val="20"/>
        </w:rPr>
        <w:t>é</w:t>
      </w:r>
      <w:r w:rsidRPr="0018193D">
        <w:rPr>
          <w:rFonts w:ascii="Verdana" w:hAnsi="Verdana" w:cs="Calibri"/>
          <w:sz w:val="20"/>
          <w:szCs w:val="20"/>
        </w:rPr>
        <w:t xml:space="preserve">lais de la structure transitoire à travers la mise à disposition par les </w:t>
      </w:r>
      <w:r w:rsidR="0018193D" w:rsidRPr="0018193D">
        <w:rPr>
          <w:rFonts w:ascii="Verdana" w:hAnsi="Verdana" w:cs="Calibri"/>
          <w:sz w:val="20"/>
          <w:szCs w:val="20"/>
        </w:rPr>
        <w:t>États</w:t>
      </w:r>
      <w:r w:rsidRPr="0018193D">
        <w:rPr>
          <w:rFonts w:ascii="Verdana" w:hAnsi="Verdana" w:cs="Calibri"/>
          <w:sz w:val="20"/>
          <w:szCs w:val="20"/>
        </w:rPr>
        <w:t xml:space="preserve"> membres des deux experts.</w:t>
      </w:r>
    </w:p>
    <w:p w14:paraId="2FC46822" w14:textId="77777777" w:rsidR="0018193D" w:rsidRPr="0018193D" w:rsidRDefault="0018193D" w:rsidP="001E6463">
      <w:pPr>
        <w:jc w:val="both"/>
        <w:rPr>
          <w:rFonts w:ascii="Verdana" w:hAnsi="Verdana" w:cs="Calibri"/>
          <w:sz w:val="20"/>
          <w:szCs w:val="20"/>
        </w:rPr>
      </w:pPr>
    </w:p>
    <w:p w14:paraId="2F7F5914" w14:textId="608AD6BB" w:rsidR="00955BB3" w:rsidRPr="0018193D" w:rsidRDefault="00955BB3" w:rsidP="00A70123">
      <w:pPr>
        <w:pStyle w:val="Titrepartie"/>
      </w:pPr>
      <w:r w:rsidRPr="0018193D">
        <w:t>Proposition de décision</w:t>
      </w:r>
    </w:p>
    <w:p w14:paraId="05F1F967" w14:textId="08284826" w:rsidR="0008468B" w:rsidRPr="0018193D" w:rsidRDefault="0008468B" w:rsidP="00FE285D">
      <w:pPr>
        <w:pStyle w:val="Paragraphe"/>
      </w:pPr>
      <w:r w:rsidRPr="0018193D">
        <w:t>Le Comité des OPL</w:t>
      </w:r>
      <w:r w:rsidR="00875FB5" w:rsidRPr="0018193D">
        <w:t xml:space="preserve"> </w:t>
      </w:r>
      <w:r w:rsidR="0048601A" w:rsidRPr="0018193D">
        <w:t xml:space="preserve">propose au Conseil des ministres de </w:t>
      </w:r>
      <w:r w:rsidR="00A76B07" w:rsidRPr="0018193D">
        <w:t>:</w:t>
      </w:r>
    </w:p>
    <w:p w14:paraId="09CB2394" w14:textId="7F43E835" w:rsidR="009276E6" w:rsidRPr="0018193D" w:rsidRDefault="00C12E67" w:rsidP="0018193D">
      <w:pPr>
        <w:pStyle w:val="Paragraphe"/>
        <w:numPr>
          <w:ilvl w:val="0"/>
          <w:numId w:val="6"/>
        </w:numPr>
        <w:ind w:hanging="436"/>
      </w:pPr>
      <w:r w:rsidRPr="0018193D">
        <w:t>Se féliciter</w:t>
      </w:r>
      <w:r w:rsidR="001E6463" w:rsidRPr="0018193D">
        <w:t xml:space="preserve"> </w:t>
      </w:r>
      <w:r w:rsidRPr="0018193D">
        <w:t>des réalisations du programme ECOFISH et remercier l’Union européenne pour</w:t>
      </w:r>
      <w:r w:rsidR="009276E6" w:rsidRPr="0018193D">
        <w:t xml:space="preserve"> son appui technique et financier à l’atteinte des objectifs de ce programme</w:t>
      </w:r>
      <w:r w:rsidR="00EC2615" w:rsidRPr="0018193D">
        <w:t> ;</w:t>
      </w:r>
    </w:p>
    <w:p w14:paraId="5088065A" w14:textId="6B302F90" w:rsidR="00BC78D8" w:rsidRPr="0018193D" w:rsidRDefault="00BC78D8" w:rsidP="0018193D">
      <w:pPr>
        <w:pStyle w:val="Paragraphe"/>
        <w:numPr>
          <w:ilvl w:val="0"/>
          <w:numId w:val="6"/>
        </w:numPr>
        <w:ind w:hanging="436"/>
      </w:pPr>
      <w:r w:rsidRPr="0018193D">
        <w:lastRenderedPageBreak/>
        <w:t>Prendre note de la poursuite du processus d’institutionnalisation du P</w:t>
      </w:r>
      <w:r w:rsidR="00EC2615" w:rsidRPr="0018193D">
        <w:t>lan régional de surveillance des pêches (P</w:t>
      </w:r>
      <w:r w:rsidRPr="0018193D">
        <w:t>RSP</w:t>
      </w:r>
      <w:r w:rsidR="00EC2615" w:rsidRPr="0018193D">
        <w:t>)</w:t>
      </w:r>
      <w:r w:rsidRPr="0018193D">
        <w:t xml:space="preserve"> à travers l’établissement de la feuille de route, laquelle prévoit, entre autres, le mécanisme financier sur la base des projections financières des opérations, structures et coûts actuels de fonctionnement, une proposition de structure avec les missions et une estimation des membres du personnel nécessaires pour assurer l’opérationnalisation du futur Centre Régional de Coordination de Suivi, de Contrôle, de Surveillance et d'Observation des Pêches.</w:t>
      </w:r>
    </w:p>
    <w:p w14:paraId="020698B4" w14:textId="641C511D" w:rsidR="00413E16" w:rsidRPr="0018193D" w:rsidRDefault="00BC78D8" w:rsidP="0018193D">
      <w:pPr>
        <w:pStyle w:val="Paragraphe"/>
        <w:numPr>
          <w:ilvl w:val="0"/>
          <w:numId w:val="6"/>
        </w:numPr>
        <w:ind w:hanging="436"/>
      </w:pPr>
      <w:r w:rsidRPr="0018193D">
        <w:t>De demander aux États participants de finaliser la révision des instruments juridiques du PRSP à travers la signature de</w:t>
      </w:r>
      <w:r w:rsidR="00413E16" w:rsidRPr="0018193D">
        <w:t xml:space="preserve"> : </w:t>
      </w:r>
    </w:p>
    <w:p w14:paraId="530A2497" w14:textId="2D60B1E2" w:rsidR="00413E16" w:rsidRPr="0018193D" w:rsidRDefault="00413E16" w:rsidP="00413E16">
      <w:pPr>
        <w:pStyle w:val="Paragraphe"/>
        <w:numPr>
          <w:ilvl w:val="1"/>
          <w:numId w:val="6"/>
        </w:numPr>
      </w:pPr>
      <w:r w:rsidRPr="0018193D">
        <w:t>L</w:t>
      </w:r>
      <w:r w:rsidR="00BC78D8" w:rsidRPr="0018193D">
        <w:t>’arrangement administratif</w:t>
      </w:r>
      <w:r w:rsidR="00FB20C3" w:rsidRPr="0018193D">
        <w:t> ;</w:t>
      </w:r>
      <w:r w:rsidR="00BC78D8" w:rsidRPr="0018193D">
        <w:t xml:space="preserve"> </w:t>
      </w:r>
    </w:p>
    <w:p w14:paraId="216A8B3D" w14:textId="7AEBBA3D" w:rsidR="00FB20C3" w:rsidRPr="0018193D" w:rsidRDefault="00413E16" w:rsidP="00413E16">
      <w:pPr>
        <w:pStyle w:val="Paragraphe"/>
        <w:numPr>
          <w:ilvl w:val="1"/>
          <w:numId w:val="6"/>
        </w:numPr>
      </w:pPr>
      <w:r w:rsidRPr="0018193D">
        <w:t>L</w:t>
      </w:r>
      <w:r w:rsidR="00BC78D8" w:rsidRPr="0018193D">
        <w:t>’accord entre les États participants pour l'échange d'informations sur les pêches aux fins du Suivi, Contrôle et Surveillance</w:t>
      </w:r>
      <w:r w:rsidR="00FB20C3" w:rsidRPr="0018193D">
        <w:t> ; et,</w:t>
      </w:r>
      <w:r w:rsidR="00BC78D8" w:rsidRPr="0018193D">
        <w:t xml:space="preserve"> </w:t>
      </w:r>
    </w:p>
    <w:p w14:paraId="59996782" w14:textId="4054BA8F" w:rsidR="00BC78D8" w:rsidRPr="0018193D" w:rsidRDefault="00FB20C3" w:rsidP="00413E16">
      <w:pPr>
        <w:pStyle w:val="Paragraphe"/>
        <w:numPr>
          <w:ilvl w:val="1"/>
          <w:numId w:val="6"/>
        </w:numPr>
      </w:pPr>
      <w:r w:rsidRPr="0018193D">
        <w:t xml:space="preserve">Le </w:t>
      </w:r>
      <w:r w:rsidR="00BC78D8" w:rsidRPr="0018193D">
        <w:t>protocole d'accord pour la certification et la coordination des observateurs des États côtiers au niveau sous-régional et le partage des informations et des données des observateurs</w:t>
      </w:r>
      <w:r w:rsidRPr="0018193D">
        <w:t> ;</w:t>
      </w:r>
    </w:p>
    <w:p w14:paraId="6CC47CB4" w14:textId="421EE57D" w:rsidR="00A30657" w:rsidRPr="0018193D" w:rsidRDefault="00A30657" w:rsidP="0018193D">
      <w:pPr>
        <w:pStyle w:val="Paragraphe"/>
        <w:numPr>
          <w:ilvl w:val="0"/>
          <w:numId w:val="6"/>
        </w:numPr>
        <w:ind w:hanging="436"/>
      </w:pPr>
      <w:r w:rsidRPr="0018193D">
        <w:t>Approuver la proposition de structure du Centre Régional de Coordination de Suivi, de Contrôle, de Surveillance et d'Observation des Pêches, les termes de référence de ses membres du personnel ainsi que sa structure de Gouvernance institutionnelle.</w:t>
      </w:r>
    </w:p>
    <w:p w14:paraId="09AE8D67" w14:textId="59AA0F36" w:rsidR="00740D67" w:rsidRPr="0018193D" w:rsidRDefault="00A30657" w:rsidP="0018193D">
      <w:pPr>
        <w:pStyle w:val="Paragraphe"/>
        <w:numPr>
          <w:ilvl w:val="0"/>
          <w:numId w:val="6"/>
        </w:numPr>
        <w:ind w:hanging="436"/>
      </w:pPr>
      <w:r w:rsidRPr="0018193D">
        <w:t xml:space="preserve">Demander au Secrétariat général de poursuivre les consultations avec les États participants en vue de finaliser le budget prévisionnel et le mécanisme de financement ainsi que les modalités de contributions respectives. </w:t>
      </w:r>
    </w:p>
    <w:p w14:paraId="744D7725" w14:textId="17EC68AA" w:rsidR="00C954DE" w:rsidRPr="0018193D" w:rsidRDefault="00740D67" w:rsidP="0018193D">
      <w:pPr>
        <w:pStyle w:val="Paragraphe"/>
        <w:numPr>
          <w:ilvl w:val="0"/>
          <w:numId w:val="6"/>
        </w:numPr>
        <w:ind w:hanging="436"/>
      </w:pPr>
      <w:r w:rsidRPr="0018193D">
        <w:t xml:space="preserve">Demander au Secrétariat général d’approfondir les consultations avec </w:t>
      </w:r>
      <w:r w:rsidR="00991B61" w:rsidRPr="0018193D">
        <w:t xml:space="preserve">les </w:t>
      </w:r>
      <w:r w:rsidRPr="0018193D">
        <w:t>Seychelles et de Maurice</w:t>
      </w:r>
      <w:r w:rsidR="001E6463" w:rsidRPr="0018193D">
        <w:t xml:space="preserve"> </w:t>
      </w:r>
      <w:r w:rsidRPr="0018193D">
        <w:t xml:space="preserve">en vue de l’hébergement du </w:t>
      </w:r>
      <w:r w:rsidR="00991B61" w:rsidRPr="0018193D">
        <w:t>C</w:t>
      </w:r>
      <w:r w:rsidRPr="0018193D">
        <w:t>entre</w:t>
      </w:r>
      <w:r w:rsidR="00991B61" w:rsidRPr="0018193D">
        <w:t xml:space="preserve"> régional</w:t>
      </w:r>
      <w:r w:rsidRPr="0018193D">
        <w:t>.</w:t>
      </w:r>
    </w:p>
    <w:p w14:paraId="587ED96D" w14:textId="78BEA452" w:rsidR="00C954DE" w:rsidRPr="0018193D" w:rsidRDefault="00C954DE" w:rsidP="0018193D">
      <w:pPr>
        <w:pStyle w:val="Paragraphe"/>
        <w:numPr>
          <w:ilvl w:val="0"/>
          <w:numId w:val="6"/>
        </w:numPr>
        <w:ind w:hanging="436"/>
      </w:pPr>
      <w:r w:rsidRPr="0018193D">
        <w:t>Approuver la mise en place dans les meilleurs délais d’une structure transitoire auprès du Secrétariat général</w:t>
      </w:r>
      <w:r w:rsidR="00B3479B" w:rsidRPr="0018193D">
        <w:t xml:space="preserve"> </w:t>
      </w:r>
      <w:r w:rsidR="00740D67" w:rsidRPr="0018193D">
        <w:t xml:space="preserve">et demander aux États membres d’accélérer le processus de mise à disposition </w:t>
      </w:r>
      <w:r w:rsidRPr="0018193D">
        <w:t xml:space="preserve">des </w:t>
      </w:r>
      <w:r w:rsidR="00740D67" w:rsidRPr="0018193D">
        <w:t xml:space="preserve">deux </w:t>
      </w:r>
      <w:r w:rsidRPr="0018193D">
        <w:t>experts, à savoir, le coordinateur technique régional et l</w:t>
      </w:r>
      <w:r w:rsidR="00740D67" w:rsidRPr="0018193D">
        <w:t>e responsable du VMS régional</w:t>
      </w:r>
      <w:r w:rsidRPr="0018193D">
        <w:t xml:space="preserve">. </w:t>
      </w:r>
    </w:p>
    <w:p w14:paraId="0F1FA875" w14:textId="3E0364DC" w:rsidR="00740D67" w:rsidRPr="0018193D" w:rsidRDefault="00740D67" w:rsidP="0018193D">
      <w:pPr>
        <w:pStyle w:val="Paragraphe"/>
        <w:numPr>
          <w:ilvl w:val="0"/>
          <w:numId w:val="6"/>
        </w:numPr>
        <w:ind w:hanging="436"/>
      </w:pPr>
      <w:r w:rsidRPr="0018193D">
        <w:t>Prendre note de l’instruction du nouveau programme SWIO</w:t>
      </w:r>
      <w:r w:rsidR="00045D64" w:rsidRPr="0018193D">
        <w:t xml:space="preserve"> s</w:t>
      </w:r>
      <w:r w:rsidR="00510C9D">
        <w:t>ous</w:t>
      </w:r>
      <w:r w:rsidR="00045D64" w:rsidRPr="0018193D">
        <w:t xml:space="preserve"> financement de l’Union</w:t>
      </w:r>
      <w:r w:rsidRPr="0018193D">
        <w:t xml:space="preserve"> </w:t>
      </w:r>
      <w:r w:rsidR="00510C9D">
        <w:t xml:space="preserve">européenne </w:t>
      </w:r>
      <w:r w:rsidRPr="0018193D">
        <w:t>en appui aux activités du PRSP</w:t>
      </w:r>
      <w:r w:rsidR="00045D64" w:rsidRPr="0018193D">
        <w:t xml:space="preserve"> et d’inviter le Secrétaire général à </w:t>
      </w:r>
      <w:r w:rsidR="008B66DD" w:rsidRPr="0018193D">
        <w:t>signer le contrat de subvention pour une mise en œuvre dans les meilleurs délais</w:t>
      </w:r>
      <w:r w:rsidRPr="0018193D">
        <w:t>.</w:t>
      </w:r>
    </w:p>
    <w:p w14:paraId="495CA3D7" w14:textId="77777777" w:rsidR="0008468B" w:rsidRPr="0018193D" w:rsidRDefault="0008468B" w:rsidP="0008468B">
      <w:pPr>
        <w:jc w:val="both"/>
        <w:rPr>
          <w:rFonts w:ascii="Verdana" w:hAnsi="Verdana" w:cs="Calibri"/>
          <w:sz w:val="20"/>
          <w:szCs w:val="20"/>
        </w:rPr>
      </w:pPr>
    </w:p>
    <w:p w14:paraId="7EAEB404" w14:textId="72ACB4A7" w:rsidR="00955BB3" w:rsidRPr="0018193D" w:rsidRDefault="00955BB3" w:rsidP="00FE285D">
      <w:pPr>
        <w:pStyle w:val="Titrepartie"/>
      </w:pPr>
      <w:r w:rsidRPr="0018193D">
        <w:t>Rappel des décisions antérieures</w:t>
      </w:r>
    </w:p>
    <w:bookmarkEnd w:id="0"/>
    <w:p w14:paraId="623000D0" w14:textId="372E3DD8" w:rsidR="0008468B" w:rsidRPr="0018193D" w:rsidRDefault="0008468B" w:rsidP="00060CA0">
      <w:pPr>
        <w:pStyle w:val="Exergue"/>
      </w:pPr>
      <w:r w:rsidRPr="0018193D">
        <w:t xml:space="preserve">Décision </w:t>
      </w:r>
      <w:r w:rsidR="00740D67" w:rsidRPr="0018193D">
        <w:t>3</w:t>
      </w:r>
      <w:r w:rsidR="00A76B07" w:rsidRPr="0018193D">
        <w:t>,</w:t>
      </w:r>
      <w:r w:rsidR="00740D67" w:rsidRPr="0018193D">
        <w:t xml:space="preserve"> Plan Régional de Surveillance des Pêches (PRSP), 16 avril 2025.</w:t>
      </w:r>
    </w:p>
    <w:p w14:paraId="12EA328C" w14:textId="77777777" w:rsidR="0018193D" w:rsidRPr="0018193D" w:rsidRDefault="0018193D" w:rsidP="00060CA0">
      <w:pPr>
        <w:pStyle w:val="Paragraphe"/>
      </w:pPr>
    </w:p>
    <w:p w14:paraId="1D6F1669" w14:textId="72833CAD" w:rsidR="00417683" w:rsidRPr="0018193D" w:rsidRDefault="00417683" w:rsidP="00060CA0">
      <w:pPr>
        <w:pStyle w:val="Titrepartie"/>
      </w:pPr>
      <w:r w:rsidRPr="0018193D">
        <w:t>Annexe</w:t>
      </w:r>
      <w:r w:rsidR="008F173C" w:rsidRPr="0018193D">
        <w:t>s</w:t>
      </w:r>
      <w:r w:rsidRPr="0018193D">
        <w:t> :</w:t>
      </w:r>
    </w:p>
    <w:p w14:paraId="374F3417" w14:textId="7DE14671" w:rsidR="00C325F5" w:rsidRPr="0018193D" w:rsidRDefault="00620B90" w:rsidP="00620B90">
      <w:pPr>
        <w:pStyle w:val="Paragraphe"/>
        <w:numPr>
          <w:ilvl w:val="0"/>
          <w:numId w:val="9"/>
        </w:numPr>
      </w:pPr>
      <w:r w:rsidRPr="0018193D">
        <w:t xml:space="preserve">Annexe 1 : </w:t>
      </w:r>
      <w:r w:rsidR="001E6463" w:rsidRPr="0018193D">
        <w:t>Recommandations du COPIL PRSP du 25 et 26 août 2025.</w:t>
      </w:r>
    </w:p>
    <w:p w14:paraId="3D118B32" w14:textId="4536FF96" w:rsidR="001E6463" w:rsidRPr="0018193D" w:rsidRDefault="00620B90" w:rsidP="00A3006B">
      <w:pPr>
        <w:pStyle w:val="Paragraphe"/>
        <w:numPr>
          <w:ilvl w:val="0"/>
          <w:numId w:val="9"/>
        </w:numPr>
      </w:pPr>
      <w:r w:rsidRPr="0018193D">
        <w:t xml:space="preserve">Annexe 2 : </w:t>
      </w:r>
      <w:bookmarkStart w:id="1" w:name="_Hlk200620922"/>
      <w:r w:rsidR="001E6463" w:rsidRPr="0018193D">
        <w:t xml:space="preserve">Feuille de route en vue de la mise en place d'un Centre </w:t>
      </w:r>
      <w:bookmarkEnd w:id="1"/>
      <w:r w:rsidR="001E6463" w:rsidRPr="0018193D">
        <w:t>régional de coordination du suivi, du contrôle, de la surveillance et de l'observation des pêches dans le cadre du Plan régional de surveillance des pêches de la Commission de l'océan Indien (COI) pour l'Afrique de l'Est, l'Afrique australe et l'océan Indien.</w:t>
      </w:r>
    </w:p>
    <w:sectPr w:rsidR="001E6463" w:rsidRPr="0018193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28EC" w14:textId="77777777" w:rsidR="006602B1" w:rsidRDefault="006602B1">
      <w:pPr>
        <w:spacing w:after="0" w:line="240" w:lineRule="auto"/>
      </w:pPr>
      <w:r>
        <w:separator/>
      </w:r>
    </w:p>
  </w:endnote>
  <w:endnote w:type="continuationSeparator" w:id="0">
    <w:p w14:paraId="6EAE9E79" w14:textId="77777777" w:rsidR="006602B1" w:rsidRDefault="0066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5BCB" w14:textId="77777777" w:rsidR="006602B1" w:rsidRDefault="006602B1">
      <w:pPr>
        <w:spacing w:after="0" w:line="240" w:lineRule="auto"/>
      </w:pPr>
      <w:r>
        <w:separator/>
      </w:r>
    </w:p>
  </w:footnote>
  <w:footnote w:type="continuationSeparator" w:id="0">
    <w:p w14:paraId="01E5D69E" w14:textId="77777777" w:rsidR="006602B1" w:rsidRDefault="0066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2EB1748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D42931">
      <w:rPr>
        <w:rFonts w:ascii="Verdana" w:hAnsi="Verdana"/>
        <w:b/>
        <w:bCs/>
        <w:sz w:val="20"/>
        <w:szCs w:val="20"/>
      </w:rPr>
      <w:t xml:space="preserve"> 2.9</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5C4"/>
    <w:multiLevelType w:val="multilevel"/>
    <w:tmpl w:val="113C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C4CAD"/>
    <w:multiLevelType w:val="hybridMultilevel"/>
    <w:tmpl w:val="768664B6"/>
    <w:lvl w:ilvl="0" w:tplc="19FE9C0E">
      <w:start w:val="1"/>
      <w:numFmt w:val="lowerLetter"/>
      <w:lvlText w:val="%1)"/>
      <w:lvlJc w:val="left"/>
      <w:pPr>
        <w:ind w:left="1020" w:hanging="360"/>
      </w:pPr>
    </w:lvl>
    <w:lvl w:ilvl="1" w:tplc="57F002AE">
      <w:start w:val="1"/>
      <w:numFmt w:val="lowerLetter"/>
      <w:lvlText w:val="%2)"/>
      <w:lvlJc w:val="left"/>
      <w:pPr>
        <w:ind w:left="1020" w:hanging="360"/>
      </w:pPr>
    </w:lvl>
    <w:lvl w:ilvl="2" w:tplc="35C8B3EA">
      <w:start w:val="1"/>
      <w:numFmt w:val="lowerLetter"/>
      <w:lvlText w:val="%3)"/>
      <w:lvlJc w:val="left"/>
      <w:pPr>
        <w:ind w:left="1020" w:hanging="360"/>
      </w:pPr>
    </w:lvl>
    <w:lvl w:ilvl="3" w:tplc="AFE8E3A6">
      <w:start w:val="1"/>
      <w:numFmt w:val="lowerLetter"/>
      <w:lvlText w:val="%4)"/>
      <w:lvlJc w:val="left"/>
      <w:pPr>
        <w:ind w:left="1020" w:hanging="360"/>
      </w:pPr>
    </w:lvl>
    <w:lvl w:ilvl="4" w:tplc="1B586374">
      <w:start w:val="1"/>
      <w:numFmt w:val="lowerLetter"/>
      <w:lvlText w:val="%5)"/>
      <w:lvlJc w:val="left"/>
      <w:pPr>
        <w:ind w:left="1020" w:hanging="360"/>
      </w:pPr>
    </w:lvl>
    <w:lvl w:ilvl="5" w:tplc="B0C02EF8">
      <w:start w:val="1"/>
      <w:numFmt w:val="lowerLetter"/>
      <w:lvlText w:val="%6)"/>
      <w:lvlJc w:val="left"/>
      <w:pPr>
        <w:ind w:left="1020" w:hanging="360"/>
      </w:pPr>
    </w:lvl>
    <w:lvl w:ilvl="6" w:tplc="2452A88C">
      <w:start w:val="1"/>
      <w:numFmt w:val="lowerLetter"/>
      <w:lvlText w:val="%7)"/>
      <w:lvlJc w:val="left"/>
      <w:pPr>
        <w:ind w:left="1020" w:hanging="360"/>
      </w:pPr>
    </w:lvl>
    <w:lvl w:ilvl="7" w:tplc="92FE8E32">
      <w:start w:val="1"/>
      <w:numFmt w:val="lowerLetter"/>
      <w:lvlText w:val="%8)"/>
      <w:lvlJc w:val="left"/>
      <w:pPr>
        <w:ind w:left="1020" w:hanging="360"/>
      </w:pPr>
    </w:lvl>
    <w:lvl w:ilvl="8" w:tplc="A866E2C6">
      <w:start w:val="1"/>
      <w:numFmt w:val="lowerLetter"/>
      <w:lvlText w:val="%9)"/>
      <w:lvlJc w:val="left"/>
      <w:pPr>
        <w:ind w:left="1020" w:hanging="36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AA79F7"/>
    <w:multiLevelType w:val="hybridMultilevel"/>
    <w:tmpl w:val="9AAAE9A4"/>
    <w:lvl w:ilvl="0" w:tplc="BE00B968">
      <w:start w:val="1"/>
      <w:numFmt w:val="bullet"/>
      <w:lvlText w:val="-"/>
      <w:lvlJc w:val="left"/>
      <w:pPr>
        <w:tabs>
          <w:tab w:val="num" w:pos="720"/>
        </w:tabs>
        <w:ind w:left="720" w:hanging="360"/>
      </w:pPr>
      <w:rPr>
        <w:rFonts w:ascii="Verdana" w:hAnsi="Verdana" w:hint="default"/>
      </w:rPr>
    </w:lvl>
    <w:lvl w:ilvl="1" w:tplc="7E96A07E" w:tentative="1">
      <w:start w:val="1"/>
      <w:numFmt w:val="bullet"/>
      <w:lvlText w:val="-"/>
      <w:lvlJc w:val="left"/>
      <w:pPr>
        <w:tabs>
          <w:tab w:val="num" w:pos="1440"/>
        </w:tabs>
        <w:ind w:left="1440" w:hanging="360"/>
      </w:pPr>
      <w:rPr>
        <w:rFonts w:ascii="Verdana" w:hAnsi="Verdana" w:hint="default"/>
      </w:rPr>
    </w:lvl>
    <w:lvl w:ilvl="2" w:tplc="86F02D7A" w:tentative="1">
      <w:start w:val="1"/>
      <w:numFmt w:val="bullet"/>
      <w:lvlText w:val="-"/>
      <w:lvlJc w:val="left"/>
      <w:pPr>
        <w:tabs>
          <w:tab w:val="num" w:pos="2160"/>
        </w:tabs>
        <w:ind w:left="2160" w:hanging="360"/>
      </w:pPr>
      <w:rPr>
        <w:rFonts w:ascii="Verdana" w:hAnsi="Verdana" w:hint="default"/>
      </w:rPr>
    </w:lvl>
    <w:lvl w:ilvl="3" w:tplc="293A09B0" w:tentative="1">
      <w:start w:val="1"/>
      <w:numFmt w:val="bullet"/>
      <w:lvlText w:val="-"/>
      <w:lvlJc w:val="left"/>
      <w:pPr>
        <w:tabs>
          <w:tab w:val="num" w:pos="2880"/>
        </w:tabs>
        <w:ind w:left="2880" w:hanging="360"/>
      </w:pPr>
      <w:rPr>
        <w:rFonts w:ascii="Verdana" w:hAnsi="Verdana" w:hint="default"/>
      </w:rPr>
    </w:lvl>
    <w:lvl w:ilvl="4" w:tplc="FE188E92" w:tentative="1">
      <w:start w:val="1"/>
      <w:numFmt w:val="bullet"/>
      <w:lvlText w:val="-"/>
      <w:lvlJc w:val="left"/>
      <w:pPr>
        <w:tabs>
          <w:tab w:val="num" w:pos="3600"/>
        </w:tabs>
        <w:ind w:left="3600" w:hanging="360"/>
      </w:pPr>
      <w:rPr>
        <w:rFonts w:ascii="Verdana" w:hAnsi="Verdana" w:hint="default"/>
      </w:rPr>
    </w:lvl>
    <w:lvl w:ilvl="5" w:tplc="09D0D606" w:tentative="1">
      <w:start w:val="1"/>
      <w:numFmt w:val="bullet"/>
      <w:lvlText w:val="-"/>
      <w:lvlJc w:val="left"/>
      <w:pPr>
        <w:tabs>
          <w:tab w:val="num" w:pos="4320"/>
        </w:tabs>
        <w:ind w:left="4320" w:hanging="360"/>
      </w:pPr>
      <w:rPr>
        <w:rFonts w:ascii="Verdana" w:hAnsi="Verdana" w:hint="default"/>
      </w:rPr>
    </w:lvl>
    <w:lvl w:ilvl="6" w:tplc="3D52D142" w:tentative="1">
      <w:start w:val="1"/>
      <w:numFmt w:val="bullet"/>
      <w:lvlText w:val="-"/>
      <w:lvlJc w:val="left"/>
      <w:pPr>
        <w:tabs>
          <w:tab w:val="num" w:pos="5040"/>
        </w:tabs>
        <w:ind w:left="5040" w:hanging="360"/>
      </w:pPr>
      <w:rPr>
        <w:rFonts w:ascii="Verdana" w:hAnsi="Verdana" w:hint="default"/>
      </w:rPr>
    </w:lvl>
    <w:lvl w:ilvl="7" w:tplc="7B1AF396" w:tentative="1">
      <w:start w:val="1"/>
      <w:numFmt w:val="bullet"/>
      <w:lvlText w:val="-"/>
      <w:lvlJc w:val="left"/>
      <w:pPr>
        <w:tabs>
          <w:tab w:val="num" w:pos="5760"/>
        </w:tabs>
        <w:ind w:left="5760" w:hanging="360"/>
      </w:pPr>
      <w:rPr>
        <w:rFonts w:ascii="Verdana" w:hAnsi="Verdana" w:hint="default"/>
      </w:rPr>
    </w:lvl>
    <w:lvl w:ilvl="8" w:tplc="5BF2E538"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17C47BF2"/>
    <w:multiLevelType w:val="hybridMultilevel"/>
    <w:tmpl w:val="E5A472E0"/>
    <w:lvl w:ilvl="0" w:tplc="040C0017">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41D73"/>
    <w:multiLevelType w:val="multilevel"/>
    <w:tmpl w:val="AF20EE8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EE5407"/>
    <w:multiLevelType w:val="hybridMultilevel"/>
    <w:tmpl w:val="BF6E936C"/>
    <w:lvl w:ilvl="0" w:tplc="3ACABDCE">
      <w:start w:val="1"/>
      <w:numFmt w:val="bullet"/>
      <w:lvlText w:val="-"/>
      <w:lvlJc w:val="left"/>
      <w:pPr>
        <w:tabs>
          <w:tab w:val="num" w:pos="720"/>
        </w:tabs>
        <w:ind w:left="720" w:hanging="360"/>
      </w:pPr>
      <w:rPr>
        <w:rFonts w:ascii="Aptos" w:hAnsi="Aptos" w:hint="default"/>
      </w:rPr>
    </w:lvl>
    <w:lvl w:ilvl="1" w:tplc="F9B2C9E0" w:tentative="1">
      <w:start w:val="1"/>
      <w:numFmt w:val="bullet"/>
      <w:lvlText w:val="-"/>
      <w:lvlJc w:val="left"/>
      <w:pPr>
        <w:tabs>
          <w:tab w:val="num" w:pos="1440"/>
        </w:tabs>
        <w:ind w:left="1440" w:hanging="360"/>
      </w:pPr>
      <w:rPr>
        <w:rFonts w:ascii="Aptos" w:hAnsi="Aptos" w:hint="default"/>
      </w:rPr>
    </w:lvl>
    <w:lvl w:ilvl="2" w:tplc="1BB40D52" w:tentative="1">
      <w:start w:val="1"/>
      <w:numFmt w:val="bullet"/>
      <w:lvlText w:val="-"/>
      <w:lvlJc w:val="left"/>
      <w:pPr>
        <w:tabs>
          <w:tab w:val="num" w:pos="2160"/>
        </w:tabs>
        <w:ind w:left="2160" w:hanging="360"/>
      </w:pPr>
      <w:rPr>
        <w:rFonts w:ascii="Aptos" w:hAnsi="Aptos" w:hint="default"/>
      </w:rPr>
    </w:lvl>
    <w:lvl w:ilvl="3" w:tplc="6F6AAAAE" w:tentative="1">
      <w:start w:val="1"/>
      <w:numFmt w:val="bullet"/>
      <w:lvlText w:val="-"/>
      <w:lvlJc w:val="left"/>
      <w:pPr>
        <w:tabs>
          <w:tab w:val="num" w:pos="2880"/>
        </w:tabs>
        <w:ind w:left="2880" w:hanging="360"/>
      </w:pPr>
      <w:rPr>
        <w:rFonts w:ascii="Aptos" w:hAnsi="Aptos" w:hint="default"/>
      </w:rPr>
    </w:lvl>
    <w:lvl w:ilvl="4" w:tplc="55EE15E0" w:tentative="1">
      <w:start w:val="1"/>
      <w:numFmt w:val="bullet"/>
      <w:lvlText w:val="-"/>
      <w:lvlJc w:val="left"/>
      <w:pPr>
        <w:tabs>
          <w:tab w:val="num" w:pos="3600"/>
        </w:tabs>
        <w:ind w:left="3600" w:hanging="360"/>
      </w:pPr>
      <w:rPr>
        <w:rFonts w:ascii="Aptos" w:hAnsi="Aptos" w:hint="default"/>
      </w:rPr>
    </w:lvl>
    <w:lvl w:ilvl="5" w:tplc="B4080DF6" w:tentative="1">
      <w:start w:val="1"/>
      <w:numFmt w:val="bullet"/>
      <w:lvlText w:val="-"/>
      <w:lvlJc w:val="left"/>
      <w:pPr>
        <w:tabs>
          <w:tab w:val="num" w:pos="4320"/>
        </w:tabs>
        <w:ind w:left="4320" w:hanging="360"/>
      </w:pPr>
      <w:rPr>
        <w:rFonts w:ascii="Aptos" w:hAnsi="Aptos" w:hint="default"/>
      </w:rPr>
    </w:lvl>
    <w:lvl w:ilvl="6" w:tplc="1D187E1A" w:tentative="1">
      <w:start w:val="1"/>
      <w:numFmt w:val="bullet"/>
      <w:lvlText w:val="-"/>
      <w:lvlJc w:val="left"/>
      <w:pPr>
        <w:tabs>
          <w:tab w:val="num" w:pos="5040"/>
        </w:tabs>
        <w:ind w:left="5040" w:hanging="360"/>
      </w:pPr>
      <w:rPr>
        <w:rFonts w:ascii="Aptos" w:hAnsi="Aptos" w:hint="default"/>
      </w:rPr>
    </w:lvl>
    <w:lvl w:ilvl="7" w:tplc="3FE802D4" w:tentative="1">
      <w:start w:val="1"/>
      <w:numFmt w:val="bullet"/>
      <w:lvlText w:val="-"/>
      <w:lvlJc w:val="left"/>
      <w:pPr>
        <w:tabs>
          <w:tab w:val="num" w:pos="5760"/>
        </w:tabs>
        <w:ind w:left="5760" w:hanging="360"/>
      </w:pPr>
      <w:rPr>
        <w:rFonts w:ascii="Aptos" w:hAnsi="Aptos" w:hint="default"/>
      </w:rPr>
    </w:lvl>
    <w:lvl w:ilvl="8" w:tplc="EABCF140"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2783158C"/>
    <w:multiLevelType w:val="multilevel"/>
    <w:tmpl w:val="946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D168C"/>
    <w:multiLevelType w:val="hybridMultilevel"/>
    <w:tmpl w:val="6C58E81A"/>
    <w:lvl w:ilvl="0" w:tplc="DCF2ADBC">
      <w:start w:val="1"/>
      <w:numFmt w:val="bullet"/>
      <w:lvlText w:val="v"/>
      <w:lvlJc w:val="left"/>
      <w:pPr>
        <w:tabs>
          <w:tab w:val="num" w:pos="720"/>
        </w:tabs>
        <w:ind w:left="720" w:hanging="360"/>
      </w:pPr>
      <w:rPr>
        <w:rFonts w:ascii="Wingdings" w:hAnsi="Wingdings" w:hint="default"/>
      </w:rPr>
    </w:lvl>
    <w:lvl w:ilvl="1" w:tplc="75968B20" w:tentative="1">
      <w:start w:val="1"/>
      <w:numFmt w:val="bullet"/>
      <w:lvlText w:val="v"/>
      <w:lvlJc w:val="left"/>
      <w:pPr>
        <w:tabs>
          <w:tab w:val="num" w:pos="1440"/>
        </w:tabs>
        <w:ind w:left="1440" w:hanging="360"/>
      </w:pPr>
      <w:rPr>
        <w:rFonts w:ascii="Wingdings" w:hAnsi="Wingdings" w:hint="default"/>
      </w:rPr>
    </w:lvl>
    <w:lvl w:ilvl="2" w:tplc="EB06C36A" w:tentative="1">
      <w:start w:val="1"/>
      <w:numFmt w:val="bullet"/>
      <w:lvlText w:val="v"/>
      <w:lvlJc w:val="left"/>
      <w:pPr>
        <w:tabs>
          <w:tab w:val="num" w:pos="2160"/>
        </w:tabs>
        <w:ind w:left="2160" w:hanging="360"/>
      </w:pPr>
      <w:rPr>
        <w:rFonts w:ascii="Wingdings" w:hAnsi="Wingdings" w:hint="default"/>
      </w:rPr>
    </w:lvl>
    <w:lvl w:ilvl="3" w:tplc="30A8F290" w:tentative="1">
      <w:start w:val="1"/>
      <w:numFmt w:val="bullet"/>
      <w:lvlText w:val="v"/>
      <w:lvlJc w:val="left"/>
      <w:pPr>
        <w:tabs>
          <w:tab w:val="num" w:pos="2880"/>
        </w:tabs>
        <w:ind w:left="2880" w:hanging="360"/>
      </w:pPr>
      <w:rPr>
        <w:rFonts w:ascii="Wingdings" w:hAnsi="Wingdings" w:hint="default"/>
      </w:rPr>
    </w:lvl>
    <w:lvl w:ilvl="4" w:tplc="3C1A34BE" w:tentative="1">
      <w:start w:val="1"/>
      <w:numFmt w:val="bullet"/>
      <w:lvlText w:val="v"/>
      <w:lvlJc w:val="left"/>
      <w:pPr>
        <w:tabs>
          <w:tab w:val="num" w:pos="3600"/>
        </w:tabs>
        <w:ind w:left="3600" w:hanging="360"/>
      </w:pPr>
      <w:rPr>
        <w:rFonts w:ascii="Wingdings" w:hAnsi="Wingdings" w:hint="default"/>
      </w:rPr>
    </w:lvl>
    <w:lvl w:ilvl="5" w:tplc="E2E61508" w:tentative="1">
      <w:start w:val="1"/>
      <w:numFmt w:val="bullet"/>
      <w:lvlText w:val="v"/>
      <w:lvlJc w:val="left"/>
      <w:pPr>
        <w:tabs>
          <w:tab w:val="num" w:pos="4320"/>
        </w:tabs>
        <w:ind w:left="4320" w:hanging="360"/>
      </w:pPr>
      <w:rPr>
        <w:rFonts w:ascii="Wingdings" w:hAnsi="Wingdings" w:hint="default"/>
      </w:rPr>
    </w:lvl>
    <w:lvl w:ilvl="6" w:tplc="1260562A" w:tentative="1">
      <w:start w:val="1"/>
      <w:numFmt w:val="bullet"/>
      <w:lvlText w:val="v"/>
      <w:lvlJc w:val="left"/>
      <w:pPr>
        <w:tabs>
          <w:tab w:val="num" w:pos="5040"/>
        </w:tabs>
        <w:ind w:left="5040" w:hanging="360"/>
      </w:pPr>
      <w:rPr>
        <w:rFonts w:ascii="Wingdings" w:hAnsi="Wingdings" w:hint="default"/>
      </w:rPr>
    </w:lvl>
    <w:lvl w:ilvl="7" w:tplc="05F62BAE" w:tentative="1">
      <w:start w:val="1"/>
      <w:numFmt w:val="bullet"/>
      <w:lvlText w:val="v"/>
      <w:lvlJc w:val="left"/>
      <w:pPr>
        <w:tabs>
          <w:tab w:val="num" w:pos="5760"/>
        </w:tabs>
        <w:ind w:left="5760" w:hanging="360"/>
      </w:pPr>
      <w:rPr>
        <w:rFonts w:ascii="Wingdings" w:hAnsi="Wingdings" w:hint="default"/>
      </w:rPr>
    </w:lvl>
    <w:lvl w:ilvl="8" w:tplc="3084B458" w:tentative="1">
      <w:start w:val="1"/>
      <w:numFmt w:val="bullet"/>
      <w:lvlText w:val="v"/>
      <w:lvlJc w:val="left"/>
      <w:pPr>
        <w:tabs>
          <w:tab w:val="num" w:pos="6480"/>
        </w:tabs>
        <w:ind w:left="6480" w:hanging="360"/>
      </w:pPr>
      <w:rPr>
        <w:rFonts w:ascii="Wingdings" w:hAnsi="Wingdings" w:hint="default"/>
      </w:rPr>
    </w:lvl>
  </w:abstractNum>
  <w:abstractNum w:abstractNumId="13" w15:restartNumberingAfterBreak="0">
    <w:nsid w:val="387F1BD2"/>
    <w:multiLevelType w:val="multilevel"/>
    <w:tmpl w:val="DF5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B56E3"/>
    <w:multiLevelType w:val="multilevel"/>
    <w:tmpl w:val="360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00B50"/>
    <w:multiLevelType w:val="multilevel"/>
    <w:tmpl w:val="658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278B8"/>
    <w:multiLevelType w:val="multilevel"/>
    <w:tmpl w:val="05A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E7FE5"/>
    <w:multiLevelType w:val="hybridMultilevel"/>
    <w:tmpl w:val="0374BCFE"/>
    <w:lvl w:ilvl="0" w:tplc="F0C8A762">
      <w:start w:val="2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8E5644"/>
    <w:multiLevelType w:val="multilevel"/>
    <w:tmpl w:val="499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15954"/>
    <w:multiLevelType w:val="hybridMultilevel"/>
    <w:tmpl w:val="5AD068D8"/>
    <w:lvl w:ilvl="0" w:tplc="B2E445EE">
      <w:start w:val="1"/>
      <w:numFmt w:val="bullet"/>
      <w:lvlText w:val="v"/>
      <w:lvlJc w:val="left"/>
      <w:pPr>
        <w:tabs>
          <w:tab w:val="num" w:pos="720"/>
        </w:tabs>
        <w:ind w:left="720" w:hanging="360"/>
      </w:pPr>
      <w:rPr>
        <w:rFonts w:ascii="Wingdings" w:hAnsi="Wingdings" w:hint="default"/>
      </w:rPr>
    </w:lvl>
    <w:lvl w:ilvl="1" w:tplc="18F24F92" w:tentative="1">
      <w:start w:val="1"/>
      <w:numFmt w:val="bullet"/>
      <w:lvlText w:val="v"/>
      <w:lvlJc w:val="left"/>
      <w:pPr>
        <w:tabs>
          <w:tab w:val="num" w:pos="1440"/>
        </w:tabs>
        <w:ind w:left="1440" w:hanging="360"/>
      </w:pPr>
      <w:rPr>
        <w:rFonts w:ascii="Wingdings" w:hAnsi="Wingdings" w:hint="default"/>
      </w:rPr>
    </w:lvl>
    <w:lvl w:ilvl="2" w:tplc="0046B9A6" w:tentative="1">
      <w:start w:val="1"/>
      <w:numFmt w:val="bullet"/>
      <w:lvlText w:val="v"/>
      <w:lvlJc w:val="left"/>
      <w:pPr>
        <w:tabs>
          <w:tab w:val="num" w:pos="2160"/>
        </w:tabs>
        <w:ind w:left="2160" w:hanging="360"/>
      </w:pPr>
      <w:rPr>
        <w:rFonts w:ascii="Wingdings" w:hAnsi="Wingdings" w:hint="default"/>
      </w:rPr>
    </w:lvl>
    <w:lvl w:ilvl="3" w:tplc="AF6AE7BA" w:tentative="1">
      <w:start w:val="1"/>
      <w:numFmt w:val="bullet"/>
      <w:lvlText w:val="v"/>
      <w:lvlJc w:val="left"/>
      <w:pPr>
        <w:tabs>
          <w:tab w:val="num" w:pos="2880"/>
        </w:tabs>
        <w:ind w:left="2880" w:hanging="360"/>
      </w:pPr>
      <w:rPr>
        <w:rFonts w:ascii="Wingdings" w:hAnsi="Wingdings" w:hint="default"/>
      </w:rPr>
    </w:lvl>
    <w:lvl w:ilvl="4" w:tplc="8EA286D2" w:tentative="1">
      <w:start w:val="1"/>
      <w:numFmt w:val="bullet"/>
      <w:lvlText w:val="v"/>
      <w:lvlJc w:val="left"/>
      <w:pPr>
        <w:tabs>
          <w:tab w:val="num" w:pos="3600"/>
        </w:tabs>
        <w:ind w:left="3600" w:hanging="360"/>
      </w:pPr>
      <w:rPr>
        <w:rFonts w:ascii="Wingdings" w:hAnsi="Wingdings" w:hint="default"/>
      </w:rPr>
    </w:lvl>
    <w:lvl w:ilvl="5" w:tplc="91C262F4" w:tentative="1">
      <w:start w:val="1"/>
      <w:numFmt w:val="bullet"/>
      <w:lvlText w:val="v"/>
      <w:lvlJc w:val="left"/>
      <w:pPr>
        <w:tabs>
          <w:tab w:val="num" w:pos="4320"/>
        </w:tabs>
        <w:ind w:left="4320" w:hanging="360"/>
      </w:pPr>
      <w:rPr>
        <w:rFonts w:ascii="Wingdings" w:hAnsi="Wingdings" w:hint="default"/>
      </w:rPr>
    </w:lvl>
    <w:lvl w:ilvl="6" w:tplc="9A88F33E" w:tentative="1">
      <w:start w:val="1"/>
      <w:numFmt w:val="bullet"/>
      <w:lvlText w:val="v"/>
      <w:lvlJc w:val="left"/>
      <w:pPr>
        <w:tabs>
          <w:tab w:val="num" w:pos="5040"/>
        </w:tabs>
        <w:ind w:left="5040" w:hanging="360"/>
      </w:pPr>
      <w:rPr>
        <w:rFonts w:ascii="Wingdings" w:hAnsi="Wingdings" w:hint="default"/>
      </w:rPr>
    </w:lvl>
    <w:lvl w:ilvl="7" w:tplc="47E220F2" w:tentative="1">
      <w:start w:val="1"/>
      <w:numFmt w:val="bullet"/>
      <w:lvlText w:val="v"/>
      <w:lvlJc w:val="left"/>
      <w:pPr>
        <w:tabs>
          <w:tab w:val="num" w:pos="5760"/>
        </w:tabs>
        <w:ind w:left="5760" w:hanging="360"/>
      </w:pPr>
      <w:rPr>
        <w:rFonts w:ascii="Wingdings" w:hAnsi="Wingdings" w:hint="default"/>
      </w:rPr>
    </w:lvl>
    <w:lvl w:ilvl="8" w:tplc="5AC0CCFE" w:tentative="1">
      <w:start w:val="1"/>
      <w:numFmt w:val="bullet"/>
      <w:lvlText w:val="v"/>
      <w:lvlJc w:val="left"/>
      <w:pPr>
        <w:tabs>
          <w:tab w:val="num" w:pos="6480"/>
        </w:tabs>
        <w:ind w:left="6480" w:hanging="360"/>
      </w:pPr>
      <w:rPr>
        <w:rFonts w:ascii="Wingdings" w:hAnsi="Wingdings" w:hint="default"/>
      </w:rPr>
    </w:lvl>
  </w:abstractNum>
  <w:abstractNum w:abstractNumId="2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0C30FA"/>
    <w:multiLevelType w:val="multilevel"/>
    <w:tmpl w:val="3FD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EA0B26"/>
    <w:multiLevelType w:val="multilevel"/>
    <w:tmpl w:val="B322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40A9C"/>
    <w:multiLevelType w:val="hybridMultilevel"/>
    <w:tmpl w:val="734EDE9C"/>
    <w:lvl w:ilvl="0" w:tplc="BA98DB7C">
      <w:start w:val="1"/>
      <w:numFmt w:val="bullet"/>
      <w:lvlText w:val="-"/>
      <w:lvlJc w:val="left"/>
      <w:pPr>
        <w:tabs>
          <w:tab w:val="num" w:pos="720"/>
        </w:tabs>
        <w:ind w:left="720" w:hanging="360"/>
      </w:pPr>
      <w:rPr>
        <w:rFonts w:ascii="Aptos" w:hAnsi="Aptos" w:hint="default"/>
      </w:rPr>
    </w:lvl>
    <w:lvl w:ilvl="1" w:tplc="CCD827D0" w:tentative="1">
      <w:start w:val="1"/>
      <w:numFmt w:val="bullet"/>
      <w:lvlText w:val="-"/>
      <w:lvlJc w:val="left"/>
      <w:pPr>
        <w:tabs>
          <w:tab w:val="num" w:pos="1440"/>
        </w:tabs>
        <w:ind w:left="1440" w:hanging="360"/>
      </w:pPr>
      <w:rPr>
        <w:rFonts w:ascii="Aptos" w:hAnsi="Aptos" w:hint="default"/>
      </w:rPr>
    </w:lvl>
    <w:lvl w:ilvl="2" w:tplc="B0949BDA" w:tentative="1">
      <w:start w:val="1"/>
      <w:numFmt w:val="bullet"/>
      <w:lvlText w:val="-"/>
      <w:lvlJc w:val="left"/>
      <w:pPr>
        <w:tabs>
          <w:tab w:val="num" w:pos="2160"/>
        </w:tabs>
        <w:ind w:left="2160" w:hanging="360"/>
      </w:pPr>
      <w:rPr>
        <w:rFonts w:ascii="Aptos" w:hAnsi="Aptos" w:hint="default"/>
      </w:rPr>
    </w:lvl>
    <w:lvl w:ilvl="3" w:tplc="8DBCE382" w:tentative="1">
      <w:start w:val="1"/>
      <w:numFmt w:val="bullet"/>
      <w:lvlText w:val="-"/>
      <w:lvlJc w:val="left"/>
      <w:pPr>
        <w:tabs>
          <w:tab w:val="num" w:pos="2880"/>
        </w:tabs>
        <w:ind w:left="2880" w:hanging="360"/>
      </w:pPr>
      <w:rPr>
        <w:rFonts w:ascii="Aptos" w:hAnsi="Aptos" w:hint="default"/>
      </w:rPr>
    </w:lvl>
    <w:lvl w:ilvl="4" w:tplc="98764F1C" w:tentative="1">
      <w:start w:val="1"/>
      <w:numFmt w:val="bullet"/>
      <w:lvlText w:val="-"/>
      <w:lvlJc w:val="left"/>
      <w:pPr>
        <w:tabs>
          <w:tab w:val="num" w:pos="3600"/>
        </w:tabs>
        <w:ind w:left="3600" w:hanging="360"/>
      </w:pPr>
      <w:rPr>
        <w:rFonts w:ascii="Aptos" w:hAnsi="Aptos" w:hint="default"/>
      </w:rPr>
    </w:lvl>
    <w:lvl w:ilvl="5" w:tplc="39E44E66" w:tentative="1">
      <w:start w:val="1"/>
      <w:numFmt w:val="bullet"/>
      <w:lvlText w:val="-"/>
      <w:lvlJc w:val="left"/>
      <w:pPr>
        <w:tabs>
          <w:tab w:val="num" w:pos="4320"/>
        </w:tabs>
        <w:ind w:left="4320" w:hanging="360"/>
      </w:pPr>
      <w:rPr>
        <w:rFonts w:ascii="Aptos" w:hAnsi="Aptos" w:hint="default"/>
      </w:rPr>
    </w:lvl>
    <w:lvl w:ilvl="6" w:tplc="25160BB0" w:tentative="1">
      <w:start w:val="1"/>
      <w:numFmt w:val="bullet"/>
      <w:lvlText w:val="-"/>
      <w:lvlJc w:val="left"/>
      <w:pPr>
        <w:tabs>
          <w:tab w:val="num" w:pos="5040"/>
        </w:tabs>
        <w:ind w:left="5040" w:hanging="360"/>
      </w:pPr>
      <w:rPr>
        <w:rFonts w:ascii="Aptos" w:hAnsi="Aptos" w:hint="default"/>
      </w:rPr>
    </w:lvl>
    <w:lvl w:ilvl="7" w:tplc="E3C8FE9A" w:tentative="1">
      <w:start w:val="1"/>
      <w:numFmt w:val="bullet"/>
      <w:lvlText w:val="-"/>
      <w:lvlJc w:val="left"/>
      <w:pPr>
        <w:tabs>
          <w:tab w:val="num" w:pos="5760"/>
        </w:tabs>
        <w:ind w:left="5760" w:hanging="360"/>
      </w:pPr>
      <w:rPr>
        <w:rFonts w:ascii="Aptos" w:hAnsi="Aptos" w:hint="default"/>
      </w:rPr>
    </w:lvl>
    <w:lvl w:ilvl="8" w:tplc="111EF0A4" w:tentative="1">
      <w:start w:val="1"/>
      <w:numFmt w:val="bullet"/>
      <w:lvlText w:val="-"/>
      <w:lvlJc w:val="left"/>
      <w:pPr>
        <w:tabs>
          <w:tab w:val="num" w:pos="6480"/>
        </w:tabs>
        <w:ind w:left="6480" w:hanging="360"/>
      </w:pPr>
      <w:rPr>
        <w:rFonts w:ascii="Aptos" w:hAnsi="Aptos" w:hint="default"/>
      </w:rPr>
    </w:lvl>
  </w:abstractNum>
  <w:abstractNum w:abstractNumId="25" w15:restartNumberingAfterBreak="0">
    <w:nsid w:val="6AB3357F"/>
    <w:multiLevelType w:val="multilevel"/>
    <w:tmpl w:val="34B0B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52CCB"/>
    <w:multiLevelType w:val="multilevel"/>
    <w:tmpl w:val="69D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76AD0"/>
    <w:multiLevelType w:val="multilevel"/>
    <w:tmpl w:val="F1B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66079"/>
    <w:multiLevelType w:val="multilevel"/>
    <w:tmpl w:val="B3C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369101">
    <w:abstractNumId w:val="7"/>
  </w:num>
  <w:num w:numId="2" w16cid:durableId="1610039204">
    <w:abstractNumId w:val="22"/>
  </w:num>
  <w:num w:numId="3" w16cid:durableId="1340154692">
    <w:abstractNumId w:val="4"/>
  </w:num>
  <w:num w:numId="4" w16cid:durableId="403799797">
    <w:abstractNumId w:val="1"/>
  </w:num>
  <w:num w:numId="5" w16cid:durableId="1132822208">
    <w:abstractNumId w:val="20"/>
  </w:num>
  <w:num w:numId="6" w16cid:durableId="2095198269">
    <w:abstractNumId w:val="6"/>
  </w:num>
  <w:num w:numId="7" w16cid:durableId="632911462">
    <w:abstractNumId w:val="9"/>
  </w:num>
  <w:num w:numId="8" w16cid:durableId="749274690">
    <w:abstractNumId w:val="4"/>
    <w:lvlOverride w:ilvl="0">
      <w:startOverride w:val="1"/>
    </w:lvlOverride>
  </w:num>
  <w:num w:numId="9" w16cid:durableId="794374940">
    <w:abstractNumId w:val="3"/>
  </w:num>
  <w:num w:numId="10" w16cid:durableId="570652914">
    <w:abstractNumId w:val="14"/>
  </w:num>
  <w:num w:numId="11" w16cid:durableId="1775860385">
    <w:abstractNumId w:val="11"/>
  </w:num>
  <w:num w:numId="12" w16cid:durableId="537012165">
    <w:abstractNumId w:val="17"/>
  </w:num>
  <w:num w:numId="13" w16cid:durableId="1969819044">
    <w:abstractNumId w:val="13"/>
  </w:num>
  <w:num w:numId="14" w16cid:durableId="527185555">
    <w:abstractNumId w:val="27"/>
  </w:num>
  <w:num w:numId="15" w16cid:durableId="2017994673">
    <w:abstractNumId w:val="26"/>
  </w:num>
  <w:num w:numId="16" w16cid:durableId="952443333">
    <w:abstractNumId w:val="21"/>
  </w:num>
  <w:num w:numId="17" w16cid:durableId="757598575">
    <w:abstractNumId w:val="15"/>
  </w:num>
  <w:num w:numId="18" w16cid:durableId="1044864079">
    <w:abstractNumId w:val="8"/>
  </w:num>
  <w:num w:numId="19" w16cid:durableId="173618705">
    <w:abstractNumId w:val="12"/>
  </w:num>
  <w:num w:numId="20" w16cid:durableId="366027070">
    <w:abstractNumId w:val="5"/>
  </w:num>
  <w:num w:numId="21" w16cid:durableId="1751928355">
    <w:abstractNumId w:val="19"/>
  </w:num>
  <w:num w:numId="22" w16cid:durableId="5594888">
    <w:abstractNumId w:val="4"/>
  </w:num>
  <w:num w:numId="23" w16cid:durableId="1522669963">
    <w:abstractNumId w:val="10"/>
  </w:num>
  <w:num w:numId="24" w16cid:durableId="664626920">
    <w:abstractNumId w:val="24"/>
  </w:num>
  <w:num w:numId="25" w16cid:durableId="1771731088">
    <w:abstractNumId w:val="28"/>
  </w:num>
  <w:num w:numId="26" w16cid:durableId="911238736">
    <w:abstractNumId w:val="0"/>
  </w:num>
  <w:num w:numId="27" w16cid:durableId="2038462143">
    <w:abstractNumId w:val="18"/>
  </w:num>
  <w:num w:numId="28" w16cid:durableId="27268619">
    <w:abstractNumId w:val="23"/>
  </w:num>
  <w:num w:numId="29" w16cid:durableId="1367363627">
    <w:abstractNumId w:val="25"/>
  </w:num>
  <w:num w:numId="30" w16cid:durableId="31615500">
    <w:abstractNumId w:val="16"/>
  </w:num>
  <w:num w:numId="31" w16cid:durableId="71273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5D64"/>
    <w:rsid w:val="00060CA0"/>
    <w:rsid w:val="00063A26"/>
    <w:rsid w:val="00066A2F"/>
    <w:rsid w:val="00083319"/>
    <w:rsid w:val="0008468B"/>
    <w:rsid w:val="00092572"/>
    <w:rsid w:val="000A468A"/>
    <w:rsid w:val="000B0FBD"/>
    <w:rsid w:val="000D1825"/>
    <w:rsid w:val="000E4FA9"/>
    <w:rsid w:val="000F4728"/>
    <w:rsid w:val="00107D9D"/>
    <w:rsid w:val="00140D4D"/>
    <w:rsid w:val="0018193D"/>
    <w:rsid w:val="0018252D"/>
    <w:rsid w:val="001A56F1"/>
    <w:rsid w:val="001B4738"/>
    <w:rsid w:val="001E6463"/>
    <w:rsid w:val="00233023"/>
    <w:rsid w:val="002A0933"/>
    <w:rsid w:val="002A096E"/>
    <w:rsid w:val="002B371D"/>
    <w:rsid w:val="002C56ED"/>
    <w:rsid w:val="00332AD8"/>
    <w:rsid w:val="0034053F"/>
    <w:rsid w:val="003604B9"/>
    <w:rsid w:val="003772FB"/>
    <w:rsid w:val="00391152"/>
    <w:rsid w:val="003C2538"/>
    <w:rsid w:val="003D485F"/>
    <w:rsid w:val="003D5328"/>
    <w:rsid w:val="003F3BB6"/>
    <w:rsid w:val="00410F15"/>
    <w:rsid w:val="0041278C"/>
    <w:rsid w:val="00413E16"/>
    <w:rsid w:val="00417683"/>
    <w:rsid w:val="00426673"/>
    <w:rsid w:val="00427B11"/>
    <w:rsid w:val="004330C0"/>
    <w:rsid w:val="00437AF2"/>
    <w:rsid w:val="004607F7"/>
    <w:rsid w:val="0048601A"/>
    <w:rsid w:val="004F5C4B"/>
    <w:rsid w:val="00510C9D"/>
    <w:rsid w:val="0053773D"/>
    <w:rsid w:val="005C1B40"/>
    <w:rsid w:val="00620B90"/>
    <w:rsid w:val="006356AF"/>
    <w:rsid w:val="006548BF"/>
    <w:rsid w:val="006602B1"/>
    <w:rsid w:val="00660504"/>
    <w:rsid w:val="006E2D9E"/>
    <w:rsid w:val="007275D3"/>
    <w:rsid w:val="00740D67"/>
    <w:rsid w:val="0076770C"/>
    <w:rsid w:val="007B245C"/>
    <w:rsid w:val="007C78FC"/>
    <w:rsid w:val="00816DAC"/>
    <w:rsid w:val="00820DA0"/>
    <w:rsid w:val="0083290E"/>
    <w:rsid w:val="00843FF2"/>
    <w:rsid w:val="008453AB"/>
    <w:rsid w:val="00854EEA"/>
    <w:rsid w:val="008551DA"/>
    <w:rsid w:val="00875FB5"/>
    <w:rsid w:val="008A5003"/>
    <w:rsid w:val="008B66DD"/>
    <w:rsid w:val="008D193F"/>
    <w:rsid w:val="008F173C"/>
    <w:rsid w:val="00921217"/>
    <w:rsid w:val="00923302"/>
    <w:rsid w:val="009276E6"/>
    <w:rsid w:val="00955BB3"/>
    <w:rsid w:val="00977D04"/>
    <w:rsid w:val="00991B61"/>
    <w:rsid w:val="00994401"/>
    <w:rsid w:val="009A38AD"/>
    <w:rsid w:val="00A03FD7"/>
    <w:rsid w:val="00A148A1"/>
    <w:rsid w:val="00A17662"/>
    <w:rsid w:val="00A30657"/>
    <w:rsid w:val="00A36C09"/>
    <w:rsid w:val="00A37C9F"/>
    <w:rsid w:val="00A56B44"/>
    <w:rsid w:val="00A70123"/>
    <w:rsid w:val="00A76B07"/>
    <w:rsid w:val="00A81B98"/>
    <w:rsid w:val="00A90305"/>
    <w:rsid w:val="00AA63A3"/>
    <w:rsid w:val="00AB5EB7"/>
    <w:rsid w:val="00AD4D97"/>
    <w:rsid w:val="00AE2453"/>
    <w:rsid w:val="00B05DFC"/>
    <w:rsid w:val="00B3479B"/>
    <w:rsid w:val="00B36EEA"/>
    <w:rsid w:val="00B84B8D"/>
    <w:rsid w:val="00B96BA8"/>
    <w:rsid w:val="00BA4B55"/>
    <w:rsid w:val="00BC78D8"/>
    <w:rsid w:val="00C12C93"/>
    <w:rsid w:val="00C12E67"/>
    <w:rsid w:val="00C325F5"/>
    <w:rsid w:val="00C457E8"/>
    <w:rsid w:val="00C609B9"/>
    <w:rsid w:val="00C8010C"/>
    <w:rsid w:val="00C954DE"/>
    <w:rsid w:val="00CB72E3"/>
    <w:rsid w:val="00CE2386"/>
    <w:rsid w:val="00D42931"/>
    <w:rsid w:val="00DA19D4"/>
    <w:rsid w:val="00E00F9B"/>
    <w:rsid w:val="00E23DC9"/>
    <w:rsid w:val="00E32408"/>
    <w:rsid w:val="00E845D4"/>
    <w:rsid w:val="00E86302"/>
    <w:rsid w:val="00EC22CC"/>
    <w:rsid w:val="00EC2430"/>
    <w:rsid w:val="00EC2615"/>
    <w:rsid w:val="00ED6B69"/>
    <w:rsid w:val="00EE34F4"/>
    <w:rsid w:val="00EF22A4"/>
    <w:rsid w:val="00F16138"/>
    <w:rsid w:val="00F451C6"/>
    <w:rsid w:val="00F54EA0"/>
    <w:rsid w:val="00F6614F"/>
    <w:rsid w:val="00F944AC"/>
    <w:rsid w:val="00F96EE9"/>
    <w:rsid w:val="00FB20C3"/>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Sous-titre">
    <w:name w:val="Subtitle"/>
    <w:basedOn w:val="Normal"/>
    <w:next w:val="Normal"/>
    <w:link w:val="Sous-titreCar"/>
    <w:uiPriority w:val="11"/>
    <w:qFormat/>
    <w:rsid w:val="0099440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94401"/>
    <w:rPr>
      <w:rFonts w:eastAsiaTheme="majorEastAsia" w:cstheme="majorBidi"/>
      <w:color w:val="595959" w:themeColor="text1" w:themeTint="A6"/>
      <w:spacing w:val="15"/>
      <w:kern w:val="2"/>
      <w:sz w:val="28"/>
      <w:szCs w:val="28"/>
      <w14:ligatures w14:val="standardContextual"/>
    </w:rPr>
  </w:style>
  <w:style w:type="paragraph" w:styleId="Rvision">
    <w:name w:val="Revision"/>
    <w:hidden/>
    <w:uiPriority w:val="99"/>
    <w:semiHidden/>
    <w:rsid w:val="00340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23835458">
      <w:bodyDiv w:val="1"/>
      <w:marLeft w:val="0"/>
      <w:marRight w:val="0"/>
      <w:marTop w:val="0"/>
      <w:marBottom w:val="0"/>
      <w:divBdr>
        <w:top w:val="none" w:sz="0" w:space="0" w:color="auto"/>
        <w:left w:val="none" w:sz="0" w:space="0" w:color="auto"/>
        <w:bottom w:val="none" w:sz="0" w:space="0" w:color="auto"/>
        <w:right w:val="none" w:sz="0" w:space="0" w:color="auto"/>
      </w:divBdr>
    </w:div>
    <w:div w:id="607002925">
      <w:bodyDiv w:val="1"/>
      <w:marLeft w:val="0"/>
      <w:marRight w:val="0"/>
      <w:marTop w:val="0"/>
      <w:marBottom w:val="0"/>
      <w:divBdr>
        <w:top w:val="none" w:sz="0" w:space="0" w:color="auto"/>
        <w:left w:val="none" w:sz="0" w:space="0" w:color="auto"/>
        <w:bottom w:val="none" w:sz="0" w:space="0" w:color="auto"/>
        <w:right w:val="none" w:sz="0" w:space="0" w:color="auto"/>
      </w:divBdr>
    </w:div>
    <w:div w:id="901601361">
      <w:bodyDiv w:val="1"/>
      <w:marLeft w:val="0"/>
      <w:marRight w:val="0"/>
      <w:marTop w:val="0"/>
      <w:marBottom w:val="0"/>
      <w:divBdr>
        <w:top w:val="none" w:sz="0" w:space="0" w:color="auto"/>
        <w:left w:val="none" w:sz="0" w:space="0" w:color="auto"/>
        <w:bottom w:val="none" w:sz="0" w:space="0" w:color="auto"/>
        <w:right w:val="none" w:sz="0" w:space="0" w:color="auto"/>
      </w:divBdr>
    </w:div>
    <w:div w:id="998919224">
      <w:bodyDiv w:val="1"/>
      <w:marLeft w:val="0"/>
      <w:marRight w:val="0"/>
      <w:marTop w:val="0"/>
      <w:marBottom w:val="0"/>
      <w:divBdr>
        <w:top w:val="none" w:sz="0" w:space="0" w:color="auto"/>
        <w:left w:val="none" w:sz="0" w:space="0" w:color="auto"/>
        <w:bottom w:val="none" w:sz="0" w:space="0" w:color="auto"/>
        <w:right w:val="none" w:sz="0" w:space="0" w:color="auto"/>
      </w:divBdr>
    </w:div>
    <w:div w:id="1004555812">
      <w:bodyDiv w:val="1"/>
      <w:marLeft w:val="0"/>
      <w:marRight w:val="0"/>
      <w:marTop w:val="0"/>
      <w:marBottom w:val="0"/>
      <w:divBdr>
        <w:top w:val="none" w:sz="0" w:space="0" w:color="auto"/>
        <w:left w:val="none" w:sz="0" w:space="0" w:color="auto"/>
        <w:bottom w:val="none" w:sz="0" w:space="0" w:color="auto"/>
        <w:right w:val="none" w:sz="0" w:space="0" w:color="auto"/>
      </w:divBdr>
    </w:div>
    <w:div w:id="1122920037">
      <w:bodyDiv w:val="1"/>
      <w:marLeft w:val="0"/>
      <w:marRight w:val="0"/>
      <w:marTop w:val="0"/>
      <w:marBottom w:val="0"/>
      <w:divBdr>
        <w:top w:val="none" w:sz="0" w:space="0" w:color="auto"/>
        <w:left w:val="none" w:sz="0" w:space="0" w:color="auto"/>
        <w:bottom w:val="none" w:sz="0" w:space="0" w:color="auto"/>
        <w:right w:val="none" w:sz="0" w:space="0" w:color="auto"/>
      </w:divBdr>
    </w:div>
    <w:div w:id="1426338737">
      <w:bodyDiv w:val="1"/>
      <w:marLeft w:val="0"/>
      <w:marRight w:val="0"/>
      <w:marTop w:val="0"/>
      <w:marBottom w:val="0"/>
      <w:divBdr>
        <w:top w:val="none" w:sz="0" w:space="0" w:color="auto"/>
        <w:left w:val="none" w:sz="0" w:space="0" w:color="auto"/>
        <w:bottom w:val="none" w:sz="0" w:space="0" w:color="auto"/>
        <w:right w:val="none" w:sz="0" w:space="0" w:color="auto"/>
      </w:divBdr>
      <w:divsChild>
        <w:div w:id="1684627667">
          <w:marLeft w:val="360"/>
          <w:marRight w:val="0"/>
          <w:marTop w:val="200"/>
          <w:marBottom w:val="0"/>
          <w:divBdr>
            <w:top w:val="none" w:sz="0" w:space="0" w:color="auto"/>
            <w:left w:val="none" w:sz="0" w:space="0" w:color="auto"/>
            <w:bottom w:val="none" w:sz="0" w:space="0" w:color="auto"/>
            <w:right w:val="none" w:sz="0" w:space="0" w:color="auto"/>
          </w:divBdr>
        </w:div>
        <w:div w:id="2070372612">
          <w:marLeft w:val="547"/>
          <w:marRight w:val="0"/>
          <w:marTop w:val="200"/>
          <w:marBottom w:val="0"/>
          <w:divBdr>
            <w:top w:val="none" w:sz="0" w:space="0" w:color="auto"/>
            <w:left w:val="none" w:sz="0" w:space="0" w:color="auto"/>
            <w:bottom w:val="none" w:sz="0" w:space="0" w:color="auto"/>
            <w:right w:val="none" w:sz="0" w:space="0" w:color="auto"/>
          </w:divBdr>
        </w:div>
        <w:div w:id="1993633572">
          <w:marLeft w:val="547"/>
          <w:marRight w:val="0"/>
          <w:marTop w:val="200"/>
          <w:marBottom w:val="0"/>
          <w:divBdr>
            <w:top w:val="none" w:sz="0" w:space="0" w:color="auto"/>
            <w:left w:val="none" w:sz="0" w:space="0" w:color="auto"/>
            <w:bottom w:val="none" w:sz="0" w:space="0" w:color="auto"/>
            <w:right w:val="none" w:sz="0" w:space="0" w:color="auto"/>
          </w:divBdr>
        </w:div>
        <w:div w:id="441264625">
          <w:marLeft w:val="547"/>
          <w:marRight w:val="0"/>
          <w:marTop w:val="200"/>
          <w:marBottom w:val="0"/>
          <w:divBdr>
            <w:top w:val="none" w:sz="0" w:space="0" w:color="auto"/>
            <w:left w:val="none" w:sz="0" w:space="0" w:color="auto"/>
            <w:bottom w:val="none" w:sz="0" w:space="0" w:color="auto"/>
            <w:right w:val="none" w:sz="0" w:space="0" w:color="auto"/>
          </w:divBdr>
        </w:div>
        <w:div w:id="1868332126">
          <w:marLeft w:val="547"/>
          <w:marRight w:val="0"/>
          <w:marTop w:val="200"/>
          <w:marBottom w:val="200"/>
          <w:divBdr>
            <w:top w:val="none" w:sz="0" w:space="0" w:color="auto"/>
            <w:left w:val="none" w:sz="0" w:space="0" w:color="auto"/>
            <w:bottom w:val="none" w:sz="0" w:space="0" w:color="auto"/>
            <w:right w:val="none" w:sz="0" w:space="0" w:color="auto"/>
          </w:divBdr>
        </w:div>
      </w:divsChild>
    </w:div>
    <w:div w:id="1537623085">
      <w:bodyDiv w:val="1"/>
      <w:marLeft w:val="0"/>
      <w:marRight w:val="0"/>
      <w:marTop w:val="0"/>
      <w:marBottom w:val="0"/>
      <w:divBdr>
        <w:top w:val="none" w:sz="0" w:space="0" w:color="auto"/>
        <w:left w:val="none" w:sz="0" w:space="0" w:color="auto"/>
        <w:bottom w:val="none" w:sz="0" w:space="0" w:color="auto"/>
        <w:right w:val="none" w:sz="0" w:space="0" w:color="auto"/>
      </w:divBdr>
      <w:divsChild>
        <w:div w:id="1282809220">
          <w:marLeft w:val="360"/>
          <w:marRight w:val="0"/>
          <w:marTop w:val="200"/>
          <w:marBottom w:val="0"/>
          <w:divBdr>
            <w:top w:val="none" w:sz="0" w:space="0" w:color="auto"/>
            <w:left w:val="none" w:sz="0" w:space="0" w:color="auto"/>
            <w:bottom w:val="none" w:sz="0" w:space="0" w:color="auto"/>
            <w:right w:val="none" w:sz="0" w:space="0" w:color="auto"/>
          </w:divBdr>
        </w:div>
      </w:divsChild>
    </w:div>
    <w:div w:id="19838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4</Pages>
  <Words>1846</Words>
  <Characters>10155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72</cp:revision>
  <dcterms:created xsi:type="dcterms:W3CDTF">2021-12-14T08:03:00Z</dcterms:created>
  <dcterms:modified xsi:type="dcterms:W3CDTF">2025-11-06T12:32:00Z</dcterms:modified>
</cp:coreProperties>
</file>