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7F1668" w:rsidRDefault="006B416E" w:rsidP="00854EEA">
      <w:pPr>
        <w:jc w:val="center"/>
        <w:rPr>
          <w:rFonts w:ascii="Verdana" w:hAnsi="Verdana"/>
          <w:b/>
          <w:bCs/>
          <w:sz w:val="2"/>
          <w:szCs w:val="2"/>
        </w:rPr>
      </w:pPr>
      <w:r w:rsidRPr="007F1668">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rsidRPr="007F1668" w14:paraId="51109D41" w14:textId="77777777" w:rsidTr="000E2E1E">
        <w:tc>
          <w:tcPr>
            <w:tcW w:w="9062" w:type="dxa"/>
            <w:gridSpan w:val="2"/>
          </w:tcPr>
          <w:p w14:paraId="6FC76F95" w14:textId="7599B9C4" w:rsidR="00EC22CC" w:rsidRPr="007F1668" w:rsidRDefault="0091069C" w:rsidP="00854EEA">
            <w:pPr>
              <w:jc w:val="center"/>
              <w:rPr>
                <w:rFonts w:ascii="Verdana" w:hAnsi="Verdana"/>
                <w:b/>
                <w:bCs/>
                <w:sz w:val="20"/>
                <w:szCs w:val="20"/>
              </w:rPr>
            </w:pPr>
            <w:r w:rsidRPr="007F1668">
              <w:rPr>
                <w:rFonts w:ascii="Verdana" w:hAnsi="Verdana"/>
                <w:b/>
                <w:bCs/>
                <w:sz w:val="20"/>
                <w:szCs w:val="20"/>
              </w:rPr>
              <w:t xml:space="preserve">Coopération </w:t>
            </w:r>
            <w:r w:rsidR="00637AEE" w:rsidRPr="007F1668">
              <w:rPr>
                <w:rFonts w:ascii="Verdana" w:hAnsi="Verdana"/>
                <w:b/>
                <w:bCs/>
                <w:sz w:val="20"/>
                <w:szCs w:val="20"/>
              </w:rPr>
              <w:t xml:space="preserve">économique </w:t>
            </w:r>
          </w:p>
        </w:tc>
      </w:tr>
      <w:tr w:rsidR="00EC22CC" w:rsidRPr="007F1668" w14:paraId="7F1B63D2" w14:textId="77777777" w:rsidTr="002A0933">
        <w:tc>
          <w:tcPr>
            <w:tcW w:w="7225" w:type="dxa"/>
          </w:tcPr>
          <w:p w14:paraId="056D9B10" w14:textId="367704E1" w:rsidR="00EC22CC" w:rsidRPr="007F1668" w:rsidRDefault="006B416E" w:rsidP="002A096E">
            <w:pPr>
              <w:rPr>
                <w:rFonts w:ascii="Verdana" w:hAnsi="Verdana"/>
                <w:sz w:val="20"/>
                <w:szCs w:val="20"/>
              </w:rPr>
            </w:pPr>
            <w:r w:rsidRPr="007F1668">
              <w:rPr>
                <w:rFonts w:ascii="Verdana" w:hAnsi="Verdana"/>
                <w:sz w:val="20"/>
                <w:szCs w:val="20"/>
              </w:rPr>
              <w:t>Comité des OPL 0</w:t>
            </w:r>
            <w:r w:rsidR="00BB0817" w:rsidRPr="007F1668">
              <w:rPr>
                <w:rFonts w:ascii="Verdana" w:hAnsi="Verdana"/>
                <w:sz w:val="20"/>
                <w:szCs w:val="20"/>
              </w:rPr>
              <w:t>2</w:t>
            </w:r>
            <w:r w:rsidRPr="007F1668">
              <w:rPr>
                <w:rFonts w:ascii="Verdana" w:hAnsi="Verdana"/>
                <w:sz w:val="20"/>
                <w:szCs w:val="20"/>
              </w:rPr>
              <w:t>/202</w:t>
            </w:r>
            <w:r w:rsidR="00BB368C" w:rsidRPr="007F1668">
              <w:rPr>
                <w:rFonts w:ascii="Verdana" w:hAnsi="Verdana"/>
                <w:sz w:val="20"/>
                <w:szCs w:val="20"/>
              </w:rPr>
              <w:t>5</w:t>
            </w:r>
            <w:r w:rsidRPr="007F1668">
              <w:rPr>
                <w:rFonts w:ascii="Verdana" w:hAnsi="Verdana"/>
                <w:sz w:val="20"/>
                <w:szCs w:val="20"/>
              </w:rPr>
              <w:t xml:space="preserve">, Maurice </w:t>
            </w:r>
            <w:r w:rsidR="00BB0817" w:rsidRPr="007F1668">
              <w:rPr>
                <w:rFonts w:ascii="Verdana" w:hAnsi="Verdana"/>
                <w:sz w:val="20"/>
                <w:szCs w:val="20"/>
              </w:rPr>
              <w:t>11 au 13 novembre</w:t>
            </w:r>
            <w:r w:rsidR="00BB368C" w:rsidRPr="007F1668">
              <w:rPr>
                <w:rFonts w:ascii="Verdana" w:hAnsi="Verdana"/>
                <w:sz w:val="20"/>
                <w:szCs w:val="20"/>
              </w:rPr>
              <w:t xml:space="preserve"> </w:t>
            </w:r>
            <w:r w:rsidRPr="007F1668">
              <w:rPr>
                <w:rFonts w:ascii="Verdana" w:hAnsi="Verdana"/>
                <w:sz w:val="20"/>
                <w:szCs w:val="20"/>
              </w:rPr>
              <w:t>202</w:t>
            </w:r>
            <w:r w:rsidR="00CE4290" w:rsidRPr="007F1668">
              <w:rPr>
                <w:rFonts w:ascii="Verdana" w:hAnsi="Verdana"/>
                <w:sz w:val="20"/>
                <w:szCs w:val="20"/>
              </w:rPr>
              <w:t>5</w:t>
            </w:r>
          </w:p>
        </w:tc>
        <w:tc>
          <w:tcPr>
            <w:tcW w:w="1837" w:type="dxa"/>
          </w:tcPr>
          <w:p w14:paraId="58E25D1F" w14:textId="5CE94CFE" w:rsidR="00EC22CC" w:rsidRPr="007F1668" w:rsidRDefault="002A096E" w:rsidP="00854EEA">
            <w:pPr>
              <w:jc w:val="center"/>
              <w:rPr>
                <w:rFonts w:ascii="Verdana" w:hAnsi="Verdana"/>
                <w:sz w:val="20"/>
                <w:szCs w:val="20"/>
              </w:rPr>
            </w:pPr>
            <w:r w:rsidRPr="007F1668">
              <w:rPr>
                <w:rFonts w:ascii="Verdana" w:hAnsi="Verdana"/>
                <w:sz w:val="20"/>
                <w:szCs w:val="20"/>
              </w:rPr>
              <w:t xml:space="preserve">Point </w:t>
            </w:r>
            <w:r w:rsidR="00BB0817" w:rsidRPr="007F1668">
              <w:rPr>
                <w:rFonts w:ascii="Verdana" w:hAnsi="Verdana"/>
                <w:sz w:val="20"/>
                <w:szCs w:val="20"/>
              </w:rPr>
              <w:t>2.5</w:t>
            </w:r>
          </w:p>
        </w:tc>
      </w:tr>
      <w:tr w:rsidR="00EC22CC" w:rsidRPr="007F1668" w14:paraId="537D1DE5" w14:textId="77777777" w:rsidTr="002A0933">
        <w:tc>
          <w:tcPr>
            <w:tcW w:w="7225" w:type="dxa"/>
          </w:tcPr>
          <w:p w14:paraId="43DEF09E" w14:textId="36A5F0B9" w:rsidR="00EC22CC" w:rsidRPr="007F1668" w:rsidRDefault="00A148A1" w:rsidP="002A096E">
            <w:pPr>
              <w:rPr>
                <w:rFonts w:ascii="Verdana" w:hAnsi="Verdana"/>
                <w:sz w:val="20"/>
                <w:szCs w:val="20"/>
              </w:rPr>
            </w:pPr>
            <w:r w:rsidRPr="007F1668">
              <w:rPr>
                <w:rFonts w:ascii="Verdana" w:hAnsi="Verdana"/>
                <w:i/>
                <w:iCs/>
                <w:sz w:val="20"/>
                <w:szCs w:val="20"/>
              </w:rPr>
              <w:t>Dossier suivi par :</w:t>
            </w:r>
            <w:r w:rsidR="00EC22CC" w:rsidRPr="007F1668">
              <w:rPr>
                <w:rFonts w:ascii="Verdana" w:hAnsi="Verdana"/>
                <w:sz w:val="20"/>
                <w:szCs w:val="20"/>
              </w:rPr>
              <w:t xml:space="preserve"> </w:t>
            </w:r>
            <w:r w:rsidR="006B416E" w:rsidRPr="007F1668">
              <w:rPr>
                <w:rFonts w:ascii="Verdana" w:hAnsi="Verdana"/>
                <w:sz w:val="20"/>
                <w:szCs w:val="20"/>
              </w:rPr>
              <w:t>Raj, MOHABEER</w:t>
            </w:r>
            <w:r w:rsidR="0018252D" w:rsidRPr="007F1668">
              <w:rPr>
                <w:rFonts w:ascii="Verdana" w:hAnsi="Verdana"/>
                <w:sz w:val="20"/>
                <w:szCs w:val="20"/>
              </w:rPr>
              <w:t xml:space="preserve">, </w:t>
            </w:r>
            <w:r w:rsidR="006B416E" w:rsidRPr="007F1668">
              <w:rPr>
                <w:rFonts w:ascii="Verdana" w:hAnsi="Verdana"/>
                <w:sz w:val="20"/>
                <w:szCs w:val="20"/>
              </w:rPr>
              <w:t>chargé de mission</w:t>
            </w:r>
          </w:p>
        </w:tc>
        <w:tc>
          <w:tcPr>
            <w:tcW w:w="1837" w:type="dxa"/>
          </w:tcPr>
          <w:p w14:paraId="5AC1AFAB" w14:textId="75969D61" w:rsidR="00EC22CC" w:rsidRPr="007F1668" w:rsidRDefault="004607F7" w:rsidP="00854EEA">
            <w:pPr>
              <w:jc w:val="center"/>
              <w:rPr>
                <w:rFonts w:ascii="Verdana" w:hAnsi="Verdana"/>
                <w:sz w:val="20"/>
                <w:szCs w:val="20"/>
              </w:rPr>
            </w:pPr>
            <w:r w:rsidRPr="007F1668">
              <w:rPr>
                <w:rFonts w:ascii="Verdana" w:hAnsi="Verdana"/>
                <w:sz w:val="20"/>
                <w:szCs w:val="20"/>
              </w:rPr>
              <w:t>Décision</w:t>
            </w:r>
            <w:r w:rsidRPr="007F1668">
              <w:rPr>
                <w:rFonts w:ascii="Verdana" w:hAnsi="Verdana"/>
                <w:sz w:val="20"/>
                <w:szCs w:val="20"/>
                <w:highlight w:val="yellow"/>
              </w:rPr>
              <w:t xml:space="preserve"> </w:t>
            </w:r>
          </w:p>
        </w:tc>
      </w:tr>
      <w:tr w:rsidR="00A90305" w:rsidRPr="007F1668" w14:paraId="6896DB30" w14:textId="77777777" w:rsidTr="009F5233">
        <w:tc>
          <w:tcPr>
            <w:tcW w:w="9062" w:type="dxa"/>
            <w:gridSpan w:val="2"/>
          </w:tcPr>
          <w:p w14:paraId="0495241B" w14:textId="2BEADCC8" w:rsidR="00A90305" w:rsidRPr="007F1668" w:rsidRDefault="00A90305" w:rsidP="00A90305">
            <w:pPr>
              <w:rPr>
                <w:rFonts w:ascii="Verdana" w:hAnsi="Verdana"/>
                <w:sz w:val="20"/>
                <w:szCs w:val="20"/>
              </w:rPr>
            </w:pPr>
            <w:r w:rsidRPr="007F1668">
              <w:rPr>
                <w:rFonts w:ascii="Verdana" w:hAnsi="Verdana"/>
                <w:i/>
                <w:iCs/>
                <w:sz w:val="20"/>
                <w:szCs w:val="20"/>
              </w:rPr>
              <w:t xml:space="preserve">Version du </w:t>
            </w:r>
            <w:r w:rsidR="00BB0817" w:rsidRPr="007F1668">
              <w:rPr>
                <w:rFonts w:ascii="Verdana" w:hAnsi="Verdana"/>
                <w:i/>
                <w:iCs/>
                <w:sz w:val="20"/>
                <w:szCs w:val="20"/>
              </w:rPr>
              <w:t>10/10</w:t>
            </w:r>
            <w:r w:rsidR="00E34CAE" w:rsidRPr="007F1668">
              <w:rPr>
                <w:rFonts w:ascii="Verdana" w:hAnsi="Verdana"/>
                <w:i/>
                <w:iCs/>
                <w:sz w:val="20"/>
                <w:szCs w:val="20"/>
              </w:rPr>
              <w:t>/2025</w:t>
            </w:r>
            <w:r w:rsidRPr="007F1668">
              <w:rPr>
                <w:rFonts w:ascii="Verdana" w:hAnsi="Verdana"/>
                <w:i/>
                <w:iCs/>
                <w:sz w:val="20"/>
                <w:szCs w:val="20"/>
              </w:rPr>
              <w:t xml:space="preserve"> </w:t>
            </w:r>
          </w:p>
        </w:tc>
      </w:tr>
    </w:tbl>
    <w:p w14:paraId="1611BCC4" w14:textId="77777777" w:rsidR="00854EEA" w:rsidRPr="007F1668" w:rsidRDefault="00854EEA" w:rsidP="00816DAC">
      <w:pPr>
        <w:pStyle w:val="Paragraphe"/>
      </w:pPr>
      <w:bookmarkStart w:id="0" w:name="_Hlk24535240"/>
    </w:p>
    <w:p w14:paraId="678F0DFC" w14:textId="3923B394" w:rsidR="00854EEA" w:rsidRPr="007F1668" w:rsidRDefault="00955BB3" w:rsidP="00A70123">
      <w:pPr>
        <w:pStyle w:val="Titrepartie"/>
      </w:pPr>
      <w:r w:rsidRPr="007F1668">
        <w:t>Résumé</w:t>
      </w:r>
    </w:p>
    <w:p w14:paraId="52DDF623" w14:textId="77777777" w:rsidR="0091069C" w:rsidRPr="007F1668" w:rsidRDefault="0091069C" w:rsidP="0091069C">
      <w:pPr>
        <w:pStyle w:val="Titrepartie"/>
        <w:numPr>
          <w:ilvl w:val="0"/>
          <w:numId w:val="0"/>
        </w:numPr>
      </w:pPr>
    </w:p>
    <w:p w14:paraId="53709D15" w14:textId="342951AE" w:rsidR="002837C0" w:rsidRPr="007F1668" w:rsidRDefault="00D1782C" w:rsidP="002837C0">
      <w:pPr>
        <w:pStyle w:val="Titrepartie"/>
        <w:numPr>
          <w:ilvl w:val="0"/>
          <w:numId w:val="0"/>
        </w:numPr>
        <w:rPr>
          <w:b w:val="0"/>
          <w:bCs w:val="0"/>
          <w:color w:val="auto"/>
          <w:sz w:val="20"/>
        </w:rPr>
      </w:pPr>
      <w:r w:rsidRPr="007F1668">
        <w:rPr>
          <w:b w:val="0"/>
          <w:bCs w:val="0"/>
          <w:color w:val="auto"/>
          <w:sz w:val="20"/>
        </w:rPr>
        <w:t>En cohérence avec le P</w:t>
      </w:r>
      <w:r w:rsidR="00BB0817" w:rsidRPr="007F1668">
        <w:rPr>
          <w:b w:val="0"/>
          <w:bCs w:val="0"/>
          <w:color w:val="auto"/>
          <w:sz w:val="20"/>
        </w:rPr>
        <w:t>lan de développement stratégique 2023-2033</w:t>
      </w:r>
      <w:r w:rsidRPr="007F1668">
        <w:rPr>
          <w:b w:val="0"/>
          <w:bCs w:val="0"/>
          <w:color w:val="auto"/>
          <w:sz w:val="20"/>
        </w:rPr>
        <w:t xml:space="preserve"> – axe 2</w:t>
      </w:r>
      <w:r w:rsidR="00BB0817" w:rsidRPr="007F1668">
        <w:rPr>
          <w:b w:val="0"/>
          <w:bCs w:val="0"/>
          <w:color w:val="auto"/>
          <w:sz w:val="20"/>
        </w:rPr>
        <w:t>, en faveur d’</w:t>
      </w:r>
      <w:r w:rsidR="0091069C" w:rsidRPr="007F1668">
        <w:rPr>
          <w:b w:val="0"/>
          <w:bCs w:val="0"/>
          <w:color w:val="auto"/>
          <w:sz w:val="20"/>
        </w:rPr>
        <w:t xml:space="preserve">une Indianocéanie de développement économique intégré, durable et innovant, </w:t>
      </w:r>
      <w:r w:rsidR="00806CEC" w:rsidRPr="007F1668">
        <w:rPr>
          <w:b w:val="0"/>
          <w:bCs w:val="0"/>
          <w:color w:val="auto"/>
          <w:sz w:val="20"/>
        </w:rPr>
        <w:t>et en application des décisions des instances</w:t>
      </w:r>
      <w:r w:rsidR="00B627E8" w:rsidRPr="007F1668">
        <w:rPr>
          <w:b w:val="0"/>
          <w:bCs w:val="0"/>
          <w:color w:val="auto"/>
          <w:sz w:val="20"/>
        </w:rPr>
        <w:t xml:space="preserve">, le Secrétariat général de la COI </w:t>
      </w:r>
      <w:r w:rsidR="006C4A37" w:rsidRPr="007F1668">
        <w:rPr>
          <w:b w:val="0"/>
          <w:bCs w:val="0"/>
          <w:color w:val="auto"/>
          <w:sz w:val="20"/>
        </w:rPr>
        <w:t xml:space="preserve">a avancé sur des dossiers et initiatives portant sur </w:t>
      </w:r>
      <w:r w:rsidR="0091069C" w:rsidRPr="007F1668">
        <w:rPr>
          <w:b w:val="0"/>
          <w:bCs w:val="0"/>
          <w:color w:val="auto"/>
          <w:sz w:val="20"/>
        </w:rPr>
        <w:t>l</w:t>
      </w:r>
      <w:r w:rsidR="002837C0" w:rsidRPr="007F1668">
        <w:rPr>
          <w:b w:val="0"/>
          <w:bCs w:val="0"/>
          <w:color w:val="auto"/>
          <w:sz w:val="20"/>
        </w:rPr>
        <w:t>e renforcement de la coopération régionale douanière</w:t>
      </w:r>
      <w:r w:rsidR="00477738" w:rsidRPr="007F1668">
        <w:rPr>
          <w:b w:val="0"/>
          <w:bCs w:val="0"/>
          <w:color w:val="auto"/>
          <w:sz w:val="20"/>
        </w:rPr>
        <w:t xml:space="preserve">, </w:t>
      </w:r>
      <w:r w:rsidR="00BB0817" w:rsidRPr="007F1668">
        <w:rPr>
          <w:b w:val="0"/>
          <w:bCs w:val="0"/>
          <w:color w:val="auto"/>
          <w:sz w:val="20"/>
        </w:rPr>
        <w:t xml:space="preserve"> </w:t>
      </w:r>
      <w:r w:rsidR="00502DAA" w:rsidRPr="007F1668">
        <w:rPr>
          <w:b w:val="0"/>
          <w:bCs w:val="0"/>
          <w:color w:val="auto"/>
          <w:sz w:val="20"/>
        </w:rPr>
        <w:t>la facilitation d’un</w:t>
      </w:r>
      <w:r w:rsidR="00BB0817" w:rsidRPr="007F1668">
        <w:rPr>
          <w:b w:val="0"/>
          <w:bCs w:val="0"/>
          <w:color w:val="auto"/>
          <w:sz w:val="20"/>
        </w:rPr>
        <w:t xml:space="preserve"> dialogue économique entre les gouvernements, les agences de promotion des investissements (API) des îles de l’océan Indien, et le secteur privé</w:t>
      </w:r>
      <w:r w:rsidR="00477738" w:rsidRPr="007F1668">
        <w:rPr>
          <w:b w:val="0"/>
          <w:bCs w:val="0"/>
          <w:color w:val="auto"/>
          <w:sz w:val="20"/>
        </w:rPr>
        <w:t xml:space="preserve"> ainsi qu</w:t>
      </w:r>
      <w:r w:rsidR="000A1617" w:rsidRPr="007F1668">
        <w:rPr>
          <w:b w:val="0"/>
          <w:bCs w:val="0"/>
          <w:color w:val="auto"/>
          <w:sz w:val="20"/>
        </w:rPr>
        <w:t>e sur la connectivité aérienne</w:t>
      </w:r>
      <w:r w:rsidR="00635A41" w:rsidRPr="007F1668">
        <w:rPr>
          <w:b w:val="0"/>
          <w:bCs w:val="0"/>
          <w:color w:val="auto"/>
          <w:sz w:val="20"/>
        </w:rPr>
        <w:t>, maritime</w:t>
      </w:r>
      <w:r w:rsidR="000A1617" w:rsidRPr="007F1668">
        <w:rPr>
          <w:b w:val="0"/>
          <w:bCs w:val="0"/>
          <w:color w:val="auto"/>
          <w:sz w:val="20"/>
        </w:rPr>
        <w:t xml:space="preserve"> et numérique dans le cadre élargi du COMESA</w:t>
      </w:r>
      <w:r w:rsidR="002837C0" w:rsidRPr="007F1668">
        <w:rPr>
          <w:b w:val="0"/>
          <w:bCs w:val="0"/>
          <w:color w:val="auto"/>
          <w:sz w:val="20"/>
        </w:rPr>
        <w:t xml:space="preserve">. </w:t>
      </w:r>
    </w:p>
    <w:p w14:paraId="0D9D8C94" w14:textId="77777777" w:rsidR="002837C0" w:rsidRPr="007F1668" w:rsidRDefault="002837C0" w:rsidP="002837C0">
      <w:pPr>
        <w:pStyle w:val="Titrepartie"/>
        <w:numPr>
          <w:ilvl w:val="0"/>
          <w:numId w:val="0"/>
        </w:numPr>
        <w:rPr>
          <w:b w:val="0"/>
          <w:bCs w:val="0"/>
          <w:color w:val="auto"/>
          <w:sz w:val="20"/>
        </w:rPr>
      </w:pPr>
    </w:p>
    <w:p w14:paraId="7E2470E3" w14:textId="1787E533" w:rsidR="0091069C" w:rsidRPr="007F1668" w:rsidRDefault="00955BB3" w:rsidP="002837C0">
      <w:pPr>
        <w:pStyle w:val="Titrepartie"/>
      </w:pPr>
      <w:r w:rsidRPr="007F1668">
        <w:t>Etat d’avancement</w:t>
      </w:r>
    </w:p>
    <w:p w14:paraId="57B998EB" w14:textId="13207958" w:rsidR="00BB0817" w:rsidRPr="007F1668" w:rsidRDefault="00BB0817" w:rsidP="00BB0817">
      <w:pPr>
        <w:pStyle w:val="Sous-partie2"/>
      </w:pPr>
      <w:bookmarkStart w:id="1" w:name="_Hlk161827325"/>
      <w:r w:rsidRPr="007F1668">
        <w:t>Coopération douanière</w:t>
      </w:r>
    </w:p>
    <w:bookmarkEnd w:id="1"/>
    <w:p w14:paraId="48F72750" w14:textId="55B5D54C" w:rsidR="00016A3F" w:rsidRPr="007F1668" w:rsidRDefault="00016A3F" w:rsidP="00016A3F">
      <w:pPr>
        <w:pStyle w:val="Titrepartie"/>
        <w:numPr>
          <w:ilvl w:val="0"/>
          <w:numId w:val="0"/>
        </w:numPr>
        <w:rPr>
          <w:b w:val="0"/>
          <w:bCs w:val="0"/>
          <w:color w:val="auto"/>
          <w:sz w:val="20"/>
        </w:rPr>
      </w:pPr>
      <w:r w:rsidRPr="007F1668">
        <w:rPr>
          <w:b w:val="0"/>
          <w:bCs w:val="0"/>
          <w:color w:val="auto"/>
          <w:sz w:val="20"/>
        </w:rPr>
        <w:t>Conformément à la décision du 37e Conseil des ministres et aux textes régissant l’organisation, il a ainsi été proposé que le Secrétariat général de la COI assure le rôle de secrétariat du Comité. Ce rôle permettra au Secrétariat général de rendre compte aux instances des initiatives proposées par le Comité des douanes et, le cas échéant, de convenir des actions communes avec la COI ou dans le cadre de projets et initiatives portées par la COI. De ce qui précède, les représentants des administrations douanières ont convenu d’organiser une première réunion officielle le 03 octobre 2025 pour formaliser la création du Comité des douanes au Mauritius Revenu</w:t>
      </w:r>
      <w:r w:rsidR="00C15678">
        <w:rPr>
          <w:b w:val="0"/>
          <w:bCs w:val="0"/>
          <w:color w:val="auto"/>
          <w:sz w:val="20"/>
        </w:rPr>
        <w:t>e</w:t>
      </w:r>
      <w:r w:rsidRPr="007F1668">
        <w:rPr>
          <w:b w:val="0"/>
          <w:bCs w:val="0"/>
          <w:color w:val="auto"/>
          <w:sz w:val="20"/>
        </w:rPr>
        <w:t xml:space="preserve"> </w:t>
      </w:r>
      <w:proofErr w:type="spellStart"/>
      <w:r w:rsidRPr="007F1668">
        <w:rPr>
          <w:b w:val="0"/>
          <w:bCs w:val="0"/>
          <w:color w:val="auto"/>
          <w:sz w:val="20"/>
        </w:rPr>
        <w:t>Authority</w:t>
      </w:r>
      <w:proofErr w:type="spellEnd"/>
      <w:r w:rsidRPr="007F1668">
        <w:rPr>
          <w:b w:val="0"/>
          <w:bCs w:val="0"/>
          <w:color w:val="auto"/>
          <w:sz w:val="20"/>
        </w:rPr>
        <w:t>, à Maurice.</w:t>
      </w:r>
    </w:p>
    <w:p w14:paraId="44A4CAB1" w14:textId="77777777" w:rsidR="00016A3F" w:rsidRPr="007F1668" w:rsidRDefault="00016A3F" w:rsidP="00016A3F">
      <w:pPr>
        <w:pStyle w:val="Titrepartie"/>
        <w:numPr>
          <w:ilvl w:val="0"/>
          <w:numId w:val="0"/>
        </w:numPr>
        <w:rPr>
          <w:b w:val="0"/>
          <w:bCs w:val="0"/>
          <w:color w:val="auto"/>
          <w:sz w:val="20"/>
        </w:rPr>
      </w:pPr>
    </w:p>
    <w:p w14:paraId="0100BD0D" w14:textId="346476B2" w:rsidR="00016A3F" w:rsidRPr="007F1668" w:rsidRDefault="00016A3F" w:rsidP="00016A3F">
      <w:pPr>
        <w:pStyle w:val="Titrepartie"/>
        <w:numPr>
          <w:ilvl w:val="0"/>
          <w:numId w:val="0"/>
        </w:numPr>
        <w:rPr>
          <w:b w:val="0"/>
          <w:bCs w:val="0"/>
          <w:color w:val="auto"/>
          <w:sz w:val="20"/>
        </w:rPr>
      </w:pPr>
      <w:r w:rsidRPr="007F1668">
        <w:rPr>
          <w:b w:val="0"/>
          <w:bCs w:val="0"/>
          <w:color w:val="auto"/>
          <w:sz w:val="20"/>
        </w:rPr>
        <w:t xml:space="preserve">Les membres ont convenu des modalités organisationnelles et du fonctionnement du comité. Ils ont adopté, également, les éléments constitutifs de la feuille de route régionale 2026, articulée autour de trois axes : </w:t>
      </w:r>
    </w:p>
    <w:p w14:paraId="1BCD8575" w14:textId="77777777" w:rsidR="007F1668" w:rsidRPr="007F1668" w:rsidRDefault="007F1668" w:rsidP="00016A3F">
      <w:pPr>
        <w:pStyle w:val="Titrepartie"/>
        <w:numPr>
          <w:ilvl w:val="0"/>
          <w:numId w:val="0"/>
        </w:numPr>
        <w:rPr>
          <w:b w:val="0"/>
          <w:bCs w:val="0"/>
          <w:color w:val="auto"/>
          <w:sz w:val="20"/>
        </w:rPr>
      </w:pPr>
    </w:p>
    <w:p w14:paraId="1461398C" w14:textId="77777777" w:rsidR="00016A3F" w:rsidRPr="007F1668" w:rsidRDefault="00016A3F" w:rsidP="007F1668">
      <w:pPr>
        <w:pStyle w:val="Titrepartie"/>
        <w:numPr>
          <w:ilvl w:val="0"/>
          <w:numId w:val="44"/>
        </w:numPr>
        <w:spacing w:after="120" w:line="240" w:lineRule="auto"/>
        <w:ind w:left="357" w:hanging="357"/>
        <w:contextualSpacing w:val="0"/>
        <w:rPr>
          <w:b w:val="0"/>
          <w:bCs w:val="0"/>
          <w:color w:val="auto"/>
          <w:sz w:val="20"/>
        </w:rPr>
      </w:pPr>
      <w:r w:rsidRPr="007F1668">
        <w:rPr>
          <w:b w:val="0"/>
          <w:bCs w:val="0"/>
          <w:color w:val="auto"/>
          <w:sz w:val="20"/>
        </w:rPr>
        <w:t xml:space="preserve">Le premier concerne la facilitation des échanges commerciaux à travers la création d’un portail régional fournissant les informations règlementaires relatives à l’import/export et autres régimes douaniers pertinents de chaque pays, un réseau de Cellules conseil aux entreprises à l’échelle de la région pour mieux les orienter ; </w:t>
      </w:r>
    </w:p>
    <w:p w14:paraId="6DF89FF4" w14:textId="77777777" w:rsidR="00016A3F" w:rsidRPr="007F1668" w:rsidRDefault="00016A3F" w:rsidP="007F1668">
      <w:pPr>
        <w:pStyle w:val="Titrepartie"/>
        <w:numPr>
          <w:ilvl w:val="0"/>
          <w:numId w:val="44"/>
        </w:numPr>
        <w:spacing w:after="120" w:line="240" w:lineRule="auto"/>
        <w:ind w:left="357" w:hanging="357"/>
        <w:contextualSpacing w:val="0"/>
        <w:rPr>
          <w:b w:val="0"/>
          <w:bCs w:val="0"/>
          <w:color w:val="auto"/>
          <w:sz w:val="20"/>
        </w:rPr>
      </w:pPr>
      <w:r w:rsidRPr="007F1668">
        <w:rPr>
          <w:b w:val="0"/>
          <w:bCs w:val="0"/>
          <w:color w:val="auto"/>
          <w:sz w:val="20"/>
        </w:rPr>
        <w:t xml:space="preserve">Le deuxième traite la sécurisation régionale : échanges de renseignements, lutte contre les trafics, systèmes d’alerte conjoints en cas de crise ou de découverte importante mettant en jeu la sécurité de la population de la région ; </w:t>
      </w:r>
    </w:p>
    <w:p w14:paraId="761D4AD9" w14:textId="2F29B876" w:rsidR="00016A3F" w:rsidRPr="007F1668" w:rsidRDefault="00016A3F" w:rsidP="007F1668">
      <w:pPr>
        <w:pStyle w:val="Titrepartie"/>
        <w:numPr>
          <w:ilvl w:val="0"/>
          <w:numId w:val="44"/>
        </w:numPr>
        <w:spacing w:after="120" w:line="240" w:lineRule="auto"/>
        <w:ind w:left="357" w:hanging="357"/>
        <w:contextualSpacing w:val="0"/>
        <w:rPr>
          <w:b w:val="0"/>
          <w:bCs w:val="0"/>
          <w:color w:val="auto"/>
          <w:sz w:val="20"/>
        </w:rPr>
      </w:pPr>
      <w:r w:rsidRPr="007F1668">
        <w:rPr>
          <w:b w:val="0"/>
          <w:bCs w:val="0"/>
          <w:color w:val="auto"/>
          <w:sz w:val="20"/>
        </w:rPr>
        <w:t xml:space="preserve">Le troisième axe se focalise sur le renforcement des synergies régionales à travers l’articulation avec les projets de la COI (sécurité maritime, industrie créative et culturelle, commerce, économie circulaire, assistance en cas d’urgence), les réponses aux défis rencontrés dans les transferts et les envois des matériels et les équipements vers les </w:t>
      </w:r>
      <w:r w:rsidR="007F1668" w:rsidRPr="007F1668">
        <w:rPr>
          <w:b w:val="0"/>
          <w:bCs w:val="0"/>
          <w:color w:val="auto"/>
          <w:sz w:val="20"/>
        </w:rPr>
        <w:t>États</w:t>
      </w:r>
      <w:r w:rsidRPr="007F1668">
        <w:rPr>
          <w:b w:val="0"/>
          <w:bCs w:val="0"/>
          <w:color w:val="auto"/>
          <w:sz w:val="20"/>
        </w:rPr>
        <w:t xml:space="preserve">-membres de la COI, mise en place d’ateliers techniques (certificat d’origine, cadre multilatéral d’assistance mutuelle, sécurité portuaire et maritime, transport des déchets inter-îles) ainsi que le plaidoyer dans les fora régionaux et internationaux. </w:t>
      </w:r>
    </w:p>
    <w:p w14:paraId="3E6F947C" w14:textId="77777777" w:rsidR="007F1668" w:rsidRPr="007F1668" w:rsidRDefault="007F1668" w:rsidP="007F1668">
      <w:pPr>
        <w:pStyle w:val="Titrepartie"/>
        <w:numPr>
          <w:ilvl w:val="0"/>
          <w:numId w:val="0"/>
        </w:numPr>
        <w:ind w:left="360"/>
        <w:rPr>
          <w:b w:val="0"/>
          <w:bCs w:val="0"/>
          <w:color w:val="auto"/>
          <w:sz w:val="20"/>
        </w:rPr>
      </w:pPr>
    </w:p>
    <w:p w14:paraId="5C69BB25" w14:textId="7AB70B85" w:rsidR="00564AD2" w:rsidRPr="007F1668" w:rsidRDefault="00A75821" w:rsidP="00016A3F">
      <w:pPr>
        <w:pStyle w:val="Titrepartie"/>
        <w:numPr>
          <w:ilvl w:val="0"/>
          <w:numId w:val="0"/>
        </w:numPr>
        <w:rPr>
          <w:b w:val="0"/>
          <w:bCs w:val="0"/>
          <w:color w:val="auto"/>
          <w:sz w:val="20"/>
        </w:rPr>
      </w:pPr>
      <w:r w:rsidRPr="007F1668">
        <w:rPr>
          <w:b w:val="0"/>
          <w:bCs w:val="0"/>
          <w:color w:val="auto"/>
          <w:sz w:val="20"/>
        </w:rPr>
        <w:t xml:space="preserve">Il revient aux instances de fixer les orientations </w:t>
      </w:r>
      <w:r w:rsidR="005D3EBB" w:rsidRPr="007F1668">
        <w:rPr>
          <w:b w:val="0"/>
          <w:bCs w:val="0"/>
          <w:color w:val="auto"/>
          <w:sz w:val="20"/>
        </w:rPr>
        <w:t>sur les synergies et collaborations envisagées entre la COI et le Comité des douanes de l’océan Indien</w:t>
      </w:r>
      <w:r w:rsidR="002351B0" w:rsidRPr="007F1668">
        <w:rPr>
          <w:b w:val="0"/>
          <w:bCs w:val="0"/>
          <w:color w:val="auto"/>
          <w:sz w:val="20"/>
        </w:rPr>
        <w:t xml:space="preserve">, </w:t>
      </w:r>
      <w:r w:rsidR="00564AD2" w:rsidRPr="007F1668">
        <w:rPr>
          <w:b w:val="0"/>
          <w:bCs w:val="0"/>
          <w:color w:val="auto"/>
          <w:sz w:val="20"/>
        </w:rPr>
        <w:t>notamment :</w:t>
      </w:r>
    </w:p>
    <w:p w14:paraId="0881F253" w14:textId="033E172C" w:rsidR="00564AD2" w:rsidRPr="007F1668" w:rsidRDefault="00062DB3" w:rsidP="00F21684">
      <w:pPr>
        <w:pStyle w:val="Titrepartie"/>
        <w:numPr>
          <w:ilvl w:val="0"/>
          <w:numId w:val="44"/>
        </w:numPr>
        <w:ind w:left="360"/>
        <w:rPr>
          <w:b w:val="0"/>
          <w:bCs w:val="0"/>
          <w:i/>
          <w:iCs/>
          <w:color w:val="auto"/>
          <w:sz w:val="20"/>
        </w:rPr>
      </w:pPr>
      <w:r w:rsidRPr="007F1668">
        <w:rPr>
          <w:b w:val="0"/>
          <w:bCs w:val="0"/>
          <w:i/>
          <w:iCs/>
          <w:color w:val="auto"/>
          <w:sz w:val="20"/>
        </w:rPr>
        <w:t xml:space="preserve">Conformément au plaidoyer du </w:t>
      </w:r>
      <w:r w:rsidR="00564AD2" w:rsidRPr="007F1668">
        <w:rPr>
          <w:b w:val="0"/>
          <w:bCs w:val="0"/>
          <w:i/>
          <w:iCs/>
          <w:color w:val="auto"/>
          <w:sz w:val="20"/>
        </w:rPr>
        <w:t>projet « Industries culturelles et créatives », appuyer la circulation des biens et services culturels dans la région :  </w:t>
      </w:r>
    </w:p>
    <w:p w14:paraId="7C39FFFD" w14:textId="77777777" w:rsidR="00564AD2" w:rsidRPr="007F1668" w:rsidRDefault="00564AD2" w:rsidP="00F21684">
      <w:pPr>
        <w:pStyle w:val="Titrepartie"/>
        <w:numPr>
          <w:ilvl w:val="1"/>
          <w:numId w:val="44"/>
        </w:numPr>
        <w:rPr>
          <w:b w:val="0"/>
          <w:bCs w:val="0"/>
          <w:color w:val="auto"/>
          <w:sz w:val="20"/>
        </w:rPr>
      </w:pPr>
      <w:r w:rsidRPr="007F1668">
        <w:rPr>
          <w:b w:val="0"/>
          <w:bCs w:val="0"/>
          <w:color w:val="auto"/>
          <w:sz w:val="20"/>
        </w:rPr>
        <w:lastRenderedPageBreak/>
        <w:t>Clarifier et uniformiser le référentiel des biens et services culturels dans les procédures douanières pour assurer une identification correcte et un traitement approprié, tout en permettant leur circulation commerciale. </w:t>
      </w:r>
    </w:p>
    <w:p w14:paraId="581E82B2" w14:textId="77777777" w:rsidR="00564AD2" w:rsidRPr="007F1668" w:rsidRDefault="00564AD2" w:rsidP="00F21684">
      <w:pPr>
        <w:pStyle w:val="Titrepartie"/>
        <w:numPr>
          <w:ilvl w:val="1"/>
          <w:numId w:val="44"/>
        </w:numPr>
        <w:rPr>
          <w:b w:val="0"/>
          <w:bCs w:val="0"/>
          <w:color w:val="auto"/>
          <w:sz w:val="20"/>
        </w:rPr>
      </w:pPr>
      <w:r w:rsidRPr="007F1668">
        <w:rPr>
          <w:b w:val="0"/>
          <w:bCs w:val="0"/>
          <w:color w:val="auto"/>
          <w:sz w:val="20"/>
        </w:rPr>
        <w:t>Instaurer des procédures optimisées et accélérées pour les biens culturels destinés à l’exportation permanente ou temporaire (expositions, tournées, festivals). Cela inclut, par exemple, un musicien transportant ses instruments pour une tournée régionale, un artiste envoyant ses œuvres pour une exposition, ou du matériel audiovisuel destiné à un tournage ou un festival. </w:t>
      </w:r>
    </w:p>
    <w:p w14:paraId="2588D52F" w14:textId="77777777" w:rsidR="00564AD2" w:rsidRPr="007F1668" w:rsidRDefault="00564AD2" w:rsidP="00F21684">
      <w:pPr>
        <w:pStyle w:val="Titrepartie"/>
        <w:numPr>
          <w:ilvl w:val="1"/>
          <w:numId w:val="44"/>
        </w:numPr>
        <w:rPr>
          <w:b w:val="0"/>
          <w:bCs w:val="0"/>
          <w:color w:val="auto"/>
          <w:sz w:val="20"/>
        </w:rPr>
      </w:pPr>
      <w:r w:rsidRPr="007F1668">
        <w:rPr>
          <w:b w:val="0"/>
          <w:bCs w:val="0"/>
          <w:color w:val="auto"/>
          <w:sz w:val="20"/>
        </w:rPr>
        <w:t>Garantir l’application pratique des accords et cadres internationaux en vigueur relatifs aux coûts, exonérations et dispositifs favorisant la mobilité des biens et services culturels. </w:t>
      </w:r>
    </w:p>
    <w:p w14:paraId="2F887455" w14:textId="77777777" w:rsidR="00F21684" w:rsidRPr="007F1668" w:rsidRDefault="00F21684" w:rsidP="00F21684">
      <w:pPr>
        <w:pStyle w:val="Titrepartie"/>
        <w:numPr>
          <w:ilvl w:val="0"/>
          <w:numId w:val="0"/>
        </w:numPr>
        <w:ind w:left="1440"/>
        <w:rPr>
          <w:b w:val="0"/>
          <w:bCs w:val="0"/>
          <w:color w:val="auto"/>
          <w:sz w:val="20"/>
        </w:rPr>
      </w:pPr>
    </w:p>
    <w:p w14:paraId="39ABCF17" w14:textId="302F5C86" w:rsidR="00016A3F" w:rsidRPr="007F1668" w:rsidRDefault="00564AD2" w:rsidP="00564AD2">
      <w:pPr>
        <w:pStyle w:val="Titrepartie"/>
        <w:numPr>
          <w:ilvl w:val="0"/>
          <w:numId w:val="51"/>
        </w:numPr>
        <w:rPr>
          <w:b w:val="0"/>
          <w:bCs w:val="0"/>
          <w:color w:val="auto"/>
          <w:sz w:val="20"/>
        </w:rPr>
      </w:pPr>
      <w:r w:rsidRPr="007F1668">
        <w:rPr>
          <w:b w:val="0"/>
          <w:bCs w:val="0"/>
          <w:i/>
          <w:iCs/>
          <w:color w:val="auto"/>
          <w:sz w:val="20"/>
        </w:rPr>
        <w:t>Dans le cadre du renforcement de la sécurité maritime et portuaire</w:t>
      </w:r>
      <w:r w:rsidRPr="007F1668">
        <w:rPr>
          <w:b w:val="0"/>
          <w:bCs w:val="0"/>
          <w:color w:val="auto"/>
          <w:sz w:val="20"/>
        </w:rPr>
        <w:t> :</w:t>
      </w:r>
    </w:p>
    <w:p w14:paraId="62D7710F" w14:textId="4481686E" w:rsidR="00564AD2" w:rsidRPr="007F1668" w:rsidRDefault="00564AD2" w:rsidP="00F21684">
      <w:pPr>
        <w:pStyle w:val="Titrepartie"/>
        <w:numPr>
          <w:ilvl w:val="1"/>
          <w:numId w:val="44"/>
        </w:numPr>
        <w:rPr>
          <w:b w:val="0"/>
          <w:bCs w:val="0"/>
          <w:color w:val="auto"/>
          <w:sz w:val="20"/>
        </w:rPr>
      </w:pPr>
      <w:r w:rsidRPr="007F1668">
        <w:rPr>
          <w:b w:val="0"/>
          <w:bCs w:val="0"/>
          <w:color w:val="auto"/>
          <w:sz w:val="20"/>
        </w:rPr>
        <w:t>Assurer le développement d’une véritable culture du Renseignement, d’Analyse des risques et de Ciblage, notamment maritime via la formation d’unités spécialisées ;</w:t>
      </w:r>
    </w:p>
    <w:p w14:paraId="7E1938DE" w14:textId="09A8043A" w:rsidR="00564AD2" w:rsidRPr="007F1668" w:rsidRDefault="00943D63" w:rsidP="00F21684">
      <w:pPr>
        <w:pStyle w:val="Titrepartie"/>
        <w:numPr>
          <w:ilvl w:val="1"/>
          <w:numId w:val="44"/>
        </w:numPr>
        <w:rPr>
          <w:b w:val="0"/>
          <w:bCs w:val="0"/>
          <w:color w:val="auto"/>
          <w:sz w:val="20"/>
        </w:rPr>
      </w:pPr>
      <w:r w:rsidRPr="007F1668">
        <w:rPr>
          <w:b w:val="0"/>
          <w:bCs w:val="0"/>
          <w:color w:val="auto"/>
          <w:sz w:val="20"/>
        </w:rPr>
        <w:t>Contribuer activement</w:t>
      </w:r>
      <w:r w:rsidR="00564AD2" w:rsidRPr="007F1668">
        <w:rPr>
          <w:b w:val="0"/>
          <w:bCs w:val="0"/>
          <w:color w:val="auto"/>
          <w:sz w:val="20"/>
        </w:rPr>
        <w:t xml:space="preserve"> à la sécurisation des plateformes portuaires (escales, navires à quai ou en rade, zone de stockage des </w:t>
      </w:r>
      <w:r w:rsidRPr="007F1668">
        <w:rPr>
          <w:b w:val="0"/>
          <w:bCs w:val="0"/>
          <w:color w:val="auto"/>
          <w:sz w:val="20"/>
        </w:rPr>
        <w:t>conteneurs...</w:t>
      </w:r>
      <w:r w:rsidR="00564AD2" w:rsidRPr="007F1668">
        <w:rPr>
          <w:b w:val="0"/>
          <w:bCs w:val="0"/>
          <w:color w:val="auto"/>
          <w:sz w:val="20"/>
        </w:rPr>
        <w:t>) à l’échelle de la région ;</w:t>
      </w:r>
    </w:p>
    <w:p w14:paraId="28A7967C" w14:textId="613A5708" w:rsidR="00564AD2" w:rsidRPr="007F1668" w:rsidRDefault="00943D63" w:rsidP="00F21684">
      <w:pPr>
        <w:pStyle w:val="Titrepartie"/>
        <w:numPr>
          <w:ilvl w:val="1"/>
          <w:numId w:val="44"/>
        </w:numPr>
        <w:rPr>
          <w:b w:val="0"/>
          <w:bCs w:val="0"/>
          <w:color w:val="auto"/>
          <w:sz w:val="20"/>
        </w:rPr>
      </w:pPr>
      <w:r w:rsidRPr="007F1668">
        <w:rPr>
          <w:rFonts w:ascii="Arial" w:hAnsi="Arial" w:cs="Arial"/>
          <w:b w:val="0"/>
          <w:bCs w:val="0"/>
          <w:color w:val="auto"/>
          <w:sz w:val="20"/>
        </w:rPr>
        <w:t xml:space="preserve">Renforcer la </w:t>
      </w:r>
      <w:r w:rsidR="00564AD2" w:rsidRPr="007F1668">
        <w:rPr>
          <w:b w:val="0"/>
          <w:bCs w:val="0"/>
          <w:color w:val="auto"/>
          <w:sz w:val="20"/>
        </w:rPr>
        <w:t>lutte contre l’installation d’une criminalité portuaire au sein des ports de la zone ;</w:t>
      </w:r>
    </w:p>
    <w:p w14:paraId="4044D403" w14:textId="06AC7148" w:rsidR="00564AD2" w:rsidRPr="007F1668" w:rsidRDefault="00943D63" w:rsidP="00F21684">
      <w:pPr>
        <w:pStyle w:val="Titrepartie"/>
        <w:numPr>
          <w:ilvl w:val="1"/>
          <w:numId w:val="44"/>
        </w:numPr>
        <w:rPr>
          <w:b w:val="0"/>
          <w:bCs w:val="0"/>
          <w:color w:val="auto"/>
          <w:sz w:val="20"/>
        </w:rPr>
      </w:pPr>
      <w:r w:rsidRPr="007F1668">
        <w:rPr>
          <w:rFonts w:ascii="Arial" w:hAnsi="Arial" w:cs="Arial"/>
          <w:b w:val="0"/>
          <w:bCs w:val="0"/>
          <w:color w:val="auto"/>
          <w:sz w:val="20"/>
        </w:rPr>
        <w:t>Rehausser le</w:t>
      </w:r>
      <w:r w:rsidR="00564AD2" w:rsidRPr="007F1668">
        <w:rPr>
          <w:b w:val="0"/>
          <w:bCs w:val="0"/>
          <w:color w:val="auto"/>
          <w:sz w:val="20"/>
        </w:rPr>
        <w:t>s compétences techniques en matière de fouille des navires ;</w:t>
      </w:r>
    </w:p>
    <w:p w14:paraId="57E1CE67" w14:textId="581A22F2" w:rsidR="00564AD2" w:rsidRPr="007F1668" w:rsidRDefault="00943D63" w:rsidP="00F21684">
      <w:pPr>
        <w:pStyle w:val="Titrepartie"/>
        <w:numPr>
          <w:ilvl w:val="1"/>
          <w:numId w:val="44"/>
        </w:numPr>
        <w:rPr>
          <w:b w:val="0"/>
          <w:bCs w:val="0"/>
          <w:color w:val="auto"/>
          <w:sz w:val="20"/>
        </w:rPr>
      </w:pPr>
      <w:r w:rsidRPr="007F1668">
        <w:rPr>
          <w:rFonts w:ascii="Arial" w:hAnsi="Arial" w:cs="Arial"/>
          <w:b w:val="0"/>
          <w:bCs w:val="0"/>
          <w:color w:val="auto"/>
          <w:sz w:val="20"/>
        </w:rPr>
        <w:t>Renforcer l</w:t>
      </w:r>
      <w:r w:rsidR="00564AD2" w:rsidRPr="007F1668">
        <w:rPr>
          <w:b w:val="0"/>
          <w:bCs w:val="0"/>
          <w:color w:val="auto"/>
          <w:sz w:val="20"/>
        </w:rPr>
        <w:t>e développement d’une culture de coopération entre la Douane et les autres acteurs maritimes et portuaires ;</w:t>
      </w:r>
    </w:p>
    <w:p w14:paraId="03AA7500" w14:textId="77777777" w:rsidR="00943D63" w:rsidRPr="007F1668" w:rsidRDefault="00943D63" w:rsidP="00456B22">
      <w:pPr>
        <w:pStyle w:val="Titrepartie"/>
        <w:numPr>
          <w:ilvl w:val="1"/>
          <w:numId w:val="44"/>
        </w:numPr>
        <w:rPr>
          <w:b w:val="0"/>
          <w:bCs w:val="0"/>
          <w:color w:val="auto"/>
          <w:sz w:val="20"/>
        </w:rPr>
      </w:pPr>
      <w:r w:rsidRPr="007F1668">
        <w:rPr>
          <w:b w:val="0"/>
          <w:bCs w:val="0"/>
          <w:color w:val="auto"/>
          <w:sz w:val="20"/>
        </w:rPr>
        <w:t>Collaborer sur l</w:t>
      </w:r>
      <w:r w:rsidR="00564AD2" w:rsidRPr="007F1668">
        <w:rPr>
          <w:b w:val="0"/>
          <w:bCs w:val="0"/>
          <w:color w:val="auto"/>
          <w:sz w:val="20"/>
        </w:rPr>
        <w:t>a constitution d’un réseau sécurisé dédié « renseignement » entre les membres du Comité en matière de trafics ;</w:t>
      </w:r>
    </w:p>
    <w:p w14:paraId="6D437AEF" w14:textId="77777777" w:rsidR="004954BD" w:rsidRPr="007F1668" w:rsidRDefault="004954BD" w:rsidP="00F21684">
      <w:pPr>
        <w:pStyle w:val="Titrepartie"/>
        <w:numPr>
          <w:ilvl w:val="0"/>
          <w:numId w:val="0"/>
        </w:numPr>
        <w:ind w:left="1440"/>
        <w:rPr>
          <w:b w:val="0"/>
          <w:bCs w:val="0"/>
          <w:color w:val="auto"/>
          <w:sz w:val="20"/>
        </w:rPr>
      </w:pPr>
    </w:p>
    <w:p w14:paraId="4292DE88" w14:textId="4FA377A9" w:rsidR="00062DB3" w:rsidRPr="007F1668" w:rsidRDefault="004954BD" w:rsidP="004954BD">
      <w:pPr>
        <w:pStyle w:val="Titrepartie"/>
        <w:numPr>
          <w:ilvl w:val="0"/>
          <w:numId w:val="44"/>
        </w:numPr>
        <w:ind w:left="360"/>
        <w:rPr>
          <w:b w:val="0"/>
          <w:bCs w:val="0"/>
          <w:i/>
          <w:iCs/>
          <w:color w:val="auto"/>
          <w:sz w:val="20"/>
        </w:rPr>
      </w:pPr>
      <w:r w:rsidRPr="007F1668">
        <w:rPr>
          <w:b w:val="0"/>
          <w:bCs w:val="0"/>
          <w:i/>
          <w:iCs/>
          <w:color w:val="auto"/>
          <w:sz w:val="20"/>
        </w:rPr>
        <w:t xml:space="preserve">Dans le cadre de la mise en place du schéma de la « responsabilité </w:t>
      </w:r>
      <w:r w:rsidR="00D4002B" w:rsidRPr="007F1668">
        <w:rPr>
          <w:b w:val="0"/>
          <w:bCs w:val="0"/>
          <w:i/>
          <w:iCs/>
          <w:color w:val="auto"/>
          <w:sz w:val="20"/>
        </w:rPr>
        <w:t>élargie des producteurs » régional des déchets pneumatiques et emballages :</w:t>
      </w:r>
    </w:p>
    <w:p w14:paraId="519AC4D4" w14:textId="0C4C3D67" w:rsidR="00CD36C2" w:rsidRPr="007F1668" w:rsidRDefault="00CD36C2" w:rsidP="00F21684">
      <w:pPr>
        <w:pStyle w:val="Titrepartie"/>
        <w:numPr>
          <w:ilvl w:val="1"/>
          <w:numId w:val="44"/>
        </w:numPr>
        <w:rPr>
          <w:b w:val="0"/>
          <w:bCs w:val="0"/>
          <w:color w:val="auto"/>
          <w:sz w:val="20"/>
        </w:rPr>
      </w:pPr>
      <w:r w:rsidRPr="007F1668">
        <w:rPr>
          <w:b w:val="0"/>
          <w:bCs w:val="0"/>
          <w:color w:val="auto"/>
          <w:sz w:val="20"/>
        </w:rPr>
        <w:t>Effectuer un état des lieux des réglementations et axes institutionnels en matière de stratégie de gestion régional des déchets.</w:t>
      </w:r>
    </w:p>
    <w:p w14:paraId="266CB63F" w14:textId="2813DC3F" w:rsidR="00D4002B" w:rsidRPr="007F1668" w:rsidRDefault="00CD36C2" w:rsidP="00D4002B">
      <w:pPr>
        <w:pStyle w:val="Titrepartie"/>
        <w:numPr>
          <w:ilvl w:val="1"/>
          <w:numId w:val="44"/>
        </w:numPr>
        <w:rPr>
          <w:b w:val="0"/>
          <w:bCs w:val="0"/>
          <w:color w:val="auto"/>
          <w:sz w:val="20"/>
        </w:rPr>
      </w:pPr>
      <w:r w:rsidRPr="007F1668">
        <w:rPr>
          <w:b w:val="0"/>
          <w:bCs w:val="0"/>
          <w:color w:val="auto"/>
          <w:sz w:val="20"/>
        </w:rPr>
        <w:t>Procéder à l’amélioration des axes réglementaires et institutionnels en matière de gestion régional des déchets.</w:t>
      </w:r>
    </w:p>
    <w:p w14:paraId="319566AA" w14:textId="154BC801" w:rsidR="00CD36C2" w:rsidRPr="007F1668" w:rsidRDefault="007F1668" w:rsidP="00D4002B">
      <w:pPr>
        <w:pStyle w:val="Titrepartie"/>
        <w:numPr>
          <w:ilvl w:val="1"/>
          <w:numId w:val="44"/>
        </w:numPr>
        <w:rPr>
          <w:b w:val="0"/>
          <w:bCs w:val="0"/>
          <w:color w:val="auto"/>
          <w:sz w:val="20"/>
        </w:rPr>
      </w:pPr>
      <w:r w:rsidRPr="007F1668">
        <w:rPr>
          <w:b w:val="0"/>
          <w:bCs w:val="0"/>
          <w:color w:val="auto"/>
          <w:sz w:val="20"/>
        </w:rPr>
        <w:t>Élaborer</w:t>
      </w:r>
      <w:r w:rsidR="00CD36C2" w:rsidRPr="007F1668">
        <w:rPr>
          <w:b w:val="0"/>
          <w:bCs w:val="0"/>
          <w:color w:val="auto"/>
          <w:sz w:val="20"/>
        </w:rPr>
        <w:t xml:space="preserve"> des corpus réglementaires uniformisés entre les États de la COI en faveur de la régionalisation de la gestion des déchets</w:t>
      </w:r>
    </w:p>
    <w:p w14:paraId="61A7E806" w14:textId="77777777" w:rsidR="00943D63" w:rsidRPr="007F1668" w:rsidRDefault="00943D63" w:rsidP="00F21684">
      <w:pPr>
        <w:pStyle w:val="Titrepartie"/>
        <w:numPr>
          <w:ilvl w:val="0"/>
          <w:numId w:val="0"/>
        </w:numPr>
        <w:ind w:left="360"/>
        <w:rPr>
          <w:b w:val="0"/>
          <w:bCs w:val="0"/>
          <w:color w:val="auto"/>
          <w:sz w:val="20"/>
        </w:rPr>
      </w:pPr>
    </w:p>
    <w:p w14:paraId="2E2619AC" w14:textId="77777777" w:rsidR="00943D63" w:rsidRPr="007F1668" w:rsidRDefault="00943D63" w:rsidP="00F21684">
      <w:pPr>
        <w:pStyle w:val="Titrepartie"/>
        <w:numPr>
          <w:ilvl w:val="0"/>
          <w:numId w:val="44"/>
        </w:numPr>
        <w:ind w:left="360"/>
        <w:rPr>
          <w:b w:val="0"/>
          <w:bCs w:val="0"/>
          <w:color w:val="auto"/>
          <w:sz w:val="20"/>
        </w:rPr>
      </w:pPr>
      <w:r w:rsidRPr="007F1668">
        <w:rPr>
          <w:b w:val="0"/>
          <w:bCs w:val="0"/>
          <w:i/>
          <w:iCs/>
          <w:color w:val="auto"/>
          <w:sz w:val="20"/>
        </w:rPr>
        <w:t>En cas de crise ou d’urgence</w:t>
      </w:r>
      <w:r w:rsidRPr="007F1668">
        <w:rPr>
          <w:b w:val="0"/>
          <w:bCs w:val="0"/>
          <w:color w:val="auto"/>
          <w:sz w:val="20"/>
        </w:rPr>
        <w:t> :</w:t>
      </w:r>
    </w:p>
    <w:p w14:paraId="13FAE77B" w14:textId="7A6A683B" w:rsidR="00564AD2" w:rsidRPr="007F1668" w:rsidRDefault="00943D63" w:rsidP="00F21684">
      <w:pPr>
        <w:pStyle w:val="Titrepartie"/>
        <w:numPr>
          <w:ilvl w:val="1"/>
          <w:numId w:val="44"/>
        </w:numPr>
        <w:rPr>
          <w:b w:val="0"/>
          <w:bCs w:val="0"/>
          <w:color w:val="auto"/>
          <w:sz w:val="20"/>
        </w:rPr>
      </w:pPr>
      <w:r w:rsidRPr="007F1668">
        <w:rPr>
          <w:b w:val="0"/>
          <w:bCs w:val="0"/>
          <w:color w:val="auto"/>
          <w:sz w:val="20"/>
        </w:rPr>
        <w:t>Mettre</w:t>
      </w:r>
      <w:r w:rsidR="00564AD2" w:rsidRPr="007F1668">
        <w:rPr>
          <w:b w:val="0"/>
          <w:bCs w:val="0"/>
          <w:color w:val="auto"/>
          <w:sz w:val="20"/>
        </w:rPr>
        <w:t xml:space="preserve"> en place d’un système d’alerte et d’échange entre les pays en cas de crise ou de découverte importante mettant en jeu la sécurité des populations (sécurité alimentaire, sanitaire, phytosanitaire, produits dangereux, déchets).</w:t>
      </w:r>
    </w:p>
    <w:p w14:paraId="03B04279" w14:textId="77777777" w:rsidR="005D3EBB" w:rsidRPr="007F1668" w:rsidRDefault="005D3EBB" w:rsidP="00016A3F">
      <w:pPr>
        <w:pStyle w:val="Titrepartie"/>
        <w:numPr>
          <w:ilvl w:val="0"/>
          <w:numId w:val="0"/>
        </w:numPr>
        <w:rPr>
          <w:b w:val="0"/>
          <w:bCs w:val="0"/>
          <w:color w:val="auto"/>
          <w:sz w:val="20"/>
        </w:rPr>
      </w:pPr>
    </w:p>
    <w:p w14:paraId="75F447BB" w14:textId="48448079" w:rsidR="003A2928" w:rsidRPr="007F1668" w:rsidRDefault="005D3EBB" w:rsidP="003A2928">
      <w:pPr>
        <w:pStyle w:val="Sous-partie2"/>
        <w:numPr>
          <w:ilvl w:val="1"/>
          <w:numId w:val="46"/>
        </w:numPr>
      </w:pPr>
      <w:r w:rsidRPr="007F1668">
        <w:t>Réseau régional</w:t>
      </w:r>
      <w:r w:rsidR="003A2928" w:rsidRPr="007F1668">
        <w:t xml:space="preserve"> des agences de promotion des investissements de l’océan Indien</w:t>
      </w:r>
    </w:p>
    <w:p w14:paraId="4CBE665A" w14:textId="050C1E0F" w:rsidR="00791F14" w:rsidRPr="007F1668" w:rsidRDefault="00791F14" w:rsidP="00791F14">
      <w:pPr>
        <w:pStyle w:val="Titrepartie"/>
        <w:numPr>
          <w:ilvl w:val="0"/>
          <w:numId w:val="0"/>
        </w:numPr>
        <w:rPr>
          <w:b w:val="0"/>
          <w:bCs w:val="0"/>
          <w:color w:val="auto"/>
          <w:sz w:val="20"/>
        </w:rPr>
      </w:pPr>
      <w:r w:rsidRPr="007F1668">
        <w:rPr>
          <w:b w:val="0"/>
          <w:bCs w:val="0"/>
          <w:color w:val="auto"/>
          <w:sz w:val="20"/>
        </w:rPr>
        <w:t xml:space="preserve">L’intégration économique régionale constitue un objectif historique et stratégique de la COI. Malgré les avancées enregistrées — notamment la création de la zone de libre-échange en 1999 et la conclusion de l’Accord de Partenariat Économique (APE) en 2007 — la coopération économique entre les États membres nécessite aujourd’hui une nouvelle impulsion politique et opérationnelle. Dans ce contexte, </w:t>
      </w:r>
      <w:r w:rsidR="003847CE" w:rsidRPr="007F1668">
        <w:rPr>
          <w:b w:val="0"/>
          <w:bCs w:val="0"/>
          <w:color w:val="auto"/>
          <w:sz w:val="20"/>
        </w:rPr>
        <w:t xml:space="preserve">il est proposé de capitaliser sur la volonté des Agences nationales de promotion de l’investissement </w:t>
      </w:r>
      <w:r w:rsidR="002C5EB1" w:rsidRPr="007F1668">
        <w:rPr>
          <w:b w:val="0"/>
          <w:bCs w:val="0"/>
          <w:color w:val="auto"/>
          <w:sz w:val="20"/>
        </w:rPr>
        <w:t xml:space="preserve">(ANPI) </w:t>
      </w:r>
      <w:r w:rsidR="003847CE" w:rsidRPr="007F1668">
        <w:rPr>
          <w:b w:val="0"/>
          <w:bCs w:val="0"/>
          <w:color w:val="auto"/>
          <w:sz w:val="20"/>
        </w:rPr>
        <w:t xml:space="preserve">des </w:t>
      </w:r>
      <w:r w:rsidR="007F1668" w:rsidRPr="007F1668">
        <w:rPr>
          <w:b w:val="0"/>
          <w:bCs w:val="0"/>
          <w:color w:val="auto"/>
          <w:sz w:val="20"/>
        </w:rPr>
        <w:t>États</w:t>
      </w:r>
      <w:r w:rsidR="003847CE" w:rsidRPr="007F1668">
        <w:rPr>
          <w:b w:val="0"/>
          <w:bCs w:val="0"/>
          <w:color w:val="auto"/>
          <w:sz w:val="20"/>
        </w:rPr>
        <w:t xml:space="preserve"> membres de</w:t>
      </w:r>
      <w:r w:rsidR="002C5EB1" w:rsidRPr="007F1668">
        <w:rPr>
          <w:b w:val="0"/>
          <w:bCs w:val="0"/>
          <w:color w:val="auto"/>
          <w:sz w:val="20"/>
        </w:rPr>
        <w:t xml:space="preserve"> se mettre en réseau et de coopérer, d’une part entre elles, et d’autre part avec la COI. Les ANPI</w:t>
      </w:r>
      <w:r w:rsidR="002E53F9" w:rsidRPr="007F1668">
        <w:rPr>
          <w:b w:val="0"/>
          <w:bCs w:val="0"/>
          <w:color w:val="auto"/>
          <w:sz w:val="20"/>
        </w:rPr>
        <w:t xml:space="preserve"> des </w:t>
      </w:r>
      <w:r w:rsidR="007F1668" w:rsidRPr="007F1668">
        <w:rPr>
          <w:b w:val="0"/>
          <w:bCs w:val="0"/>
          <w:color w:val="auto"/>
          <w:sz w:val="20"/>
        </w:rPr>
        <w:t>États</w:t>
      </w:r>
      <w:r w:rsidR="002E53F9" w:rsidRPr="007F1668">
        <w:rPr>
          <w:b w:val="0"/>
          <w:bCs w:val="0"/>
          <w:color w:val="auto"/>
          <w:sz w:val="20"/>
        </w:rPr>
        <w:t xml:space="preserve"> membres envisagent, par ailleurs, </w:t>
      </w:r>
      <w:r w:rsidRPr="007F1668">
        <w:rPr>
          <w:b w:val="0"/>
          <w:bCs w:val="0"/>
          <w:color w:val="auto"/>
          <w:sz w:val="20"/>
        </w:rPr>
        <w:t>la mise en place d</w:t>
      </w:r>
      <w:r w:rsidR="00BE0EFC" w:rsidRPr="007F1668">
        <w:rPr>
          <w:b w:val="0"/>
          <w:bCs w:val="0"/>
          <w:color w:val="auto"/>
          <w:sz w:val="20"/>
        </w:rPr>
        <w:t xml:space="preserve">’une </w:t>
      </w:r>
      <w:r w:rsidRPr="007F1668">
        <w:rPr>
          <w:b w:val="0"/>
          <w:bCs w:val="0"/>
          <w:color w:val="auto"/>
          <w:sz w:val="20"/>
        </w:rPr>
        <w:lastRenderedPageBreak/>
        <w:t xml:space="preserve">Association régionale des agences de promotion des investissements (ARAPIOI) </w:t>
      </w:r>
      <w:r w:rsidR="00BE0EFC" w:rsidRPr="007F1668">
        <w:rPr>
          <w:b w:val="0"/>
          <w:bCs w:val="0"/>
          <w:color w:val="auto"/>
          <w:sz w:val="20"/>
        </w:rPr>
        <w:t>pour formaliser</w:t>
      </w:r>
      <w:r w:rsidRPr="007F1668">
        <w:rPr>
          <w:b w:val="0"/>
          <w:bCs w:val="0"/>
          <w:color w:val="auto"/>
          <w:sz w:val="20"/>
        </w:rPr>
        <w:t xml:space="preserve"> un cadre structuré de dialogue et de coopération</w:t>
      </w:r>
      <w:r w:rsidR="00064FBF" w:rsidRPr="007F1668">
        <w:rPr>
          <w:b w:val="0"/>
          <w:bCs w:val="0"/>
          <w:color w:val="auto"/>
          <w:sz w:val="20"/>
        </w:rPr>
        <w:t>, d’une part entre</w:t>
      </w:r>
      <w:r w:rsidR="00821474" w:rsidRPr="007F1668">
        <w:rPr>
          <w:b w:val="0"/>
          <w:bCs w:val="0"/>
          <w:color w:val="auto"/>
          <w:sz w:val="20"/>
        </w:rPr>
        <w:t xml:space="preserve"> </w:t>
      </w:r>
      <w:r w:rsidRPr="007F1668">
        <w:rPr>
          <w:b w:val="0"/>
          <w:bCs w:val="0"/>
          <w:color w:val="auto"/>
          <w:sz w:val="20"/>
        </w:rPr>
        <w:t>les agences de promotion des investissements</w:t>
      </w:r>
      <w:r w:rsidR="00064FBF" w:rsidRPr="007F1668">
        <w:rPr>
          <w:b w:val="0"/>
          <w:bCs w:val="0"/>
          <w:color w:val="auto"/>
          <w:sz w:val="20"/>
        </w:rPr>
        <w:t xml:space="preserve">, et, d’autre part, avec </w:t>
      </w:r>
      <w:r w:rsidRPr="007F1668">
        <w:rPr>
          <w:b w:val="0"/>
          <w:bCs w:val="0"/>
          <w:color w:val="auto"/>
          <w:sz w:val="20"/>
        </w:rPr>
        <w:t>le secteur privé</w:t>
      </w:r>
      <w:r w:rsidR="00064FBF" w:rsidRPr="007F1668">
        <w:rPr>
          <w:b w:val="0"/>
          <w:bCs w:val="0"/>
          <w:color w:val="auto"/>
          <w:sz w:val="20"/>
        </w:rPr>
        <w:t xml:space="preserve"> et les gouvernements </w:t>
      </w:r>
      <w:r w:rsidRPr="007F1668">
        <w:rPr>
          <w:b w:val="0"/>
          <w:bCs w:val="0"/>
          <w:color w:val="auto"/>
          <w:sz w:val="20"/>
        </w:rPr>
        <w:t>afin de renforcer l’attractivité et la compétitivité des économies insulaires.</w:t>
      </w:r>
      <w:r w:rsidR="00064FBF" w:rsidRPr="007F1668">
        <w:rPr>
          <w:b w:val="0"/>
          <w:bCs w:val="0"/>
          <w:color w:val="auto"/>
          <w:sz w:val="20"/>
        </w:rPr>
        <w:t xml:space="preserve"> Les ANPI ont également manifesté leur intérêt de collaborer avec la COI. </w:t>
      </w:r>
    </w:p>
    <w:p w14:paraId="6FC6E9B4" w14:textId="77777777" w:rsidR="007F1668" w:rsidRPr="007F1668" w:rsidRDefault="007F1668" w:rsidP="00791F14">
      <w:pPr>
        <w:pStyle w:val="Titrepartie"/>
        <w:numPr>
          <w:ilvl w:val="0"/>
          <w:numId w:val="0"/>
        </w:numPr>
        <w:rPr>
          <w:b w:val="0"/>
          <w:bCs w:val="0"/>
          <w:color w:val="auto"/>
          <w:sz w:val="20"/>
        </w:rPr>
      </w:pPr>
    </w:p>
    <w:p w14:paraId="7CA67A8D" w14:textId="62E00A5F" w:rsidR="00791F14" w:rsidRPr="007F1668" w:rsidRDefault="00791F14" w:rsidP="00791F14">
      <w:pPr>
        <w:pStyle w:val="Titrepartie"/>
        <w:numPr>
          <w:ilvl w:val="0"/>
          <w:numId w:val="0"/>
        </w:numPr>
        <w:rPr>
          <w:b w:val="0"/>
          <w:bCs w:val="0"/>
          <w:color w:val="auto"/>
          <w:sz w:val="20"/>
        </w:rPr>
      </w:pPr>
      <w:r w:rsidRPr="007F1668">
        <w:rPr>
          <w:b w:val="0"/>
          <w:bCs w:val="0"/>
          <w:color w:val="auto"/>
          <w:sz w:val="20"/>
        </w:rPr>
        <w:t>Cette initiative</w:t>
      </w:r>
      <w:r w:rsidR="00D64F50" w:rsidRPr="007F1668">
        <w:rPr>
          <w:b w:val="0"/>
          <w:bCs w:val="0"/>
          <w:color w:val="auto"/>
          <w:sz w:val="20"/>
        </w:rPr>
        <w:t xml:space="preserve"> des ANPI</w:t>
      </w:r>
      <w:r w:rsidRPr="007F1668">
        <w:rPr>
          <w:b w:val="0"/>
          <w:bCs w:val="0"/>
          <w:color w:val="auto"/>
          <w:sz w:val="20"/>
        </w:rPr>
        <w:t xml:space="preserve"> découle directement des orientations politiques des instances décisionnelles de la COI (Conseils des ministres, Comités des OPL, Sommet des chefs d’État) successives depuis 2022, et s’appuie sur les recommandations du Forum économique régional organisé en marge du Sommet de 2025 (Annexe 1 et 2). </w:t>
      </w:r>
      <w:r w:rsidR="00943D63" w:rsidRPr="007F1668">
        <w:rPr>
          <w:b w:val="0"/>
          <w:bCs w:val="0"/>
          <w:color w:val="auto"/>
          <w:sz w:val="20"/>
        </w:rPr>
        <w:t xml:space="preserve">Le réseau </w:t>
      </w:r>
      <w:r w:rsidRPr="007F1668">
        <w:rPr>
          <w:b w:val="0"/>
          <w:bCs w:val="0"/>
          <w:color w:val="auto"/>
          <w:sz w:val="20"/>
        </w:rPr>
        <w:t>aura pour vocation de fédérer et promouvoir les opportunités d’investissement inter-îles, mutualiser les ressources et expertises des agences nationales, faciliter la mise en œuvre de projets structurants régionaux, et positionner l’Indianocéanie comme une destination d’investissement cohérente, durable et attractive.</w:t>
      </w:r>
    </w:p>
    <w:p w14:paraId="572AF481" w14:textId="77777777" w:rsidR="007F1668" w:rsidRPr="007F1668" w:rsidRDefault="007F1668" w:rsidP="00791F14">
      <w:pPr>
        <w:pStyle w:val="Titrepartie"/>
        <w:numPr>
          <w:ilvl w:val="0"/>
          <w:numId w:val="0"/>
        </w:numPr>
        <w:rPr>
          <w:b w:val="0"/>
          <w:bCs w:val="0"/>
          <w:color w:val="auto"/>
          <w:sz w:val="20"/>
        </w:rPr>
      </w:pPr>
    </w:p>
    <w:p w14:paraId="19B86EC8" w14:textId="1FF70BFA" w:rsidR="00791F14" w:rsidRPr="007F1668" w:rsidRDefault="008C0017" w:rsidP="00791F14">
      <w:pPr>
        <w:pStyle w:val="Titrepartie"/>
        <w:numPr>
          <w:ilvl w:val="0"/>
          <w:numId w:val="0"/>
        </w:numPr>
        <w:rPr>
          <w:b w:val="0"/>
          <w:bCs w:val="0"/>
          <w:color w:val="auto"/>
          <w:sz w:val="20"/>
        </w:rPr>
      </w:pPr>
      <w:r w:rsidRPr="007F1668">
        <w:rPr>
          <w:b w:val="0"/>
          <w:bCs w:val="0"/>
          <w:color w:val="auto"/>
          <w:sz w:val="20"/>
        </w:rPr>
        <w:t>Le réseau, ou l’association lorsqu’elle sera créée,</w:t>
      </w:r>
      <w:r w:rsidR="00791F14" w:rsidRPr="007F1668">
        <w:rPr>
          <w:b w:val="0"/>
          <w:bCs w:val="0"/>
          <w:color w:val="auto"/>
          <w:sz w:val="20"/>
        </w:rPr>
        <w:t xml:space="preserve"> </w:t>
      </w:r>
      <w:r w:rsidR="004124B2" w:rsidRPr="007F1668">
        <w:rPr>
          <w:b w:val="0"/>
          <w:bCs w:val="0"/>
          <w:color w:val="auto"/>
          <w:sz w:val="20"/>
        </w:rPr>
        <w:t>pourrait constituer un levier opérationnel pour la COI dans la mise en œuvre d’initiatives communes sur le plan économique</w:t>
      </w:r>
      <w:r w:rsidR="00A83B56" w:rsidRPr="007F1668">
        <w:rPr>
          <w:b w:val="0"/>
          <w:bCs w:val="0"/>
          <w:color w:val="auto"/>
          <w:sz w:val="20"/>
        </w:rPr>
        <w:t xml:space="preserve">. Les synergies pourraient, notamment, viser la consolidation et la promotion de chaines de valeur régionale, </w:t>
      </w:r>
      <w:r w:rsidR="00303F8A" w:rsidRPr="007F1668">
        <w:rPr>
          <w:b w:val="0"/>
          <w:bCs w:val="0"/>
          <w:color w:val="auto"/>
          <w:sz w:val="20"/>
        </w:rPr>
        <w:t xml:space="preserve">un plaidoyer commun en faveur d’une connectivité renforcée ou encore la formulation de projets économiques régionaux porteurs et compétitifs. Un dialogue COI – ANPI / ARAPIOI </w:t>
      </w:r>
      <w:r w:rsidR="00012EE8" w:rsidRPr="007F1668">
        <w:rPr>
          <w:b w:val="0"/>
          <w:bCs w:val="0"/>
          <w:color w:val="auto"/>
          <w:sz w:val="20"/>
        </w:rPr>
        <w:t xml:space="preserve">permettrait également de soutenir l’insertion des économies des </w:t>
      </w:r>
      <w:r w:rsidR="007F1668" w:rsidRPr="007F1668">
        <w:rPr>
          <w:b w:val="0"/>
          <w:bCs w:val="0"/>
          <w:color w:val="auto"/>
          <w:sz w:val="20"/>
        </w:rPr>
        <w:t>États</w:t>
      </w:r>
      <w:r w:rsidR="00012EE8" w:rsidRPr="007F1668">
        <w:rPr>
          <w:b w:val="0"/>
          <w:bCs w:val="0"/>
          <w:color w:val="auto"/>
          <w:sz w:val="20"/>
        </w:rPr>
        <w:t xml:space="preserve"> membres dans le cadre plus large de la ZLECAF en veillant à</w:t>
      </w:r>
      <w:r w:rsidR="000B0776" w:rsidRPr="007F1668">
        <w:rPr>
          <w:b w:val="0"/>
          <w:bCs w:val="0"/>
          <w:color w:val="auto"/>
          <w:sz w:val="20"/>
        </w:rPr>
        <w:t xml:space="preserve"> la prise en compte des spécificités des </w:t>
      </w:r>
      <w:r w:rsidR="007F1668" w:rsidRPr="007F1668">
        <w:rPr>
          <w:b w:val="0"/>
          <w:bCs w:val="0"/>
          <w:color w:val="auto"/>
          <w:sz w:val="20"/>
        </w:rPr>
        <w:t>États</w:t>
      </w:r>
      <w:r w:rsidR="000B0776" w:rsidRPr="007F1668">
        <w:rPr>
          <w:b w:val="0"/>
          <w:bCs w:val="0"/>
          <w:color w:val="auto"/>
          <w:sz w:val="20"/>
        </w:rPr>
        <w:t xml:space="preserve"> membres. Ces </w:t>
      </w:r>
      <w:r w:rsidR="00D4492B" w:rsidRPr="007F1668">
        <w:rPr>
          <w:b w:val="0"/>
          <w:bCs w:val="0"/>
          <w:color w:val="auto"/>
          <w:sz w:val="20"/>
        </w:rPr>
        <w:t xml:space="preserve">axes sont conformes à l’axe 2 du PDS 2023-2033. </w:t>
      </w:r>
    </w:p>
    <w:p w14:paraId="62309827" w14:textId="77777777" w:rsidR="00D4492B" w:rsidRPr="007F1668" w:rsidRDefault="00D4492B" w:rsidP="00791F14">
      <w:pPr>
        <w:pStyle w:val="Titrepartie"/>
        <w:numPr>
          <w:ilvl w:val="0"/>
          <w:numId w:val="0"/>
        </w:numPr>
        <w:rPr>
          <w:b w:val="0"/>
          <w:bCs w:val="0"/>
          <w:color w:val="auto"/>
          <w:sz w:val="20"/>
        </w:rPr>
      </w:pPr>
    </w:p>
    <w:p w14:paraId="71D8A4CB" w14:textId="5F81AD54" w:rsidR="00D4492B" w:rsidRPr="007F1668" w:rsidRDefault="00D45A45" w:rsidP="00D4492B">
      <w:pPr>
        <w:pStyle w:val="Sous-partie2"/>
        <w:numPr>
          <w:ilvl w:val="1"/>
          <w:numId w:val="50"/>
        </w:numPr>
      </w:pPr>
      <w:r w:rsidRPr="007F1668">
        <w:t>Connectivité régionale</w:t>
      </w:r>
    </w:p>
    <w:p w14:paraId="6A6E1DF8" w14:textId="77777777" w:rsidR="00187EEA" w:rsidRPr="007F1668" w:rsidRDefault="00187EEA" w:rsidP="00187EEA">
      <w:pPr>
        <w:pStyle w:val="Titrepartie"/>
        <w:numPr>
          <w:ilvl w:val="0"/>
          <w:numId w:val="0"/>
        </w:numPr>
        <w:rPr>
          <w:b w:val="0"/>
          <w:bCs w:val="0"/>
          <w:color w:val="auto"/>
          <w:sz w:val="20"/>
        </w:rPr>
      </w:pPr>
      <w:r w:rsidRPr="007F1668">
        <w:rPr>
          <w:b w:val="0"/>
          <w:bCs w:val="0"/>
          <w:color w:val="auto"/>
          <w:sz w:val="20"/>
        </w:rPr>
        <w:t xml:space="preserve">Concernant la connectivité numérique, la COI participe pleinement aux activités dans le secteur des TIC (EGEE-ICT) porté par la COMESA, en Afrique de l'Est, en Afrique australe et dans la région de l'océan Indien (EA-SA-IO), un programme financé par l'Union européenne au titre du 11e Fonds européen de développement (FED). </w:t>
      </w:r>
    </w:p>
    <w:p w14:paraId="2887C75F" w14:textId="77777777" w:rsidR="00F54FDA" w:rsidRPr="007F1668" w:rsidRDefault="00F54FDA" w:rsidP="00187EEA">
      <w:pPr>
        <w:pStyle w:val="Titrepartie"/>
        <w:numPr>
          <w:ilvl w:val="0"/>
          <w:numId w:val="0"/>
        </w:numPr>
        <w:rPr>
          <w:b w:val="0"/>
          <w:bCs w:val="0"/>
          <w:color w:val="auto"/>
          <w:sz w:val="20"/>
        </w:rPr>
      </w:pPr>
    </w:p>
    <w:p w14:paraId="4A91EFE9" w14:textId="16257AA4" w:rsidR="00187EEA" w:rsidRPr="007F1668" w:rsidRDefault="00187EEA" w:rsidP="00187EEA">
      <w:pPr>
        <w:pStyle w:val="Titrepartie"/>
        <w:numPr>
          <w:ilvl w:val="0"/>
          <w:numId w:val="44"/>
        </w:numPr>
        <w:rPr>
          <w:b w:val="0"/>
          <w:bCs w:val="0"/>
          <w:color w:val="auto"/>
          <w:sz w:val="20"/>
        </w:rPr>
      </w:pPr>
      <w:r w:rsidRPr="007F1668">
        <w:rPr>
          <w:b w:val="0"/>
          <w:bCs w:val="0"/>
          <w:color w:val="auto"/>
          <w:sz w:val="20"/>
        </w:rPr>
        <w:t xml:space="preserve">La contribution à l’analyse et aux commentaires du </w:t>
      </w:r>
      <w:r w:rsidR="00712628" w:rsidRPr="007F1668">
        <w:rPr>
          <w:b w:val="0"/>
          <w:bCs w:val="0"/>
          <w:color w:val="auto"/>
          <w:sz w:val="20"/>
        </w:rPr>
        <w:t>cadre politique et réglementaire pour l'accès universel à l'amélioration de la gouvernance et à un environnement favorable dans le secteur des TIC dans la région EA-SA-IO.</w:t>
      </w:r>
    </w:p>
    <w:p w14:paraId="4FF697DB" w14:textId="778B2FBA" w:rsidR="00187EEA" w:rsidRPr="007F1668" w:rsidRDefault="00187EEA" w:rsidP="00187EEA">
      <w:pPr>
        <w:pStyle w:val="Titrepartie"/>
        <w:numPr>
          <w:ilvl w:val="0"/>
          <w:numId w:val="44"/>
        </w:numPr>
        <w:rPr>
          <w:b w:val="0"/>
          <w:bCs w:val="0"/>
          <w:color w:val="auto"/>
          <w:sz w:val="20"/>
        </w:rPr>
      </w:pPr>
      <w:r w:rsidRPr="007F1668">
        <w:rPr>
          <w:b w:val="0"/>
          <w:bCs w:val="0"/>
          <w:color w:val="auto"/>
          <w:sz w:val="20"/>
        </w:rPr>
        <w:t>La validation du cadre politique et réglementaire pour l'accès universel à l'amélioration de la gouvernance et à un environnement favorable</w:t>
      </w:r>
      <w:r w:rsidR="00712628" w:rsidRPr="007F1668">
        <w:rPr>
          <w:b w:val="0"/>
          <w:bCs w:val="0"/>
          <w:color w:val="auto"/>
          <w:sz w:val="20"/>
        </w:rPr>
        <w:t xml:space="preserve"> dans le secteur des TIC (programme EGEE-ICT) dans la région EA-SA-IO</w:t>
      </w:r>
      <w:r w:rsidRPr="007F1668">
        <w:rPr>
          <w:b w:val="0"/>
          <w:bCs w:val="0"/>
          <w:color w:val="auto"/>
          <w:sz w:val="20"/>
        </w:rPr>
        <w:t xml:space="preserve">. </w:t>
      </w:r>
    </w:p>
    <w:p w14:paraId="256829EE" w14:textId="1E1B1E1D" w:rsidR="00712628" w:rsidRPr="007F1668" w:rsidRDefault="00712628" w:rsidP="00187EEA">
      <w:pPr>
        <w:pStyle w:val="Titrepartie"/>
        <w:numPr>
          <w:ilvl w:val="0"/>
          <w:numId w:val="44"/>
        </w:numPr>
        <w:rPr>
          <w:b w:val="0"/>
          <w:bCs w:val="0"/>
          <w:color w:val="auto"/>
          <w:sz w:val="20"/>
        </w:rPr>
      </w:pPr>
      <w:r w:rsidRPr="007F1668">
        <w:rPr>
          <w:b w:val="0"/>
          <w:bCs w:val="0"/>
          <w:color w:val="auto"/>
          <w:sz w:val="20"/>
        </w:rPr>
        <w:t>La consultation en ligne avec l’expert dédié sur le travail en matière du commerce électronique, de protection des données et de la vie privée, de droits de propriété intellectuelle (DPI) et d'infrastructure à clé publique (PKI).</w:t>
      </w:r>
    </w:p>
    <w:p w14:paraId="3334ED81" w14:textId="77777777" w:rsidR="00712628" w:rsidRPr="007F1668" w:rsidRDefault="00712628" w:rsidP="00712628">
      <w:pPr>
        <w:pStyle w:val="Titrepartie"/>
        <w:numPr>
          <w:ilvl w:val="0"/>
          <w:numId w:val="0"/>
        </w:numPr>
        <w:rPr>
          <w:b w:val="0"/>
          <w:bCs w:val="0"/>
          <w:color w:val="auto"/>
          <w:sz w:val="20"/>
        </w:rPr>
      </w:pPr>
    </w:p>
    <w:p w14:paraId="6D1A6A79" w14:textId="1847EC9D" w:rsidR="00712628" w:rsidRPr="007F1668" w:rsidRDefault="00712628" w:rsidP="00712628">
      <w:pPr>
        <w:pStyle w:val="Titrepartie"/>
        <w:numPr>
          <w:ilvl w:val="0"/>
          <w:numId w:val="0"/>
        </w:numPr>
        <w:rPr>
          <w:b w:val="0"/>
          <w:bCs w:val="0"/>
          <w:color w:val="auto"/>
          <w:sz w:val="20"/>
        </w:rPr>
      </w:pPr>
      <w:r w:rsidRPr="007F1668">
        <w:rPr>
          <w:b w:val="0"/>
          <w:bCs w:val="0"/>
          <w:color w:val="auto"/>
          <w:sz w:val="20"/>
        </w:rPr>
        <w:t xml:space="preserve">Concernant la connectivité aérienne, la COI </w:t>
      </w:r>
      <w:r w:rsidR="006417A3" w:rsidRPr="007F1668">
        <w:rPr>
          <w:b w:val="0"/>
          <w:bCs w:val="0"/>
          <w:color w:val="auto"/>
          <w:sz w:val="20"/>
        </w:rPr>
        <w:t>veille</w:t>
      </w:r>
      <w:r w:rsidRPr="007F1668">
        <w:rPr>
          <w:b w:val="0"/>
          <w:bCs w:val="0"/>
          <w:color w:val="auto"/>
          <w:sz w:val="20"/>
        </w:rPr>
        <w:t xml:space="preserve"> à </w:t>
      </w:r>
      <w:r w:rsidR="006417A3" w:rsidRPr="007F1668">
        <w:rPr>
          <w:b w:val="0"/>
          <w:bCs w:val="0"/>
          <w:color w:val="auto"/>
          <w:sz w:val="20"/>
        </w:rPr>
        <w:t xml:space="preserve">porter le plaidoyer de la prise en compte des priorités de ses </w:t>
      </w:r>
      <w:r w:rsidR="007F1668" w:rsidRPr="007F1668">
        <w:rPr>
          <w:b w:val="0"/>
          <w:bCs w:val="0"/>
          <w:color w:val="auto"/>
          <w:sz w:val="20"/>
        </w:rPr>
        <w:t>États</w:t>
      </w:r>
      <w:r w:rsidR="006417A3" w:rsidRPr="007F1668">
        <w:rPr>
          <w:b w:val="0"/>
          <w:bCs w:val="0"/>
          <w:color w:val="auto"/>
          <w:sz w:val="20"/>
        </w:rPr>
        <w:t xml:space="preserve">-membres, en siégeant </w:t>
      </w:r>
      <w:r w:rsidRPr="007F1668">
        <w:rPr>
          <w:b w:val="0"/>
          <w:bCs w:val="0"/>
          <w:color w:val="auto"/>
          <w:sz w:val="20"/>
        </w:rPr>
        <w:t>au niveau du groupe de travail technique et du comité de pilotage du programme d’amélioration de la connectivité aérienne (SATSD) porté par la COMESA, en Afrique de l'Est, en Afrique australe et dans la région de l'océan Indien (EA-SA-IO), un programme financé par l'Union européenne au titre du 11e Fonds européen de développement (FED).</w:t>
      </w:r>
    </w:p>
    <w:p w14:paraId="243605A6" w14:textId="77777777" w:rsidR="007F1668" w:rsidRPr="007F1668" w:rsidRDefault="007F1668" w:rsidP="00712628">
      <w:pPr>
        <w:pStyle w:val="Titrepartie"/>
        <w:numPr>
          <w:ilvl w:val="0"/>
          <w:numId w:val="0"/>
        </w:numPr>
        <w:rPr>
          <w:b w:val="0"/>
          <w:bCs w:val="0"/>
          <w:color w:val="auto"/>
          <w:sz w:val="20"/>
        </w:rPr>
      </w:pPr>
    </w:p>
    <w:p w14:paraId="72DB0C55" w14:textId="1245EA8C" w:rsidR="006417A3" w:rsidRPr="007F1668" w:rsidRDefault="006417A3" w:rsidP="00AE4644">
      <w:pPr>
        <w:pStyle w:val="Titrepartie"/>
        <w:numPr>
          <w:ilvl w:val="0"/>
          <w:numId w:val="44"/>
        </w:numPr>
        <w:rPr>
          <w:b w:val="0"/>
          <w:bCs w:val="0"/>
          <w:color w:val="auto"/>
          <w:sz w:val="20"/>
        </w:rPr>
      </w:pPr>
      <w:r w:rsidRPr="007F1668">
        <w:rPr>
          <w:b w:val="0"/>
          <w:bCs w:val="0"/>
          <w:color w:val="auto"/>
          <w:sz w:val="20"/>
        </w:rPr>
        <w:t>6</w:t>
      </w:r>
      <w:r w:rsidRPr="007F1668">
        <w:rPr>
          <w:b w:val="0"/>
          <w:bCs w:val="0"/>
          <w:color w:val="auto"/>
          <w:sz w:val="20"/>
          <w:vertAlign w:val="superscript"/>
        </w:rPr>
        <w:t>ème</w:t>
      </w:r>
      <w:r w:rsidRPr="007F1668">
        <w:rPr>
          <w:b w:val="0"/>
          <w:bCs w:val="0"/>
          <w:color w:val="auto"/>
          <w:sz w:val="20"/>
        </w:rPr>
        <w:t xml:space="preserve"> groupe de travail technique, en ligne, </w:t>
      </w:r>
      <w:r w:rsidR="00F54FDA" w:rsidRPr="007F1668">
        <w:rPr>
          <w:b w:val="0"/>
          <w:bCs w:val="0"/>
          <w:color w:val="auto"/>
          <w:sz w:val="20"/>
        </w:rPr>
        <w:t>en vue de la préparation du 4</w:t>
      </w:r>
      <w:r w:rsidR="00F54FDA" w:rsidRPr="007F1668">
        <w:rPr>
          <w:b w:val="0"/>
          <w:bCs w:val="0"/>
          <w:color w:val="auto"/>
          <w:sz w:val="20"/>
          <w:vertAlign w:val="superscript"/>
        </w:rPr>
        <w:t>ème</w:t>
      </w:r>
      <w:r w:rsidR="00F54FDA" w:rsidRPr="007F1668">
        <w:rPr>
          <w:b w:val="0"/>
          <w:bCs w:val="0"/>
          <w:color w:val="auto"/>
          <w:sz w:val="20"/>
        </w:rPr>
        <w:t xml:space="preserve"> comité de pilotage du programme.</w:t>
      </w:r>
    </w:p>
    <w:p w14:paraId="21CE6307" w14:textId="781904D3" w:rsidR="00AE4644" w:rsidRPr="007F1668" w:rsidRDefault="00AE4644" w:rsidP="00AE4644">
      <w:pPr>
        <w:pStyle w:val="Titrepartie"/>
        <w:numPr>
          <w:ilvl w:val="0"/>
          <w:numId w:val="44"/>
        </w:numPr>
        <w:rPr>
          <w:b w:val="0"/>
          <w:bCs w:val="0"/>
          <w:color w:val="auto"/>
          <w:sz w:val="20"/>
        </w:rPr>
      </w:pPr>
      <w:r w:rsidRPr="007F1668">
        <w:rPr>
          <w:b w:val="0"/>
          <w:bCs w:val="0"/>
          <w:color w:val="auto"/>
          <w:sz w:val="20"/>
        </w:rPr>
        <w:t>4</w:t>
      </w:r>
      <w:r w:rsidRPr="007F1668">
        <w:rPr>
          <w:b w:val="0"/>
          <w:bCs w:val="0"/>
          <w:color w:val="auto"/>
          <w:sz w:val="20"/>
          <w:vertAlign w:val="superscript"/>
        </w:rPr>
        <w:t>ème</w:t>
      </w:r>
      <w:r w:rsidRPr="007F1668">
        <w:rPr>
          <w:b w:val="0"/>
          <w:bCs w:val="0"/>
          <w:color w:val="auto"/>
          <w:sz w:val="20"/>
        </w:rPr>
        <w:t xml:space="preserve"> comité de pilotage, en ligne, pour la validation du rapport d’activité annuel 2024, la programmation 2025, dans le cadre du « non </w:t>
      </w:r>
      <w:proofErr w:type="spellStart"/>
      <w:r w:rsidRPr="007F1668">
        <w:rPr>
          <w:b w:val="0"/>
          <w:bCs w:val="0"/>
          <w:color w:val="auto"/>
          <w:sz w:val="20"/>
        </w:rPr>
        <w:t>cost</w:t>
      </w:r>
      <w:proofErr w:type="spellEnd"/>
      <w:r w:rsidRPr="007F1668">
        <w:rPr>
          <w:b w:val="0"/>
          <w:bCs w:val="0"/>
          <w:color w:val="auto"/>
          <w:sz w:val="20"/>
        </w:rPr>
        <w:t xml:space="preserve"> extension », afin d’améliorer l'impact de sa mise en œuvre et son alignement sur les priorités régionales.</w:t>
      </w:r>
    </w:p>
    <w:p w14:paraId="336CBBDC" w14:textId="77777777" w:rsidR="00266B00" w:rsidRPr="007F1668" w:rsidRDefault="00266B00" w:rsidP="00F54FDA">
      <w:pPr>
        <w:pStyle w:val="Titrepartie"/>
        <w:numPr>
          <w:ilvl w:val="0"/>
          <w:numId w:val="0"/>
        </w:numPr>
        <w:rPr>
          <w:b w:val="0"/>
          <w:bCs w:val="0"/>
          <w:color w:val="auto"/>
          <w:sz w:val="20"/>
        </w:rPr>
      </w:pPr>
    </w:p>
    <w:p w14:paraId="422C7EAE" w14:textId="17BF6BB9" w:rsidR="00187EEA" w:rsidRPr="007F1668" w:rsidRDefault="00F54FDA" w:rsidP="00F21684">
      <w:pPr>
        <w:pStyle w:val="Titrepartie"/>
        <w:numPr>
          <w:ilvl w:val="0"/>
          <w:numId w:val="0"/>
        </w:numPr>
        <w:rPr>
          <w:b w:val="0"/>
          <w:bCs w:val="0"/>
          <w:color w:val="auto"/>
          <w:sz w:val="20"/>
        </w:rPr>
      </w:pPr>
      <w:r w:rsidRPr="007F1668">
        <w:rPr>
          <w:b w:val="0"/>
          <w:bCs w:val="0"/>
          <w:color w:val="auto"/>
          <w:sz w:val="20"/>
        </w:rPr>
        <w:t xml:space="preserve">En outre, </w:t>
      </w:r>
      <w:r w:rsidR="0099277B" w:rsidRPr="007F1668">
        <w:rPr>
          <w:b w:val="0"/>
          <w:bCs w:val="0"/>
          <w:color w:val="auto"/>
          <w:sz w:val="20"/>
        </w:rPr>
        <w:t>conformément à la décision 5d) du 37ème Conseil des ministres, la</w:t>
      </w:r>
      <w:r w:rsidRPr="007F1668">
        <w:rPr>
          <w:b w:val="0"/>
          <w:bCs w:val="0"/>
          <w:color w:val="auto"/>
          <w:sz w:val="20"/>
        </w:rPr>
        <w:t xml:space="preserve"> redynamisation des comités aviations civiles et transporteurs aériens</w:t>
      </w:r>
      <w:r w:rsidR="0099277B" w:rsidRPr="007F1668">
        <w:rPr>
          <w:b w:val="0"/>
          <w:bCs w:val="0"/>
          <w:color w:val="auto"/>
          <w:sz w:val="20"/>
        </w:rPr>
        <w:t xml:space="preserve"> est envisagée. Les termes de référence ont été rédigés, sur la base des priorités identifiées par la dernière réunion du Comité des aviations civiles en 2019 : dont</w:t>
      </w:r>
      <w:r w:rsidR="00EF0728" w:rsidRPr="007F1668">
        <w:rPr>
          <w:b w:val="0"/>
          <w:bCs w:val="0"/>
          <w:color w:val="auto"/>
          <w:sz w:val="20"/>
        </w:rPr>
        <w:t xml:space="preserve"> la connaissance mutuelle des autorités nationales de l’aviation civile, la sécurité et sûreté aériennes, les formations, la capacité de navigation aérienne à Madagascar par des élèves pilotes privés pour pouvoir finaliser leurs formations encadrées par un instructeur. I</w:t>
      </w:r>
      <w:r w:rsidR="00266B00" w:rsidRPr="007F1668">
        <w:rPr>
          <w:b w:val="0"/>
          <w:bCs w:val="0"/>
          <w:color w:val="auto"/>
          <w:sz w:val="20"/>
        </w:rPr>
        <w:t xml:space="preserve">l est proposé </w:t>
      </w:r>
      <w:r w:rsidRPr="007F1668">
        <w:rPr>
          <w:b w:val="0"/>
          <w:bCs w:val="0"/>
          <w:color w:val="auto"/>
          <w:sz w:val="20"/>
        </w:rPr>
        <w:t>d</w:t>
      </w:r>
      <w:r w:rsidR="00EF0728" w:rsidRPr="007F1668">
        <w:rPr>
          <w:b w:val="0"/>
          <w:bCs w:val="0"/>
          <w:color w:val="auto"/>
          <w:sz w:val="20"/>
        </w:rPr>
        <w:t xml:space="preserve">’organiser une réunion en hybride avec les acteurs concernés de chaque Etat-membre, pour </w:t>
      </w:r>
      <w:r w:rsidRPr="007F1668">
        <w:rPr>
          <w:b w:val="0"/>
          <w:bCs w:val="0"/>
          <w:color w:val="auto"/>
          <w:sz w:val="20"/>
        </w:rPr>
        <w:t xml:space="preserve">faire un état le lieu de la connectivité aérienne dans la </w:t>
      </w:r>
      <w:r w:rsidR="00266B00" w:rsidRPr="007F1668">
        <w:rPr>
          <w:b w:val="0"/>
          <w:bCs w:val="0"/>
          <w:color w:val="auto"/>
          <w:sz w:val="20"/>
        </w:rPr>
        <w:t>r</w:t>
      </w:r>
      <w:r w:rsidR="007F1668" w:rsidRPr="007F1668">
        <w:rPr>
          <w:b w:val="0"/>
          <w:bCs w:val="0"/>
          <w:color w:val="auto"/>
          <w:sz w:val="20"/>
        </w:rPr>
        <w:t>é</w:t>
      </w:r>
      <w:r w:rsidR="00266B00" w:rsidRPr="007F1668">
        <w:rPr>
          <w:b w:val="0"/>
          <w:bCs w:val="0"/>
          <w:color w:val="auto"/>
          <w:sz w:val="20"/>
        </w:rPr>
        <w:t>gion</w:t>
      </w:r>
      <w:r w:rsidR="007F1668" w:rsidRPr="007F1668">
        <w:rPr>
          <w:b w:val="0"/>
          <w:bCs w:val="0"/>
          <w:color w:val="auto"/>
          <w:sz w:val="20"/>
        </w:rPr>
        <w:t xml:space="preserve">, </w:t>
      </w:r>
      <w:r w:rsidR="00EF0728" w:rsidRPr="007F1668">
        <w:rPr>
          <w:b w:val="0"/>
          <w:bCs w:val="0"/>
          <w:color w:val="auto"/>
          <w:sz w:val="20"/>
        </w:rPr>
        <w:t xml:space="preserve">en vue de la tenue de la conférence ministérielle sur la connectivité aérienne, </w:t>
      </w:r>
      <w:r w:rsidR="00D24847" w:rsidRPr="007F1668">
        <w:rPr>
          <w:b w:val="0"/>
          <w:bCs w:val="0"/>
          <w:color w:val="auto"/>
          <w:sz w:val="20"/>
        </w:rPr>
        <w:t xml:space="preserve">aux Comores au premier trimestre 2026, tel que </w:t>
      </w:r>
      <w:r w:rsidR="00EF0728" w:rsidRPr="007F1668">
        <w:rPr>
          <w:b w:val="0"/>
          <w:bCs w:val="0"/>
          <w:color w:val="auto"/>
          <w:sz w:val="20"/>
        </w:rPr>
        <w:t>proposée par la présidence comorienne en exercice de la COI</w:t>
      </w:r>
      <w:r w:rsidR="00D24847" w:rsidRPr="007F1668">
        <w:rPr>
          <w:b w:val="0"/>
          <w:bCs w:val="0"/>
          <w:color w:val="auto"/>
          <w:sz w:val="20"/>
        </w:rPr>
        <w:t xml:space="preserve"> lors d’une réunion de travail au Secrétariat général en août 2025</w:t>
      </w:r>
      <w:r w:rsidR="00EF0728" w:rsidRPr="007F1668">
        <w:rPr>
          <w:b w:val="0"/>
          <w:bCs w:val="0"/>
          <w:color w:val="auto"/>
          <w:sz w:val="20"/>
        </w:rPr>
        <w:t>.</w:t>
      </w:r>
    </w:p>
    <w:p w14:paraId="36F97F18" w14:textId="77777777" w:rsidR="00F21684" w:rsidRPr="007F1668" w:rsidRDefault="00F21684" w:rsidP="00F21684">
      <w:pPr>
        <w:pStyle w:val="Titrepartie"/>
        <w:numPr>
          <w:ilvl w:val="0"/>
          <w:numId w:val="0"/>
        </w:numPr>
        <w:rPr>
          <w:b w:val="0"/>
          <w:bCs w:val="0"/>
          <w:color w:val="auto"/>
          <w:sz w:val="20"/>
        </w:rPr>
      </w:pPr>
    </w:p>
    <w:p w14:paraId="49CC35AE" w14:textId="65AE6D22" w:rsidR="00EF0728" w:rsidRPr="007F1668" w:rsidRDefault="00EF0728" w:rsidP="00187EEA">
      <w:pPr>
        <w:pStyle w:val="Titrepartie"/>
        <w:numPr>
          <w:ilvl w:val="0"/>
          <w:numId w:val="0"/>
        </w:numPr>
        <w:rPr>
          <w:b w:val="0"/>
          <w:bCs w:val="0"/>
          <w:color w:val="auto"/>
          <w:sz w:val="20"/>
        </w:rPr>
      </w:pPr>
      <w:r w:rsidRPr="007F1668">
        <w:rPr>
          <w:b w:val="0"/>
          <w:bCs w:val="0"/>
          <w:color w:val="auto"/>
          <w:sz w:val="20"/>
        </w:rPr>
        <w:t xml:space="preserve">Finalement, concernant la connectivité maritime, la participation de la COI à la 9ème Conférence de Tokyo sur le développement de l’Afrique (TICAD9) a permis de relancer les discussions avec l’Ambassade de Japon pour mieux baliser les opportunités de coopération et notamment identifier des sources de financement pour la redynamisation du Comité </w:t>
      </w:r>
      <w:r w:rsidR="00635A41" w:rsidRPr="007F1668">
        <w:rPr>
          <w:b w:val="0"/>
          <w:bCs w:val="0"/>
          <w:color w:val="auto"/>
          <w:sz w:val="20"/>
        </w:rPr>
        <w:t xml:space="preserve">technique </w:t>
      </w:r>
      <w:r w:rsidR="00D24847" w:rsidRPr="007F1668">
        <w:rPr>
          <w:b w:val="0"/>
          <w:bCs w:val="0"/>
          <w:color w:val="auto"/>
          <w:sz w:val="20"/>
        </w:rPr>
        <w:t xml:space="preserve">régional sur l’amélioration de la connectivité maritime dans la région sud-ouest de l’océan Indien. </w:t>
      </w:r>
      <w:r w:rsidRPr="007F1668">
        <w:rPr>
          <w:b w:val="0"/>
          <w:bCs w:val="0"/>
          <w:color w:val="auto"/>
          <w:sz w:val="20"/>
        </w:rPr>
        <w:t xml:space="preserve"> </w:t>
      </w:r>
    </w:p>
    <w:p w14:paraId="5D958933" w14:textId="77777777" w:rsidR="00D24847" w:rsidRPr="007F1668" w:rsidRDefault="00D24847" w:rsidP="00187EEA">
      <w:pPr>
        <w:pStyle w:val="Titrepartie"/>
        <w:numPr>
          <w:ilvl w:val="0"/>
          <w:numId w:val="0"/>
        </w:numPr>
        <w:rPr>
          <w:b w:val="0"/>
          <w:bCs w:val="0"/>
          <w:color w:val="auto"/>
          <w:sz w:val="20"/>
        </w:rPr>
      </w:pPr>
    </w:p>
    <w:p w14:paraId="2F7F5914" w14:textId="4CAC10BD" w:rsidR="00955BB3" w:rsidRPr="007F1668" w:rsidRDefault="00955BB3" w:rsidP="00016A3F">
      <w:pPr>
        <w:pStyle w:val="Titrepartie"/>
      </w:pPr>
      <w:r w:rsidRPr="007F1668">
        <w:t>Proposition de décision</w:t>
      </w:r>
    </w:p>
    <w:p w14:paraId="05F1F967" w14:textId="1F40FACF" w:rsidR="0008468B" w:rsidRPr="007F1668" w:rsidRDefault="0008468B" w:rsidP="00FE285D">
      <w:pPr>
        <w:pStyle w:val="Paragraphe"/>
      </w:pPr>
      <w:bookmarkStart w:id="2" w:name="_Hlk213069833"/>
      <w:r w:rsidRPr="007F1668">
        <w:t>Le Comité des OPL</w:t>
      </w:r>
      <w:r w:rsidR="00777426" w:rsidRPr="007F1668">
        <w:t xml:space="preserve"> </w:t>
      </w:r>
      <w:r w:rsidR="00A76B07" w:rsidRPr="007F1668">
        <w:t>:</w:t>
      </w:r>
    </w:p>
    <w:p w14:paraId="1BCA3900" w14:textId="63C30AB0" w:rsidR="00062DB3" w:rsidRPr="007F1668" w:rsidRDefault="00FF7758" w:rsidP="00FF7758">
      <w:pPr>
        <w:pStyle w:val="Paragraphe"/>
        <w:numPr>
          <w:ilvl w:val="0"/>
          <w:numId w:val="6"/>
        </w:numPr>
      </w:pPr>
      <w:r w:rsidRPr="007F1668">
        <w:t>P</w:t>
      </w:r>
      <w:r w:rsidR="002E590C" w:rsidRPr="007F1668">
        <w:t>rend note d</w:t>
      </w:r>
      <w:r w:rsidRPr="007F1668">
        <w:t>e</w:t>
      </w:r>
      <w:r w:rsidR="00791F14" w:rsidRPr="007F1668">
        <w:t>s avancées du Comité des douanes</w:t>
      </w:r>
      <w:r w:rsidR="005B0110" w:rsidRPr="007F1668">
        <w:t xml:space="preserve"> et invite le Secrétariat général à poursuivre </w:t>
      </w:r>
      <w:r w:rsidR="0064414D" w:rsidRPr="007F1668">
        <w:t xml:space="preserve">ses appuis </w:t>
      </w:r>
    </w:p>
    <w:p w14:paraId="33D9F753" w14:textId="5A6498CD" w:rsidR="00791F14" w:rsidRPr="007F1668" w:rsidRDefault="00C26340" w:rsidP="00FF7758">
      <w:pPr>
        <w:pStyle w:val="Paragraphe"/>
        <w:numPr>
          <w:ilvl w:val="0"/>
          <w:numId w:val="6"/>
        </w:numPr>
      </w:pPr>
      <w:r>
        <w:t>Prend note que</w:t>
      </w:r>
      <w:r w:rsidR="00062DB3" w:rsidRPr="007F1668">
        <w:t xml:space="preserve"> le Secrétaire général explorer</w:t>
      </w:r>
      <w:r>
        <w:t>a</w:t>
      </w:r>
      <w:r w:rsidR="00062DB3" w:rsidRPr="007F1668">
        <w:t xml:space="preserve"> les voies pour concrétiser </w:t>
      </w:r>
      <w:r w:rsidR="00F21684" w:rsidRPr="007F1668">
        <w:t>les synergies</w:t>
      </w:r>
      <w:r w:rsidR="0064414D" w:rsidRPr="007F1668">
        <w:t xml:space="preserve"> envisag</w:t>
      </w:r>
      <w:r w:rsidR="003B386D" w:rsidRPr="007F1668">
        <w:t>ées</w:t>
      </w:r>
      <w:r w:rsidR="0064414D" w:rsidRPr="007F1668">
        <w:t xml:space="preserve"> </w:t>
      </w:r>
      <w:r w:rsidR="00062DB3" w:rsidRPr="007F1668">
        <w:t xml:space="preserve">et tenir les </w:t>
      </w:r>
      <w:r w:rsidR="007F1668" w:rsidRPr="007F1668">
        <w:t>États</w:t>
      </w:r>
      <w:r w:rsidR="00062DB3" w:rsidRPr="007F1668">
        <w:t xml:space="preserve"> membres informés des résultats.</w:t>
      </w:r>
      <w:r w:rsidR="00791F14" w:rsidRPr="007F1668">
        <w:t xml:space="preserve"> </w:t>
      </w:r>
    </w:p>
    <w:p w14:paraId="460FA8F0" w14:textId="5B34B447" w:rsidR="00BB4F9A" w:rsidRPr="007F1668" w:rsidRDefault="00791F14" w:rsidP="00FF7758">
      <w:pPr>
        <w:pStyle w:val="Paragraphe"/>
        <w:numPr>
          <w:ilvl w:val="0"/>
          <w:numId w:val="6"/>
        </w:numPr>
      </w:pPr>
      <w:r w:rsidRPr="007F1668">
        <w:t xml:space="preserve">Prend note de l’initiative </w:t>
      </w:r>
      <w:r w:rsidR="004A4216" w:rsidRPr="007F1668">
        <w:t xml:space="preserve">des Agences nationales de promotion de l’investissement des </w:t>
      </w:r>
      <w:r w:rsidR="007F1668" w:rsidRPr="007F1668">
        <w:t>États</w:t>
      </w:r>
      <w:r w:rsidR="004A4216" w:rsidRPr="007F1668">
        <w:t xml:space="preserve"> membres de mettre en place une association et de leur volonté d’une collaboration effective avec la COI </w:t>
      </w:r>
      <w:r w:rsidRPr="007F1668">
        <w:t xml:space="preserve">et recommande </w:t>
      </w:r>
      <w:r w:rsidR="004A4216" w:rsidRPr="007F1668">
        <w:t xml:space="preserve">au </w:t>
      </w:r>
      <w:r w:rsidRPr="007F1668">
        <w:t xml:space="preserve">Conseil des </w:t>
      </w:r>
      <w:r w:rsidR="004A4216" w:rsidRPr="007F1668">
        <w:t>m</w:t>
      </w:r>
      <w:r w:rsidRPr="007F1668">
        <w:t xml:space="preserve">inistres de mandater le Secrétariat général à </w:t>
      </w:r>
      <w:r w:rsidR="009D755B" w:rsidRPr="007F1668">
        <w:t>faciliter</w:t>
      </w:r>
      <w:r w:rsidR="008E78E8" w:rsidRPr="007F1668">
        <w:t xml:space="preserve"> et participer au</w:t>
      </w:r>
      <w:r w:rsidR="009D755B" w:rsidRPr="007F1668">
        <w:t xml:space="preserve"> dialogue entre les ANPI et à apporter des appuis en termes de </w:t>
      </w:r>
      <w:r w:rsidRPr="007F1668">
        <w:t xml:space="preserve">secrétariat, suivi et coordination des activités.  </w:t>
      </w:r>
    </w:p>
    <w:p w14:paraId="28C53DBB" w14:textId="0AB4BAB7" w:rsidR="008E78E8" w:rsidRDefault="008E78E8" w:rsidP="00FF7758">
      <w:pPr>
        <w:pStyle w:val="Paragraphe"/>
        <w:numPr>
          <w:ilvl w:val="0"/>
          <w:numId w:val="6"/>
        </w:numPr>
      </w:pPr>
      <w:r w:rsidRPr="007F1668">
        <w:t>Prend note de</w:t>
      </w:r>
      <w:r w:rsidR="00D53348" w:rsidRPr="007F1668">
        <w:t xml:space="preserve"> la participation de la COI aux travaux du COMESA sur la connectivité aérienne et numérique et réitère sa demande au Secrétariat général de veiller à une relance effective des travaux des comités régionaux des aviations civiles et des transporteurs aériens</w:t>
      </w:r>
      <w:r w:rsidR="00EF283E" w:rsidRPr="007F1668">
        <w:t xml:space="preserve">. </w:t>
      </w:r>
    </w:p>
    <w:bookmarkEnd w:id="2"/>
    <w:p w14:paraId="729314E9" w14:textId="77777777" w:rsidR="007F1668" w:rsidRPr="007F1668" w:rsidRDefault="007F1668" w:rsidP="007F1668">
      <w:pPr>
        <w:pStyle w:val="Paragraphe"/>
        <w:ind w:left="360"/>
      </w:pPr>
    </w:p>
    <w:p w14:paraId="7EAEB404" w14:textId="72ACB4A7" w:rsidR="00955BB3" w:rsidRPr="007F1668" w:rsidRDefault="00955BB3" w:rsidP="00FE285D">
      <w:pPr>
        <w:pStyle w:val="Titrepartie"/>
      </w:pPr>
      <w:r w:rsidRPr="007F1668">
        <w:t>Rappel des décisions antérieures</w:t>
      </w:r>
    </w:p>
    <w:p w14:paraId="458A05D9" w14:textId="77777777" w:rsidR="007F1668" w:rsidRDefault="007F1668" w:rsidP="00E32419">
      <w:pPr>
        <w:pStyle w:val="Titrepartie"/>
        <w:numPr>
          <w:ilvl w:val="0"/>
          <w:numId w:val="0"/>
        </w:numPr>
        <w:ind w:left="360"/>
        <w:rPr>
          <w:i/>
          <w:iCs/>
          <w:color w:val="auto"/>
          <w:sz w:val="20"/>
        </w:rPr>
      </w:pPr>
    </w:p>
    <w:p w14:paraId="41AFBECE" w14:textId="25944E3B" w:rsidR="00E32419" w:rsidRPr="007F1668" w:rsidRDefault="00E32419" w:rsidP="00E32419">
      <w:pPr>
        <w:pStyle w:val="Titrepartie"/>
        <w:numPr>
          <w:ilvl w:val="0"/>
          <w:numId w:val="0"/>
        </w:numPr>
        <w:ind w:left="360"/>
        <w:rPr>
          <w:i/>
          <w:iCs/>
          <w:color w:val="auto"/>
          <w:sz w:val="20"/>
        </w:rPr>
      </w:pPr>
      <w:r w:rsidRPr="007F1668">
        <w:rPr>
          <w:i/>
          <w:iCs/>
          <w:color w:val="auto"/>
          <w:sz w:val="20"/>
        </w:rPr>
        <w:t>Cf. décision 6a) du Comité des OPL 02/2023</w:t>
      </w:r>
    </w:p>
    <w:p w14:paraId="16DB2526" w14:textId="4055B777" w:rsidR="0093546A" w:rsidRPr="007F1668" w:rsidRDefault="00E32419" w:rsidP="0093546A">
      <w:pPr>
        <w:pStyle w:val="Paragraphe"/>
      </w:pPr>
      <w:r w:rsidRPr="007F1668">
        <w:t xml:space="preserve">Recommande au Conseil des </w:t>
      </w:r>
      <w:r w:rsidR="00371CF1" w:rsidRPr="007F1668">
        <w:t>m</w:t>
      </w:r>
      <w:r w:rsidRPr="007F1668">
        <w:t xml:space="preserve">inistres </w:t>
      </w:r>
      <w:r w:rsidR="0093546A" w:rsidRPr="007F1668">
        <w:t>d’encourager la</w:t>
      </w:r>
      <w:r w:rsidRPr="007F1668">
        <w:t xml:space="preserve"> création d’un comité des douanes des </w:t>
      </w:r>
      <w:r w:rsidR="007F1668" w:rsidRPr="007F1668">
        <w:t>États</w:t>
      </w:r>
      <w:r w:rsidRPr="007F1668">
        <w:t xml:space="preserve"> membres de la COI et </w:t>
      </w:r>
      <w:r w:rsidR="0093546A" w:rsidRPr="007F1668">
        <w:t>Demande au Secrétariat général d’apporter les appuis nécessaires à ce comité en termes de secrétariat, de suivi et de coordination des activités et de mobilisation des ressources en tant que de besoin</w:t>
      </w:r>
    </w:p>
    <w:p w14:paraId="6BEEAF85" w14:textId="20BF9F10" w:rsidR="00D24847" w:rsidRPr="007F1668" w:rsidRDefault="00D24847" w:rsidP="00D24847">
      <w:pPr>
        <w:pStyle w:val="Paragraphe"/>
        <w:ind w:left="360"/>
        <w:rPr>
          <w:b/>
          <w:bCs/>
          <w:i/>
          <w:iCs/>
        </w:rPr>
      </w:pPr>
      <w:r w:rsidRPr="007F1668">
        <w:rPr>
          <w:b/>
          <w:bCs/>
          <w:i/>
          <w:iCs/>
        </w:rPr>
        <w:t>Cf. décision 5d) du 37ème conseil des ministres de la Commission de l’océan Indien (COI)</w:t>
      </w:r>
    </w:p>
    <w:p w14:paraId="7607F764" w14:textId="16A26014" w:rsidR="00D24847" w:rsidRDefault="00D24847" w:rsidP="00D24847">
      <w:pPr>
        <w:pStyle w:val="Paragraphe"/>
      </w:pPr>
      <w:r w:rsidRPr="007F1668">
        <w:t>Prend note des actions envisagées en faveur du développement des échanges économiques comme indiqué dans le PDS 2023-2033.</w:t>
      </w:r>
    </w:p>
    <w:p w14:paraId="0CC16CEA" w14:textId="77777777" w:rsidR="007F1668" w:rsidRPr="007F1668" w:rsidRDefault="007F1668" w:rsidP="00D24847">
      <w:pPr>
        <w:pStyle w:val="Paragraphe"/>
      </w:pPr>
    </w:p>
    <w:p w14:paraId="5C05D5B8" w14:textId="0E37B3F7" w:rsidR="00E32419" w:rsidRPr="007F1668" w:rsidRDefault="00E32419" w:rsidP="00E32419">
      <w:pPr>
        <w:pStyle w:val="Titrepartie"/>
        <w:numPr>
          <w:ilvl w:val="0"/>
          <w:numId w:val="0"/>
        </w:numPr>
        <w:ind w:left="360"/>
        <w:rPr>
          <w:i/>
          <w:iCs/>
          <w:color w:val="auto"/>
          <w:sz w:val="20"/>
        </w:rPr>
      </w:pPr>
      <w:r w:rsidRPr="007F1668">
        <w:rPr>
          <w:i/>
          <w:iCs/>
          <w:color w:val="auto"/>
          <w:sz w:val="20"/>
        </w:rPr>
        <w:t>Cf. décision 8b) du 37ème conseil des ministres de la Commission de l’océan Indien (COI)</w:t>
      </w:r>
    </w:p>
    <w:p w14:paraId="089FE856" w14:textId="095F45D5" w:rsidR="00E32419" w:rsidRPr="007F1668" w:rsidRDefault="00E32419" w:rsidP="00E32419">
      <w:pPr>
        <w:pStyle w:val="Paragraphe"/>
      </w:pPr>
      <w:r w:rsidRPr="007F1668">
        <w:t>Demande au Secrétariat général d’apporter les appuis nécessaires à ce comité en termes de secrétariat, de suivi et de coordination des activités et de mobilisation des ressources en tant que de besoin</w:t>
      </w:r>
    </w:p>
    <w:p w14:paraId="108B7FCC" w14:textId="3C0EA848" w:rsidR="00E32419" w:rsidRPr="007F1668" w:rsidRDefault="00E32419" w:rsidP="00E32419">
      <w:pPr>
        <w:pStyle w:val="Titrepartie"/>
        <w:numPr>
          <w:ilvl w:val="0"/>
          <w:numId w:val="0"/>
        </w:numPr>
        <w:ind w:left="360"/>
        <w:rPr>
          <w:i/>
          <w:iCs/>
          <w:color w:val="auto"/>
          <w:sz w:val="20"/>
        </w:rPr>
      </w:pPr>
      <w:r w:rsidRPr="007F1668">
        <w:rPr>
          <w:i/>
          <w:iCs/>
          <w:color w:val="auto"/>
          <w:sz w:val="20"/>
        </w:rPr>
        <w:t xml:space="preserve">Cf. décision 22, le Comité des OPL 02/2024 du 02 et 03 décembre 2024 </w:t>
      </w:r>
    </w:p>
    <w:p w14:paraId="56732148" w14:textId="7750C509" w:rsidR="00E32419" w:rsidRPr="007F1668" w:rsidRDefault="00E32419" w:rsidP="00E32419">
      <w:pPr>
        <w:spacing w:after="120"/>
        <w:jc w:val="both"/>
        <w:rPr>
          <w:rFonts w:ascii="Verdana" w:hAnsi="Verdana" w:cs="Calibri"/>
          <w:sz w:val="20"/>
          <w:szCs w:val="20"/>
        </w:rPr>
      </w:pPr>
      <w:r w:rsidRPr="007F1668">
        <w:rPr>
          <w:rFonts w:ascii="Verdana" w:hAnsi="Verdana" w:cs="Calibri"/>
          <w:sz w:val="20"/>
          <w:szCs w:val="20"/>
        </w:rPr>
        <w:t xml:space="preserve">Demande au Secrétariat général de transmettre un courrier au Président du comité des douanes soutenant l’intérêt exprimé et sollicitant une information officielle sur la nature de la collaboration souhaitée avec la COI puis d’en informer les </w:t>
      </w:r>
      <w:r w:rsidR="007F1668" w:rsidRPr="007F1668">
        <w:rPr>
          <w:rFonts w:ascii="Verdana" w:hAnsi="Verdana" w:cs="Calibri"/>
          <w:sz w:val="20"/>
          <w:szCs w:val="20"/>
        </w:rPr>
        <w:t>États</w:t>
      </w:r>
      <w:r w:rsidRPr="007F1668">
        <w:rPr>
          <w:rFonts w:ascii="Verdana" w:hAnsi="Verdana" w:cs="Calibri"/>
          <w:sz w:val="20"/>
          <w:szCs w:val="20"/>
        </w:rPr>
        <w:t xml:space="preserve"> membres pour suite à donner.</w:t>
      </w:r>
    </w:p>
    <w:p w14:paraId="59F9391F" w14:textId="74A18A97" w:rsidR="00CF0690" w:rsidRPr="007F1668" w:rsidRDefault="00CF0690" w:rsidP="00CF0690">
      <w:pPr>
        <w:pStyle w:val="Titrepartie"/>
        <w:numPr>
          <w:ilvl w:val="0"/>
          <w:numId w:val="0"/>
        </w:numPr>
        <w:ind w:left="360"/>
        <w:rPr>
          <w:i/>
          <w:iCs/>
          <w:color w:val="auto"/>
          <w:sz w:val="20"/>
        </w:rPr>
      </w:pPr>
      <w:r w:rsidRPr="007F1668">
        <w:rPr>
          <w:i/>
          <w:iCs/>
          <w:color w:val="auto"/>
          <w:sz w:val="20"/>
        </w:rPr>
        <w:t>Cf. décision 8b), le Comité des OPL 01/2025 du 04 au 06 avril 2025</w:t>
      </w:r>
    </w:p>
    <w:p w14:paraId="5B2F88A7" w14:textId="73F0D5C7" w:rsidR="00CF0690" w:rsidRPr="007F1668" w:rsidRDefault="00CF0690" w:rsidP="00E32419">
      <w:pPr>
        <w:spacing w:after="120"/>
        <w:jc w:val="both"/>
        <w:rPr>
          <w:rFonts w:ascii="Verdana" w:hAnsi="Verdana" w:cs="Calibri"/>
          <w:sz w:val="20"/>
          <w:szCs w:val="20"/>
        </w:rPr>
      </w:pPr>
      <w:r w:rsidRPr="007F1668">
        <w:rPr>
          <w:rFonts w:ascii="Verdana" w:hAnsi="Verdana"/>
          <w:sz w:val="20"/>
          <w:szCs w:val="20"/>
        </w:rPr>
        <w:t>Invite le Secrétariat général à mettre en œuvre la décision 8b) du 37</w:t>
      </w:r>
      <w:r w:rsidRPr="007F1668">
        <w:rPr>
          <w:rFonts w:ascii="Verdana" w:hAnsi="Verdana"/>
          <w:sz w:val="20"/>
          <w:szCs w:val="20"/>
          <w:vertAlign w:val="superscript"/>
        </w:rPr>
        <w:t>ème</w:t>
      </w:r>
      <w:r w:rsidRPr="007F1668">
        <w:rPr>
          <w:rFonts w:ascii="Verdana" w:hAnsi="Verdana"/>
          <w:sz w:val="20"/>
          <w:szCs w:val="20"/>
        </w:rPr>
        <w:t xml:space="preserve"> conseil des ministres de la COI.</w:t>
      </w:r>
    </w:p>
    <w:p w14:paraId="53E5075B" w14:textId="77777777" w:rsidR="00FF7758" w:rsidRPr="007F1668" w:rsidRDefault="00FF7758" w:rsidP="00FF7758">
      <w:pPr>
        <w:pStyle w:val="Titrepartie"/>
        <w:numPr>
          <w:ilvl w:val="0"/>
          <w:numId w:val="0"/>
        </w:numPr>
        <w:ind w:left="360"/>
      </w:pPr>
    </w:p>
    <w:bookmarkEnd w:id="0"/>
    <w:p w14:paraId="1D6F1669" w14:textId="7C20E406" w:rsidR="00417683" w:rsidRPr="007F1668" w:rsidRDefault="00E32419" w:rsidP="00060CA0">
      <w:pPr>
        <w:pStyle w:val="Titrepartie"/>
      </w:pPr>
      <w:r w:rsidRPr="007F1668">
        <w:t>A</w:t>
      </w:r>
      <w:r w:rsidR="00417683" w:rsidRPr="007F1668">
        <w:t>nnexe</w:t>
      </w:r>
      <w:r w:rsidR="008F173C" w:rsidRPr="007F1668">
        <w:t>s</w:t>
      </w:r>
      <w:r w:rsidR="00417683" w:rsidRPr="007F1668">
        <w:t> :</w:t>
      </w:r>
    </w:p>
    <w:p w14:paraId="1DFB84CD" w14:textId="2EB9CC44" w:rsidR="0093546A" w:rsidRPr="007F1668" w:rsidRDefault="00620B90" w:rsidP="0035459A">
      <w:pPr>
        <w:pStyle w:val="Paragraphe"/>
        <w:numPr>
          <w:ilvl w:val="0"/>
          <w:numId w:val="9"/>
        </w:numPr>
      </w:pPr>
      <w:r w:rsidRPr="007F1668">
        <w:t>Annexe 1 </w:t>
      </w:r>
      <w:r w:rsidR="0055059B" w:rsidRPr="007F1668">
        <w:t xml:space="preserve">: </w:t>
      </w:r>
      <w:r w:rsidR="00CF0690" w:rsidRPr="007F1668">
        <w:t xml:space="preserve">Rapport du </w:t>
      </w:r>
      <w:r w:rsidR="000268ED" w:rsidRPr="007F1668">
        <w:t>B</w:t>
      </w:r>
      <w:r w:rsidR="00CF0690" w:rsidRPr="007F1668">
        <w:t xml:space="preserve">usiness </w:t>
      </w:r>
      <w:r w:rsidR="000268ED" w:rsidRPr="007F1668">
        <w:t>F</w:t>
      </w:r>
      <w:r w:rsidR="00CF0690" w:rsidRPr="007F1668">
        <w:t>orum régional en marge du Sommet des Chefs d’État de la Commission de l’Océan Indien (COI) le 24 avril 2025</w:t>
      </w:r>
      <w:r w:rsidR="0093546A" w:rsidRPr="007F1668">
        <w:t xml:space="preserve"> </w:t>
      </w:r>
    </w:p>
    <w:p w14:paraId="07447F5D" w14:textId="435661D7" w:rsidR="0093546A" w:rsidRPr="007F1668" w:rsidRDefault="00614A8F" w:rsidP="00ED2E05">
      <w:pPr>
        <w:pStyle w:val="Paragraphe"/>
        <w:numPr>
          <w:ilvl w:val="0"/>
          <w:numId w:val="9"/>
        </w:numPr>
      </w:pPr>
      <w:r w:rsidRPr="007F1668">
        <w:t xml:space="preserve">Annexe 2 : </w:t>
      </w:r>
      <w:r w:rsidR="00CF0690" w:rsidRPr="007F1668">
        <w:rPr>
          <w:rFonts w:cs="Arial"/>
        </w:rPr>
        <w:t>La</w:t>
      </w:r>
      <w:r w:rsidR="00CF0690" w:rsidRPr="007F1668">
        <w:rPr>
          <w:rFonts w:eastAsia="Times New Roman" w:cs="Arial"/>
        </w:rPr>
        <w:t xml:space="preserve"> déclaration commune signée portant création d’une Association des API des territoires membres de la COI</w:t>
      </w:r>
    </w:p>
    <w:sectPr w:rsidR="0093546A" w:rsidRPr="007F1668"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6A45" w14:textId="77777777" w:rsidR="000102F3" w:rsidRDefault="000102F3">
      <w:pPr>
        <w:spacing w:after="0" w:line="240" w:lineRule="auto"/>
      </w:pPr>
      <w:r>
        <w:separator/>
      </w:r>
    </w:p>
  </w:endnote>
  <w:endnote w:type="continuationSeparator" w:id="0">
    <w:p w14:paraId="6AD5F8A3" w14:textId="77777777" w:rsidR="000102F3" w:rsidRDefault="00010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CD69" w14:textId="77777777" w:rsidR="000102F3" w:rsidRDefault="000102F3">
      <w:pPr>
        <w:spacing w:after="0" w:line="240" w:lineRule="auto"/>
      </w:pPr>
      <w:r>
        <w:separator/>
      </w:r>
    </w:p>
  </w:footnote>
  <w:footnote w:type="continuationSeparator" w:id="0">
    <w:p w14:paraId="65F15359" w14:textId="77777777" w:rsidR="000102F3" w:rsidRDefault="00010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01E82F74" w:rsidR="00AA63A3" w:rsidRDefault="00854EEA" w:rsidP="00FD42D2">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AD1EC1">
      <w:rPr>
        <w:rFonts w:ascii="Verdana" w:hAnsi="Verdana"/>
        <w:b/>
        <w:bCs/>
        <w:sz w:val="20"/>
        <w:szCs w:val="20"/>
      </w:rPr>
      <w:t xml:space="preserve">Point. </w:t>
    </w:r>
    <w:r w:rsidR="00BB0817">
      <w:rPr>
        <w:rFonts w:ascii="Verdana" w:hAnsi="Verdana"/>
        <w:b/>
        <w:bCs/>
        <w:sz w:val="20"/>
        <w:szCs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EA14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BC369C"/>
    <w:multiLevelType w:val="hybridMultilevel"/>
    <w:tmpl w:val="20548D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B54230"/>
    <w:multiLevelType w:val="hybridMultilevel"/>
    <w:tmpl w:val="66BC92CC"/>
    <w:lvl w:ilvl="0" w:tplc="10000001">
      <w:start w:val="1"/>
      <w:numFmt w:val="bullet"/>
      <w:lvlText w:val=""/>
      <w:lvlJc w:val="left"/>
      <w:pPr>
        <w:ind w:left="720" w:hanging="360"/>
      </w:pPr>
      <w:rPr>
        <w:rFonts w:ascii="Symbol" w:hAnsi="Symbol" w:hint="default"/>
      </w:rPr>
    </w:lvl>
    <w:lvl w:ilvl="1" w:tplc="0E041C08">
      <w:numFmt w:val="bullet"/>
      <w:lvlText w:val="-"/>
      <w:lvlJc w:val="left"/>
      <w:pPr>
        <w:ind w:left="1440" w:hanging="360"/>
      </w:pPr>
      <w:rPr>
        <w:rFonts w:ascii="Verdana" w:eastAsiaTheme="minorHAnsi" w:hAnsi="Verdana" w:cs="Calibri"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9AC011E"/>
    <w:multiLevelType w:val="multilevel"/>
    <w:tmpl w:val="33DAB0A0"/>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60493D"/>
    <w:multiLevelType w:val="hybridMultilevel"/>
    <w:tmpl w:val="F4341FE6"/>
    <w:lvl w:ilvl="0" w:tplc="0416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BB4C7A"/>
    <w:multiLevelType w:val="multilevel"/>
    <w:tmpl w:val="6394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55D477A8"/>
    <w:multiLevelType w:val="hybridMultilevel"/>
    <w:tmpl w:val="55F283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907A1E"/>
    <w:multiLevelType w:val="hybridMultilevel"/>
    <w:tmpl w:val="92E4D5A2"/>
    <w:lvl w:ilvl="0" w:tplc="7F600106">
      <w:numFmt w:val="bullet"/>
      <w:lvlText w:val="-"/>
      <w:lvlJc w:val="left"/>
      <w:pPr>
        <w:ind w:left="360" w:hanging="360"/>
      </w:pPr>
      <w:rPr>
        <w:rFonts w:ascii="Trebuchet MS" w:eastAsiaTheme="minorHAnsi" w:hAnsi="Trebuchet MS"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AB50B1"/>
    <w:multiLevelType w:val="hybridMultilevel"/>
    <w:tmpl w:val="D400A608"/>
    <w:lvl w:ilvl="0" w:tplc="49CEE266">
      <w:numFmt w:val="bullet"/>
      <w:lvlText w:val="-"/>
      <w:lvlJc w:val="left"/>
      <w:pPr>
        <w:ind w:left="720" w:hanging="360"/>
      </w:pPr>
      <w:rPr>
        <w:rFonts w:ascii="Verdana" w:eastAsiaTheme="minorHAnsi" w:hAnsi="Verdana" w:cstheme="minorBidi"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78A2D04"/>
    <w:multiLevelType w:val="hybridMultilevel"/>
    <w:tmpl w:val="4888E656"/>
    <w:lvl w:ilvl="0" w:tplc="49CEE266">
      <w:numFmt w:val="bullet"/>
      <w:lvlText w:val="-"/>
      <w:lvlJc w:val="left"/>
      <w:pPr>
        <w:ind w:left="360" w:hanging="360"/>
      </w:pPr>
      <w:rPr>
        <w:rFonts w:ascii="Verdana" w:eastAsiaTheme="minorHAnsi" w:hAnsi="Verdana"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E0A177D"/>
    <w:multiLevelType w:val="hybridMultilevel"/>
    <w:tmpl w:val="0D0E46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2060334">
    <w:abstractNumId w:val="9"/>
  </w:num>
  <w:num w:numId="2" w16cid:durableId="730155708">
    <w:abstractNumId w:val="20"/>
  </w:num>
  <w:num w:numId="3" w16cid:durableId="1226992778">
    <w:abstractNumId w:val="6"/>
  </w:num>
  <w:num w:numId="4" w16cid:durableId="131143113">
    <w:abstractNumId w:val="1"/>
  </w:num>
  <w:num w:numId="5" w16cid:durableId="2012178635">
    <w:abstractNumId w:val="18"/>
  </w:num>
  <w:num w:numId="6" w16cid:durableId="758718310">
    <w:abstractNumId w:val="7"/>
  </w:num>
  <w:num w:numId="7" w16cid:durableId="1547988449">
    <w:abstractNumId w:val="11"/>
  </w:num>
  <w:num w:numId="8" w16cid:durableId="1117337497">
    <w:abstractNumId w:val="6"/>
    <w:lvlOverride w:ilvl="0">
      <w:startOverride w:val="1"/>
    </w:lvlOverride>
  </w:num>
  <w:num w:numId="9" w16cid:durableId="1107774655">
    <w:abstractNumId w:val="5"/>
  </w:num>
  <w:num w:numId="10" w16cid:durableId="1865903141">
    <w:abstractNumId w:val="2"/>
  </w:num>
  <w:num w:numId="11" w16cid:durableId="409931527">
    <w:abstractNumId w:val="6"/>
  </w:num>
  <w:num w:numId="12" w16cid:durableId="1956594569">
    <w:abstractNumId w:val="17"/>
  </w:num>
  <w:num w:numId="13" w16cid:durableId="568005613">
    <w:abstractNumId w:val="13"/>
  </w:num>
  <w:num w:numId="14" w16cid:durableId="1140994487">
    <w:abstractNumId w:val="6"/>
  </w:num>
  <w:num w:numId="15" w16cid:durableId="752436064">
    <w:abstractNumId w:val="15"/>
  </w:num>
  <w:num w:numId="16" w16cid:durableId="1242790777">
    <w:abstractNumId w:val="6"/>
  </w:num>
  <w:num w:numId="17" w16cid:durableId="1205292131">
    <w:abstractNumId w:val="14"/>
  </w:num>
  <w:num w:numId="18" w16cid:durableId="1190029721">
    <w:abstractNumId w:val="16"/>
  </w:num>
  <w:num w:numId="19" w16cid:durableId="800463630">
    <w:abstractNumId w:val="19"/>
  </w:num>
  <w:num w:numId="20" w16cid:durableId="1661227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375351">
    <w:abstractNumId w:val="6"/>
  </w:num>
  <w:num w:numId="22" w16cid:durableId="132063604">
    <w:abstractNumId w:val="3"/>
  </w:num>
  <w:num w:numId="23" w16cid:durableId="1913083392">
    <w:abstractNumId w:val="23"/>
  </w:num>
  <w:num w:numId="24" w16cid:durableId="1078208974">
    <w:abstractNumId w:val="6"/>
  </w:num>
  <w:num w:numId="25" w16cid:durableId="1617759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5180513">
    <w:abstractNumId w:val="6"/>
  </w:num>
  <w:num w:numId="27" w16cid:durableId="1180200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37385">
    <w:abstractNumId w:val="6"/>
  </w:num>
  <w:num w:numId="29" w16cid:durableId="1274897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86481">
    <w:abstractNumId w:val="6"/>
  </w:num>
  <w:num w:numId="31" w16cid:durableId="844828479">
    <w:abstractNumId w:val="6"/>
  </w:num>
  <w:num w:numId="32" w16cid:durableId="35737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6630148">
    <w:abstractNumId w:val="6"/>
  </w:num>
  <w:num w:numId="34" w16cid:durableId="1964535627">
    <w:abstractNumId w:val="6"/>
  </w:num>
  <w:num w:numId="35" w16cid:durableId="1874994621">
    <w:abstractNumId w:val="6"/>
  </w:num>
  <w:num w:numId="36" w16cid:durableId="923219820">
    <w:abstractNumId w:val="6"/>
  </w:num>
  <w:num w:numId="37" w16cid:durableId="962418196">
    <w:abstractNumId w:val="6"/>
  </w:num>
  <w:num w:numId="38" w16cid:durableId="1263225825">
    <w:abstractNumId w:val="6"/>
  </w:num>
  <w:num w:numId="39" w16cid:durableId="126553149">
    <w:abstractNumId w:val="6"/>
  </w:num>
  <w:num w:numId="40" w16cid:durableId="305748724">
    <w:abstractNumId w:val="0"/>
  </w:num>
  <w:num w:numId="41" w16cid:durableId="1085882583">
    <w:abstractNumId w:val="6"/>
  </w:num>
  <w:num w:numId="42" w16cid:durableId="2021006302">
    <w:abstractNumId w:val="6"/>
  </w:num>
  <w:num w:numId="43" w16cid:durableId="332758584">
    <w:abstractNumId w:val="4"/>
  </w:num>
  <w:num w:numId="44" w16cid:durableId="973485685">
    <w:abstractNumId w:val="21"/>
  </w:num>
  <w:num w:numId="45" w16cid:durableId="207108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5669347">
    <w:abstractNumId w:val="8"/>
  </w:num>
  <w:num w:numId="47" w16cid:durableId="477381285">
    <w:abstractNumId w:val="12"/>
  </w:num>
  <w:num w:numId="48" w16cid:durableId="1262910977">
    <w:abstractNumId w:val="6"/>
  </w:num>
  <w:num w:numId="49" w16cid:durableId="1781795261">
    <w:abstractNumId w:val="6"/>
  </w:num>
  <w:num w:numId="50" w16cid:durableId="1581911105">
    <w:abstractNumId w:val="6"/>
    <w:lvlOverride w:ilvl="0">
      <w:startOverride w:val="2"/>
    </w:lvlOverride>
    <w:lvlOverride w:ilvl="1">
      <w:startOverride w:val="3"/>
    </w:lvlOverride>
  </w:num>
  <w:num w:numId="51" w16cid:durableId="601643426">
    <w:abstractNumId w:val="22"/>
  </w:num>
  <w:num w:numId="52" w16cid:durableId="627785762">
    <w:abstractNumId w:val="10"/>
  </w:num>
  <w:num w:numId="53" w16cid:durableId="855659321">
    <w:abstractNumId w:val="6"/>
  </w:num>
  <w:num w:numId="54" w16cid:durableId="790631489">
    <w:abstractNumId w:val="6"/>
  </w:num>
  <w:num w:numId="55" w16cid:durableId="1298878324">
    <w:abstractNumId w:val="6"/>
  </w:num>
  <w:num w:numId="56" w16cid:durableId="1588803660">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02F3"/>
    <w:rsid w:val="00012EE8"/>
    <w:rsid w:val="00016A3F"/>
    <w:rsid w:val="000268ED"/>
    <w:rsid w:val="000373B2"/>
    <w:rsid w:val="00042CF5"/>
    <w:rsid w:val="00060CA0"/>
    <w:rsid w:val="00062DB3"/>
    <w:rsid w:val="00063A26"/>
    <w:rsid w:val="00064FBF"/>
    <w:rsid w:val="0006588B"/>
    <w:rsid w:val="0008468B"/>
    <w:rsid w:val="000A1617"/>
    <w:rsid w:val="000A468A"/>
    <w:rsid w:val="000B0776"/>
    <w:rsid w:val="000B0FBD"/>
    <w:rsid w:val="000B489A"/>
    <w:rsid w:val="000B5884"/>
    <w:rsid w:val="000B6940"/>
    <w:rsid w:val="000F4728"/>
    <w:rsid w:val="00107D9D"/>
    <w:rsid w:val="00117F1A"/>
    <w:rsid w:val="00125BD5"/>
    <w:rsid w:val="00150C9A"/>
    <w:rsid w:val="00171522"/>
    <w:rsid w:val="0018252D"/>
    <w:rsid w:val="00187EEA"/>
    <w:rsid w:val="001A56F1"/>
    <w:rsid w:val="001B3F3A"/>
    <w:rsid w:val="001B4738"/>
    <w:rsid w:val="001F0C27"/>
    <w:rsid w:val="001F6CDE"/>
    <w:rsid w:val="0020446F"/>
    <w:rsid w:val="00217D63"/>
    <w:rsid w:val="002351B0"/>
    <w:rsid w:val="00236A45"/>
    <w:rsid w:val="002573FA"/>
    <w:rsid w:val="0026279A"/>
    <w:rsid w:val="00266B00"/>
    <w:rsid w:val="002764E2"/>
    <w:rsid w:val="002837C0"/>
    <w:rsid w:val="002A0933"/>
    <w:rsid w:val="002A096E"/>
    <w:rsid w:val="002C56ED"/>
    <w:rsid w:val="002C5EB1"/>
    <w:rsid w:val="002D3C5B"/>
    <w:rsid w:val="002E53F9"/>
    <w:rsid w:val="002E590C"/>
    <w:rsid w:val="00303F8A"/>
    <w:rsid w:val="003147BF"/>
    <w:rsid w:val="00345C92"/>
    <w:rsid w:val="00354CE2"/>
    <w:rsid w:val="003604B9"/>
    <w:rsid w:val="00371CF1"/>
    <w:rsid w:val="003772FB"/>
    <w:rsid w:val="003847CE"/>
    <w:rsid w:val="00391152"/>
    <w:rsid w:val="003975E7"/>
    <w:rsid w:val="003A2928"/>
    <w:rsid w:val="003B2862"/>
    <w:rsid w:val="003B386D"/>
    <w:rsid w:val="003B4B20"/>
    <w:rsid w:val="003C2538"/>
    <w:rsid w:val="003D485F"/>
    <w:rsid w:val="003D5328"/>
    <w:rsid w:val="003F16E6"/>
    <w:rsid w:val="004043D1"/>
    <w:rsid w:val="004124B2"/>
    <w:rsid w:val="0041278C"/>
    <w:rsid w:val="00417683"/>
    <w:rsid w:val="00422748"/>
    <w:rsid w:val="0042468B"/>
    <w:rsid w:val="00426673"/>
    <w:rsid w:val="00427B11"/>
    <w:rsid w:val="00431E28"/>
    <w:rsid w:val="00441824"/>
    <w:rsid w:val="00444C58"/>
    <w:rsid w:val="004478C3"/>
    <w:rsid w:val="004607F7"/>
    <w:rsid w:val="00477738"/>
    <w:rsid w:val="00485E88"/>
    <w:rsid w:val="004870BC"/>
    <w:rsid w:val="00491466"/>
    <w:rsid w:val="004954BD"/>
    <w:rsid w:val="004A4216"/>
    <w:rsid w:val="004F5C4B"/>
    <w:rsid w:val="00502B59"/>
    <w:rsid w:val="00502DAA"/>
    <w:rsid w:val="00512B71"/>
    <w:rsid w:val="0053773D"/>
    <w:rsid w:val="00544F07"/>
    <w:rsid w:val="0055059B"/>
    <w:rsid w:val="00550977"/>
    <w:rsid w:val="00564AD2"/>
    <w:rsid w:val="005725B7"/>
    <w:rsid w:val="005813A2"/>
    <w:rsid w:val="005B0110"/>
    <w:rsid w:val="005C1713"/>
    <w:rsid w:val="005D3EBB"/>
    <w:rsid w:val="005E217A"/>
    <w:rsid w:val="00614A8F"/>
    <w:rsid w:val="00620B90"/>
    <w:rsid w:val="00627329"/>
    <w:rsid w:val="006356AF"/>
    <w:rsid w:val="00635A41"/>
    <w:rsid w:val="00637AEE"/>
    <w:rsid w:val="006417A3"/>
    <w:rsid w:val="0064414D"/>
    <w:rsid w:val="006548BF"/>
    <w:rsid w:val="00660504"/>
    <w:rsid w:val="00663459"/>
    <w:rsid w:val="0067468C"/>
    <w:rsid w:val="00674E5A"/>
    <w:rsid w:val="0069014A"/>
    <w:rsid w:val="00690C42"/>
    <w:rsid w:val="00696720"/>
    <w:rsid w:val="006B416E"/>
    <w:rsid w:val="006C4A37"/>
    <w:rsid w:val="006E2D9E"/>
    <w:rsid w:val="00712628"/>
    <w:rsid w:val="00721142"/>
    <w:rsid w:val="0077195E"/>
    <w:rsid w:val="00777426"/>
    <w:rsid w:val="00791F14"/>
    <w:rsid w:val="007B245C"/>
    <w:rsid w:val="007C0735"/>
    <w:rsid w:val="007C78FC"/>
    <w:rsid w:val="007E2BB5"/>
    <w:rsid w:val="007F1668"/>
    <w:rsid w:val="007F3CE9"/>
    <w:rsid w:val="0080295F"/>
    <w:rsid w:val="00803332"/>
    <w:rsid w:val="00806CEC"/>
    <w:rsid w:val="00812361"/>
    <w:rsid w:val="00816DAC"/>
    <w:rsid w:val="00821474"/>
    <w:rsid w:val="0082359B"/>
    <w:rsid w:val="00823B65"/>
    <w:rsid w:val="00827004"/>
    <w:rsid w:val="0083290E"/>
    <w:rsid w:val="008372E0"/>
    <w:rsid w:val="00843FF2"/>
    <w:rsid w:val="008453AB"/>
    <w:rsid w:val="00854EEA"/>
    <w:rsid w:val="008551DA"/>
    <w:rsid w:val="008623C9"/>
    <w:rsid w:val="008C0017"/>
    <w:rsid w:val="008D193F"/>
    <w:rsid w:val="008E4397"/>
    <w:rsid w:val="008E78E8"/>
    <w:rsid w:val="008F11E8"/>
    <w:rsid w:val="008F173C"/>
    <w:rsid w:val="0091069C"/>
    <w:rsid w:val="0093546A"/>
    <w:rsid w:val="00943D63"/>
    <w:rsid w:val="009514C0"/>
    <w:rsid w:val="00955BB3"/>
    <w:rsid w:val="00961E12"/>
    <w:rsid w:val="0099277B"/>
    <w:rsid w:val="009A38AD"/>
    <w:rsid w:val="009A565A"/>
    <w:rsid w:val="009B0DE6"/>
    <w:rsid w:val="009D755B"/>
    <w:rsid w:val="009F3C0F"/>
    <w:rsid w:val="009F496C"/>
    <w:rsid w:val="00A10495"/>
    <w:rsid w:val="00A148A1"/>
    <w:rsid w:val="00A267C5"/>
    <w:rsid w:val="00A36C09"/>
    <w:rsid w:val="00A37C9F"/>
    <w:rsid w:val="00A65270"/>
    <w:rsid w:val="00A70123"/>
    <w:rsid w:val="00A75821"/>
    <w:rsid w:val="00A75936"/>
    <w:rsid w:val="00A76B07"/>
    <w:rsid w:val="00A81B98"/>
    <w:rsid w:val="00A83B56"/>
    <w:rsid w:val="00A90305"/>
    <w:rsid w:val="00A972B1"/>
    <w:rsid w:val="00A97A4F"/>
    <w:rsid w:val="00AA63A3"/>
    <w:rsid w:val="00AB2BC0"/>
    <w:rsid w:val="00AB5EB7"/>
    <w:rsid w:val="00AB7F34"/>
    <w:rsid w:val="00AD1EC1"/>
    <w:rsid w:val="00AD4D97"/>
    <w:rsid w:val="00AE2453"/>
    <w:rsid w:val="00AE2695"/>
    <w:rsid w:val="00AE4644"/>
    <w:rsid w:val="00AF2469"/>
    <w:rsid w:val="00B05DFC"/>
    <w:rsid w:val="00B11F5E"/>
    <w:rsid w:val="00B25DA2"/>
    <w:rsid w:val="00B36EEA"/>
    <w:rsid w:val="00B5101B"/>
    <w:rsid w:val="00B627E8"/>
    <w:rsid w:val="00BA4B55"/>
    <w:rsid w:val="00BB0817"/>
    <w:rsid w:val="00BB368C"/>
    <w:rsid w:val="00BB4F9A"/>
    <w:rsid w:val="00BD5927"/>
    <w:rsid w:val="00BE0EFC"/>
    <w:rsid w:val="00BF5AC1"/>
    <w:rsid w:val="00C12C93"/>
    <w:rsid w:val="00C15678"/>
    <w:rsid w:val="00C26340"/>
    <w:rsid w:val="00C26D0E"/>
    <w:rsid w:val="00C325F5"/>
    <w:rsid w:val="00C457E8"/>
    <w:rsid w:val="00C609B9"/>
    <w:rsid w:val="00C635C3"/>
    <w:rsid w:val="00CB2BBA"/>
    <w:rsid w:val="00CD36C2"/>
    <w:rsid w:val="00CE2386"/>
    <w:rsid w:val="00CE4290"/>
    <w:rsid w:val="00CF0690"/>
    <w:rsid w:val="00CF6E0E"/>
    <w:rsid w:val="00D14691"/>
    <w:rsid w:val="00D1782C"/>
    <w:rsid w:val="00D20D13"/>
    <w:rsid w:val="00D24847"/>
    <w:rsid w:val="00D32E49"/>
    <w:rsid w:val="00D4002B"/>
    <w:rsid w:val="00D4492B"/>
    <w:rsid w:val="00D45A45"/>
    <w:rsid w:val="00D47564"/>
    <w:rsid w:val="00D53346"/>
    <w:rsid w:val="00D53348"/>
    <w:rsid w:val="00D60754"/>
    <w:rsid w:val="00D64F50"/>
    <w:rsid w:val="00D657AE"/>
    <w:rsid w:val="00D76C31"/>
    <w:rsid w:val="00D810B3"/>
    <w:rsid w:val="00E31D44"/>
    <w:rsid w:val="00E32408"/>
    <w:rsid w:val="00E32419"/>
    <w:rsid w:val="00E34CAE"/>
    <w:rsid w:val="00E3648C"/>
    <w:rsid w:val="00E415A2"/>
    <w:rsid w:val="00E57F4E"/>
    <w:rsid w:val="00E71669"/>
    <w:rsid w:val="00E845D4"/>
    <w:rsid w:val="00E93901"/>
    <w:rsid w:val="00EB4679"/>
    <w:rsid w:val="00EC22CC"/>
    <w:rsid w:val="00EC2430"/>
    <w:rsid w:val="00ED1576"/>
    <w:rsid w:val="00ED6B69"/>
    <w:rsid w:val="00EE34F4"/>
    <w:rsid w:val="00EF0728"/>
    <w:rsid w:val="00EF22A4"/>
    <w:rsid w:val="00EF283E"/>
    <w:rsid w:val="00F0674E"/>
    <w:rsid w:val="00F124E6"/>
    <w:rsid w:val="00F21684"/>
    <w:rsid w:val="00F51D7B"/>
    <w:rsid w:val="00F54EA0"/>
    <w:rsid w:val="00F54FDA"/>
    <w:rsid w:val="00F6614F"/>
    <w:rsid w:val="00F86E4C"/>
    <w:rsid w:val="00F96EE9"/>
    <w:rsid w:val="00FD42D2"/>
    <w:rsid w:val="00FD747C"/>
    <w:rsid w:val="00FE285D"/>
    <w:rsid w:val="00FF554E"/>
    <w:rsid w:val="00FF77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basedOn w:val="Policepardfaut"/>
    <w:uiPriority w:val="99"/>
    <w:semiHidden/>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 w:type="character" w:styleId="lev">
    <w:name w:val="Strong"/>
    <w:basedOn w:val="Policepardfaut"/>
    <w:uiPriority w:val="22"/>
    <w:qFormat/>
    <w:rsid w:val="00BB0817"/>
    <w:rPr>
      <w:b/>
      <w:bCs/>
    </w:rPr>
  </w:style>
  <w:style w:type="paragraph" w:styleId="Rvision">
    <w:name w:val="Revision"/>
    <w:hidden/>
    <w:uiPriority w:val="99"/>
    <w:semiHidden/>
    <w:rsid w:val="00D178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39064326">
      <w:bodyDiv w:val="1"/>
      <w:marLeft w:val="0"/>
      <w:marRight w:val="0"/>
      <w:marTop w:val="0"/>
      <w:marBottom w:val="0"/>
      <w:divBdr>
        <w:top w:val="none" w:sz="0" w:space="0" w:color="auto"/>
        <w:left w:val="none" w:sz="0" w:space="0" w:color="auto"/>
        <w:bottom w:val="none" w:sz="0" w:space="0" w:color="auto"/>
        <w:right w:val="none" w:sz="0" w:space="0" w:color="auto"/>
      </w:divBdr>
    </w:div>
    <w:div w:id="15591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2178</Words>
  <Characters>11984</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5</cp:revision>
  <dcterms:created xsi:type="dcterms:W3CDTF">2025-10-16T06:35:00Z</dcterms:created>
  <dcterms:modified xsi:type="dcterms:W3CDTF">2025-11-06T12:05:00Z</dcterms:modified>
</cp:coreProperties>
</file>