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7225"/>
        <w:gridCol w:w="2551"/>
      </w:tblGrid>
      <w:tr w:rsidR="00C125FC" w:rsidRPr="000C21CA" w14:paraId="6275F312" w14:textId="77777777" w:rsidTr="00B13332">
        <w:trPr>
          <w:trHeight w:val="619"/>
          <w:jc w:val="center"/>
        </w:trPr>
        <w:tc>
          <w:tcPr>
            <w:tcW w:w="97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43082" w14:textId="7FC4974F" w:rsidR="00C125FC" w:rsidRPr="000C21CA" w:rsidRDefault="0039259C" w:rsidP="00A8725E">
            <w:pPr>
              <w:pStyle w:val="CorpsA"/>
              <w:spacing w:after="0" w:line="240" w:lineRule="auto"/>
              <w:jc w:val="center"/>
              <w:rPr>
                <w:rFonts w:ascii="Verdana" w:hAnsi="Verdana"/>
                <w:sz w:val="20"/>
                <w:szCs w:val="20"/>
              </w:rPr>
            </w:pPr>
            <w:r w:rsidRPr="000C21CA">
              <w:rPr>
                <w:rFonts w:ascii="Verdana" w:eastAsia="Roboto" w:hAnsi="Verdana" w:cs="Roboto"/>
                <w:b/>
                <w:bCs/>
                <w:sz w:val="20"/>
                <w:szCs w:val="20"/>
              </w:rPr>
              <w:t>Bilan et clôture du projet « </w:t>
            </w:r>
            <w:proofErr w:type="spellStart"/>
            <w:r w:rsidRPr="000C21CA">
              <w:rPr>
                <w:rFonts w:ascii="Verdana" w:eastAsia="Roboto" w:hAnsi="Verdana" w:cs="Roboto"/>
                <w:b/>
                <w:bCs/>
                <w:sz w:val="20"/>
                <w:szCs w:val="20"/>
              </w:rPr>
              <w:t>Ecosystème</w:t>
            </w:r>
            <w:proofErr w:type="spellEnd"/>
            <w:r w:rsidRPr="000C21CA">
              <w:rPr>
                <w:rFonts w:ascii="Verdana" w:eastAsia="Roboto" w:hAnsi="Verdana" w:cs="Roboto"/>
                <w:b/>
                <w:bCs/>
                <w:sz w:val="20"/>
                <w:szCs w:val="20"/>
              </w:rPr>
              <w:t xml:space="preserve"> régional de la R&amp;I pour la filière Déchets Energie dans le Sud-Ouest de l’OI »</w:t>
            </w:r>
            <w:r w:rsidR="00BA5656" w:rsidRPr="000C21CA">
              <w:rPr>
                <w:rFonts w:ascii="Verdana" w:eastAsia="Roboto" w:hAnsi="Verdana" w:cs="Roboto"/>
                <w:b/>
                <w:bCs/>
                <w:sz w:val="20"/>
                <w:szCs w:val="20"/>
              </w:rPr>
              <w:t xml:space="preserve"> -</w:t>
            </w:r>
            <w:r w:rsidRPr="000C21CA">
              <w:rPr>
                <w:rFonts w:ascii="Verdana" w:eastAsia="Roboto" w:hAnsi="Verdana" w:cs="Roboto"/>
                <w:b/>
                <w:bCs/>
                <w:sz w:val="20"/>
                <w:szCs w:val="20"/>
              </w:rPr>
              <w:t xml:space="preserve"> </w:t>
            </w:r>
            <w:proofErr w:type="spellStart"/>
            <w:r w:rsidRPr="000C21CA">
              <w:rPr>
                <w:rFonts w:ascii="Verdana" w:eastAsia="Roboto" w:hAnsi="Verdana" w:cs="Roboto"/>
                <w:b/>
                <w:bCs/>
                <w:sz w:val="20"/>
                <w:szCs w:val="20"/>
              </w:rPr>
              <w:t>TWENex</w:t>
            </w:r>
            <w:proofErr w:type="spellEnd"/>
          </w:p>
        </w:tc>
      </w:tr>
      <w:tr w:rsidR="00C125FC" w:rsidRPr="000C21CA" w14:paraId="54C12352" w14:textId="77777777" w:rsidTr="00B13332">
        <w:trPr>
          <w:trHeight w:val="300"/>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ADF84" w14:textId="4C0897F7" w:rsidR="00C125FC" w:rsidRPr="000C21CA" w:rsidRDefault="00BA5656" w:rsidP="00A8725E">
            <w:pPr>
              <w:rPr>
                <w:rFonts w:ascii="Verdana" w:hAnsi="Verdana"/>
                <w:sz w:val="20"/>
                <w:szCs w:val="20"/>
                <w:lang w:val="fr-FR"/>
              </w:rPr>
            </w:pPr>
            <w:r w:rsidRPr="000C21CA">
              <w:rPr>
                <w:rFonts w:ascii="Verdana" w:hAnsi="Verdana" w:cs="Arial Unicode MS"/>
                <w:color w:val="000000"/>
                <w:sz w:val="20"/>
                <w:szCs w:val="20"/>
                <w:u w:color="000000"/>
                <w:lang w:val="fr-FR"/>
              </w:rPr>
              <w:t xml:space="preserve">Comité des OPL n°02/2025 | </w:t>
            </w:r>
            <w:r w:rsidR="0039259C" w:rsidRPr="000C21CA">
              <w:rPr>
                <w:rFonts w:ascii="Verdana" w:hAnsi="Verdana" w:cs="Arial Unicode MS"/>
                <w:color w:val="000000"/>
                <w:sz w:val="20"/>
                <w:szCs w:val="20"/>
                <w:u w:color="000000"/>
                <w:lang w:val="fr-FR"/>
              </w:rPr>
              <w:t>Novembre 2025</w:t>
            </w:r>
            <w:r w:rsidRPr="000C21CA">
              <w:rPr>
                <w:rFonts w:ascii="Verdana" w:hAnsi="Verdana" w:cs="Arial Unicode MS"/>
                <w:color w:val="000000"/>
                <w:sz w:val="20"/>
                <w:szCs w:val="20"/>
                <w:u w:color="000000"/>
                <w:lang w:val="fr-FR"/>
              </w:rPr>
              <w:t xml:space="preserve">, </w:t>
            </w:r>
            <w:r w:rsidR="0039259C" w:rsidRPr="000C21CA">
              <w:rPr>
                <w:rFonts w:ascii="Verdana" w:hAnsi="Verdana" w:cs="Arial Unicode MS"/>
                <w:color w:val="000000"/>
                <w:sz w:val="20"/>
                <w:szCs w:val="20"/>
                <w:u w:color="000000"/>
                <w:lang w:val="fr-FR"/>
              </w:rPr>
              <w:t>Maurice</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DACF5" w14:textId="34759CCD" w:rsidR="00C125FC" w:rsidRPr="000C21CA" w:rsidRDefault="006D1037" w:rsidP="00A8725E">
            <w:pPr>
              <w:pStyle w:val="CorpsA"/>
              <w:spacing w:after="0" w:line="240" w:lineRule="auto"/>
              <w:jc w:val="center"/>
              <w:rPr>
                <w:rFonts w:ascii="Verdana" w:hAnsi="Verdana"/>
                <w:sz w:val="20"/>
                <w:szCs w:val="20"/>
              </w:rPr>
            </w:pPr>
            <w:r w:rsidRPr="000C21CA">
              <w:rPr>
                <w:rFonts w:ascii="Verdana" w:eastAsia="Roboto" w:hAnsi="Verdana" w:cs="Roboto"/>
                <w:sz w:val="20"/>
                <w:szCs w:val="20"/>
              </w:rPr>
              <w:t>2.3</w:t>
            </w:r>
          </w:p>
        </w:tc>
      </w:tr>
      <w:tr w:rsidR="00C125FC" w:rsidRPr="000C21CA" w14:paraId="51B7A28A" w14:textId="77777777" w:rsidTr="00B13332">
        <w:trPr>
          <w:trHeight w:val="300"/>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4E56C" w14:textId="3F4D463D" w:rsidR="00C125FC" w:rsidRPr="000C21CA" w:rsidRDefault="006D1037" w:rsidP="00A8725E">
            <w:pPr>
              <w:pStyle w:val="CorpsA"/>
              <w:spacing w:after="0" w:line="240" w:lineRule="auto"/>
              <w:rPr>
                <w:rFonts w:ascii="Verdana" w:hAnsi="Verdana"/>
                <w:sz w:val="20"/>
                <w:szCs w:val="20"/>
              </w:rPr>
            </w:pPr>
            <w:r w:rsidRPr="000C21CA">
              <w:rPr>
                <w:rFonts w:ascii="Verdana" w:eastAsia="Roboto" w:hAnsi="Verdana" w:cs="Roboto"/>
                <w:i/>
                <w:iCs/>
                <w:sz w:val="20"/>
                <w:szCs w:val="20"/>
              </w:rPr>
              <w:t>Dossier suivi par :</w:t>
            </w:r>
            <w:r w:rsidRPr="000C21CA">
              <w:rPr>
                <w:rFonts w:ascii="Verdana" w:eastAsia="Roboto" w:hAnsi="Verdana" w:cs="Roboto"/>
                <w:sz w:val="20"/>
                <w:szCs w:val="20"/>
              </w:rPr>
              <w:t xml:space="preserve"> Anfani MSOILI, Chargé de mission</w:t>
            </w:r>
            <w:r w:rsidR="00105D8B" w:rsidRPr="000C21CA">
              <w:rPr>
                <w:rFonts w:ascii="Verdana" w:eastAsia="Roboto" w:hAnsi="Verdana" w:cs="Roboto"/>
                <w:sz w:val="20"/>
                <w:szCs w:val="20"/>
              </w:rPr>
              <w:t xml:space="preserve"> DI-1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21189" w14:textId="14398261" w:rsidR="00C125FC" w:rsidRPr="000C21CA" w:rsidRDefault="00BA5656" w:rsidP="00A8725E">
            <w:pPr>
              <w:pStyle w:val="CorpsA"/>
              <w:spacing w:after="0" w:line="240" w:lineRule="auto"/>
              <w:jc w:val="center"/>
              <w:rPr>
                <w:rFonts w:ascii="Verdana" w:hAnsi="Verdana"/>
                <w:sz w:val="20"/>
                <w:szCs w:val="20"/>
              </w:rPr>
            </w:pPr>
            <w:r w:rsidRPr="000C21CA">
              <w:rPr>
                <w:rFonts w:ascii="Verdana" w:eastAsia="Roboto" w:hAnsi="Verdana" w:cs="Roboto"/>
                <w:sz w:val="20"/>
                <w:szCs w:val="20"/>
              </w:rPr>
              <w:t>I</w:t>
            </w:r>
            <w:r w:rsidR="006D1037" w:rsidRPr="000C21CA">
              <w:rPr>
                <w:rFonts w:ascii="Verdana" w:eastAsia="Roboto" w:hAnsi="Verdana" w:cs="Roboto"/>
                <w:sz w:val="20"/>
                <w:szCs w:val="20"/>
              </w:rPr>
              <w:t xml:space="preserve">nformation </w:t>
            </w:r>
          </w:p>
        </w:tc>
      </w:tr>
    </w:tbl>
    <w:p w14:paraId="597C9869" w14:textId="77777777" w:rsidR="00C125FC" w:rsidRPr="000C21CA" w:rsidRDefault="00C125FC" w:rsidP="00A8725E">
      <w:pPr>
        <w:pStyle w:val="CorpsA"/>
        <w:widowControl w:val="0"/>
        <w:spacing w:after="0" w:line="240" w:lineRule="auto"/>
        <w:jc w:val="center"/>
        <w:rPr>
          <w:rFonts w:ascii="Roboto" w:eastAsia="Roboto" w:hAnsi="Roboto" w:cs="Roboto"/>
          <w:b/>
          <w:bCs/>
          <w:sz w:val="24"/>
          <w:szCs w:val="24"/>
        </w:rPr>
      </w:pPr>
    </w:p>
    <w:p w14:paraId="1BEFE7E9" w14:textId="77777777" w:rsidR="00C125FC" w:rsidRPr="000C21CA" w:rsidRDefault="006D1037" w:rsidP="00A8725E">
      <w:pPr>
        <w:pStyle w:val="Titrepartie"/>
        <w:numPr>
          <w:ilvl w:val="0"/>
          <w:numId w:val="2"/>
        </w:numPr>
        <w:spacing w:after="0" w:line="240" w:lineRule="auto"/>
        <w:rPr>
          <w:sz w:val="20"/>
          <w:szCs w:val="20"/>
        </w:rPr>
      </w:pPr>
      <w:bookmarkStart w:id="0" w:name="_Hlk24535240"/>
      <w:r w:rsidRPr="000C21CA">
        <w:rPr>
          <w:sz w:val="20"/>
          <w:szCs w:val="20"/>
        </w:rPr>
        <w:t xml:space="preserve">Le projet </w:t>
      </w:r>
      <w:proofErr w:type="spellStart"/>
      <w:r w:rsidRPr="000C21CA">
        <w:rPr>
          <w:sz w:val="20"/>
          <w:szCs w:val="20"/>
        </w:rPr>
        <w:t>TWENEx</w:t>
      </w:r>
      <w:proofErr w:type="spellEnd"/>
    </w:p>
    <w:p w14:paraId="1ABC3DEC" w14:textId="77777777" w:rsidR="00A8725E" w:rsidRPr="000C21CA" w:rsidRDefault="00A8725E" w:rsidP="00A8725E">
      <w:pPr>
        <w:pStyle w:val="CorpsA"/>
        <w:spacing w:after="0" w:line="240" w:lineRule="auto"/>
        <w:ind w:right="11"/>
        <w:jc w:val="both"/>
        <w:rPr>
          <w:rFonts w:ascii="Verdana" w:eastAsia="Roboto" w:hAnsi="Verdana" w:cs="Roboto"/>
          <w:sz w:val="20"/>
          <w:szCs w:val="20"/>
        </w:rPr>
      </w:pPr>
    </w:p>
    <w:p w14:paraId="5DA0A178" w14:textId="538423C2"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Le projet </w:t>
      </w:r>
      <w:proofErr w:type="spellStart"/>
      <w:r w:rsidRPr="000C21CA">
        <w:rPr>
          <w:rFonts w:ascii="Verdana" w:eastAsia="Roboto" w:hAnsi="Verdana" w:cs="Roboto"/>
          <w:sz w:val="20"/>
          <w:szCs w:val="20"/>
        </w:rPr>
        <w:t>TWENex</w:t>
      </w:r>
      <w:proofErr w:type="spellEnd"/>
      <w:r w:rsidRPr="000C21CA">
        <w:rPr>
          <w:rFonts w:ascii="Verdana" w:eastAsia="Roboto" w:hAnsi="Verdana" w:cs="Roboto"/>
          <w:sz w:val="20"/>
          <w:szCs w:val="20"/>
        </w:rPr>
        <w:t xml:space="preserve"> (</w:t>
      </w:r>
      <w:proofErr w:type="spellStart"/>
      <w:r w:rsidRPr="000C21CA">
        <w:rPr>
          <w:rFonts w:ascii="Verdana" w:eastAsia="Roboto" w:hAnsi="Verdana" w:cs="Roboto"/>
          <w:sz w:val="20"/>
          <w:szCs w:val="20"/>
        </w:rPr>
        <w:t>Towards</w:t>
      </w:r>
      <w:proofErr w:type="spellEnd"/>
      <w:r w:rsidRPr="000C21CA">
        <w:rPr>
          <w:rFonts w:ascii="Verdana" w:eastAsia="Roboto" w:hAnsi="Verdana" w:cs="Roboto"/>
          <w:sz w:val="20"/>
          <w:szCs w:val="20"/>
        </w:rPr>
        <w:t xml:space="preserve"> Waste to Energy Nexus) émane du programme Recherche &amp; Innovation (R&amp;I) de l’Organisation des </w:t>
      </w:r>
      <w:r w:rsidR="00A8725E" w:rsidRPr="000C21CA">
        <w:rPr>
          <w:rFonts w:ascii="Verdana" w:eastAsia="Roboto" w:hAnsi="Verdana" w:cs="Roboto"/>
          <w:sz w:val="20"/>
          <w:szCs w:val="20"/>
        </w:rPr>
        <w:t>États</w:t>
      </w:r>
      <w:r w:rsidRPr="000C21CA">
        <w:rPr>
          <w:rFonts w:ascii="Verdana" w:eastAsia="Roboto" w:hAnsi="Verdana" w:cs="Roboto"/>
          <w:sz w:val="20"/>
          <w:szCs w:val="20"/>
        </w:rPr>
        <w:t xml:space="preserve"> d’Afrique, des Caraïbes et du Pacifique (OEACP) sur financement de l’Union européenne (UE). Il a</w:t>
      </w:r>
      <w:r w:rsidR="00934E02" w:rsidRPr="000C21CA">
        <w:rPr>
          <w:rFonts w:ascii="Verdana" w:eastAsia="Roboto" w:hAnsi="Verdana" w:cs="Roboto"/>
          <w:sz w:val="20"/>
          <w:szCs w:val="20"/>
        </w:rPr>
        <w:t>vait</w:t>
      </w:r>
      <w:r w:rsidRPr="000C21CA">
        <w:rPr>
          <w:rFonts w:ascii="Verdana" w:eastAsia="Roboto" w:hAnsi="Verdana" w:cs="Roboto"/>
          <w:sz w:val="20"/>
          <w:szCs w:val="20"/>
        </w:rPr>
        <w:t xml:space="preserve"> pour objectif de </w:t>
      </w:r>
      <w:r w:rsidR="00934E02" w:rsidRPr="000C21CA">
        <w:rPr>
          <w:rFonts w:ascii="Verdana" w:eastAsia="Roboto" w:hAnsi="Verdana" w:cs="Roboto"/>
          <w:sz w:val="20"/>
          <w:szCs w:val="20"/>
        </w:rPr>
        <w:t>contribuer à l’émergence d’u</w:t>
      </w:r>
      <w:r w:rsidRPr="000C21CA">
        <w:rPr>
          <w:rFonts w:ascii="Verdana" w:eastAsia="Roboto" w:hAnsi="Verdana" w:cs="Roboto"/>
          <w:sz w:val="20"/>
          <w:szCs w:val="20"/>
        </w:rPr>
        <w:t xml:space="preserve">n </w:t>
      </w:r>
      <w:r w:rsidR="00934E02" w:rsidRPr="000C21CA">
        <w:rPr>
          <w:rFonts w:ascii="Verdana" w:eastAsia="Roboto" w:hAnsi="Verdana" w:cs="Roboto"/>
          <w:sz w:val="20"/>
          <w:szCs w:val="20"/>
        </w:rPr>
        <w:t>« </w:t>
      </w:r>
      <w:r w:rsidRPr="000C21CA">
        <w:rPr>
          <w:rFonts w:ascii="Verdana" w:eastAsia="Roboto" w:hAnsi="Verdana" w:cs="Roboto"/>
          <w:sz w:val="20"/>
          <w:szCs w:val="20"/>
        </w:rPr>
        <w:t>environnement inclusif de la Recherche et de l’Innovation permettant la transition vers une gestion durable des déchets et une production d’énergie à partir des déchets dans le Sud-Ouest de l’océan Indien ».</w:t>
      </w:r>
    </w:p>
    <w:p w14:paraId="765F71E6"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4276BF3F" w14:textId="7349BA7D"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La Convention de Financement du projet a été signée le 13 décembre 2021 pour une mise en œuvre opérationnelle </w:t>
      </w:r>
      <w:r w:rsidR="006C25BA" w:rsidRPr="000C21CA">
        <w:rPr>
          <w:rFonts w:ascii="Verdana" w:eastAsia="Roboto" w:hAnsi="Verdana" w:cs="Roboto"/>
          <w:sz w:val="20"/>
          <w:szCs w:val="20"/>
        </w:rPr>
        <w:t xml:space="preserve">débutée le </w:t>
      </w:r>
      <w:r w:rsidRPr="000C21CA">
        <w:rPr>
          <w:rFonts w:ascii="Verdana" w:eastAsia="Roboto" w:hAnsi="Verdana" w:cs="Roboto"/>
          <w:sz w:val="20"/>
          <w:szCs w:val="20"/>
        </w:rPr>
        <w:t xml:space="preserve">14 décembre 2021 </w:t>
      </w:r>
      <w:r w:rsidR="006C25BA" w:rsidRPr="000C21CA">
        <w:rPr>
          <w:rFonts w:ascii="Verdana" w:eastAsia="Roboto" w:hAnsi="Verdana" w:cs="Roboto"/>
          <w:sz w:val="20"/>
          <w:szCs w:val="20"/>
        </w:rPr>
        <w:t xml:space="preserve">sur </w:t>
      </w:r>
      <w:r w:rsidRPr="000C21CA">
        <w:rPr>
          <w:rFonts w:ascii="Verdana" w:eastAsia="Roboto" w:hAnsi="Verdana" w:cs="Roboto"/>
          <w:sz w:val="20"/>
          <w:szCs w:val="20"/>
        </w:rPr>
        <w:t xml:space="preserve">une durée de 42 mois jusqu’au 13 </w:t>
      </w:r>
      <w:r w:rsidR="00475C14">
        <w:rPr>
          <w:rFonts w:ascii="Verdana" w:eastAsia="Roboto" w:hAnsi="Verdana" w:cs="Roboto"/>
          <w:sz w:val="20"/>
          <w:szCs w:val="20"/>
        </w:rPr>
        <w:t>j</w:t>
      </w:r>
      <w:r w:rsidRPr="000C21CA">
        <w:rPr>
          <w:rFonts w:ascii="Verdana" w:eastAsia="Roboto" w:hAnsi="Verdana" w:cs="Roboto"/>
          <w:sz w:val="20"/>
          <w:szCs w:val="20"/>
        </w:rPr>
        <w:t xml:space="preserve">uin 2025. Le montant total du projet s’élève à 2 823 528 euros dont 2 400 000 euros (85%) de fonds provenant de l’UE et 15% de contrepartie COI. Ce projet </w:t>
      </w:r>
      <w:r w:rsidR="006C25BA" w:rsidRPr="000C21CA">
        <w:rPr>
          <w:rFonts w:ascii="Verdana" w:eastAsia="Roboto" w:hAnsi="Verdana" w:cs="Roboto"/>
          <w:sz w:val="20"/>
          <w:szCs w:val="20"/>
        </w:rPr>
        <w:t xml:space="preserve">a été </w:t>
      </w:r>
      <w:r w:rsidRPr="000C21CA">
        <w:rPr>
          <w:rFonts w:ascii="Verdana" w:eastAsia="Roboto" w:hAnsi="Verdana" w:cs="Roboto"/>
          <w:sz w:val="20"/>
          <w:szCs w:val="20"/>
        </w:rPr>
        <w:t xml:space="preserve">conjointement mis en œuvre par la COI et le </w:t>
      </w:r>
      <w:r w:rsidRPr="000C21CA">
        <w:rPr>
          <w:rFonts w:ascii="Verdana" w:eastAsia="Roboto" w:hAnsi="Verdana" w:cs="Roboto"/>
          <w:i/>
          <w:iCs/>
          <w:sz w:val="20"/>
          <w:szCs w:val="20"/>
        </w:rPr>
        <w:t xml:space="preserve">Mauritius </w:t>
      </w:r>
      <w:proofErr w:type="spellStart"/>
      <w:r w:rsidRPr="000C21CA">
        <w:rPr>
          <w:rFonts w:ascii="Verdana" w:eastAsia="Roboto" w:hAnsi="Verdana" w:cs="Roboto"/>
          <w:i/>
          <w:iCs/>
          <w:sz w:val="20"/>
          <w:szCs w:val="20"/>
        </w:rPr>
        <w:t>Research</w:t>
      </w:r>
      <w:proofErr w:type="spellEnd"/>
      <w:r w:rsidRPr="000C21CA">
        <w:rPr>
          <w:rFonts w:ascii="Verdana" w:eastAsia="Roboto" w:hAnsi="Verdana" w:cs="Roboto"/>
          <w:i/>
          <w:iCs/>
          <w:sz w:val="20"/>
          <w:szCs w:val="20"/>
        </w:rPr>
        <w:t xml:space="preserve"> </w:t>
      </w:r>
      <w:r w:rsidR="00475C14">
        <w:rPr>
          <w:rFonts w:ascii="Verdana" w:eastAsia="Roboto" w:hAnsi="Verdana" w:cs="Roboto"/>
          <w:i/>
          <w:iCs/>
          <w:sz w:val="20"/>
          <w:szCs w:val="20"/>
        </w:rPr>
        <w:t xml:space="preserve">and </w:t>
      </w:r>
      <w:r w:rsidRPr="000C21CA">
        <w:rPr>
          <w:rFonts w:ascii="Verdana" w:eastAsia="Roboto" w:hAnsi="Verdana" w:cs="Roboto"/>
          <w:i/>
          <w:iCs/>
          <w:sz w:val="20"/>
          <w:szCs w:val="20"/>
        </w:rPr>
        <w:t>Innovation Council</w:t>
      </w:r>
      <w:r w:rsidRPr="000C21CA">
        <w:rPr>
          <w:rFonts w:ascii="Verdana" w:eastAsia="Roboto" w:hAnsi="Verdana" w:cs="Roboto"/>
          <w:sz w:val="20"/>
          <w:szCs w:val="20"/>
        </w:rPr>
        <w:t xml:space="preserve"> (MRIC), entité gouvernementale mauricienne en charge de la promotion de la Recherche et de l’Innovation, partenaire technique du projet pour l’assistance technique aux projets tiers et le lien avec les institutions de Recherche.</w:t>
      </w:r>
    </w:p>
    <w:p w14:paraId="1C1D3C9A"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28AAB2AB" w14:textId="77777777"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Deux particularités du projet </w:t>
      </w:r>
      <w:proofErr w:type="spellStart"/>
      <w:r w:rsidRPr="000C21CA">
        <w:rPr>
          <w:rFonts w:ascii="Verdana" w:eastAsia="Roboto" w:hAnsi="Verdana" w:cs="Roboto"/>
          <w:sz w:val="20"/>
          <w:szCs w:val="20"/>
        </w:rPr>
        <w:t>TWENex</w:t>
      </w:r>
      <w:proofErr w:type="spellEnd"/>
      <w:r w:rsidRPr="000C21CA">
        <w:rPr>
          <w:rFonts w:ascii="Verdana" w:eastAsia="Roboto" w:hAnsi="Verdana" w:cs="Roboto"/>
          <w:sz w:val="20"/>
          <w:szCs w:val="20"/>
        </w:rPr>
        <w:t xml:space="preserve"> qui méritent d’être mentionnées :</w:t>
      </w:r>
    </w:p>
    <w:p w14:paraId="6CDF8513" w14:textId="6E845135" w:rsidR="00C125FC" w:rsidRPr="000C21CA" w:rsidRDefault="006D1037" w:rsidP="00A8725E">
      <w:pPr>
        <w:pStyle w:val="Paragraphedeliste"/>
        <w:numPr>
          <w:ilvl w:val="0"/>
          <w:numId w:val="8"/>
        </w:numPr>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L’atteinte des objectifs du projet et l’essaimage des résultats reposent sur des entités dénommé</w:t>
      </w:r>
      <w:r w:rsidR="00475C14">
        <w:rPr>
          <w:rFonts w:ascii="Verdana" w:eastAsia="Roboto" w:hAnsi="Verdana" w:cs="Roboto"/>
          <w:sz w:val="20"/>
          <w:szCs w:val="20"/>
        </w:rPr>
        <w:t>e</w:t>
      </w:r>
      <w:r w:rsidRPr="000C21CA">
        <w:rPr>
          <w:rFonts w:ascii="Verdana" w:eastAsia="Roboto" w:hAnsi="Verdana" w:cs="Roboto"/>
          <w:sz w:val="20"/>
          <w:szCs w:val="20"/>
        </w:rPr>
        <w:t xml:space="preserve">s </w:t>
      </w:r>
      <w:r w:rsidRPr="000C21CA">
        <w:rPr>
          <w:rFonts w:ascii="Verdana" w:eastAsia="Roboto" w:hAnsi="Verdana" w:cs="Roboto"/>
          <w:b/>
          <w:bCs/>
          <w:sz w:val="20"/>
          <w:szCs w:val="20"/>
        </w:rPr>
        <w:t>« multiplicateurs</w:t>
      </w:r>
      <w:r w:rsidRPr="000C21CA">
        <w:rPr>
          <w:rFonts w:ascii="Verdana" w:eastAsia="Roboto" w:hAnsi="Verdana" w:cs="Roboto"/>
          <w:sz w:val="20"/>
          <w:szCs w:val="20"/>
        </w:rPr>
        <w:t> </w:t>
      </w:r>
      <w:r w:rsidRPr="000C21CA">
        <w:rPr>
          <w:rFonts w:ascii="Verdana" w:eastAsia="Roboto" w:hAnsi="Verdana" w:cs="Roboto"/>
          <w:b/>
          <w:bCs/>
          <w:sz w:val="20"/>
          <w:szCs w:val="20"/>
        </w:rPr>
        <w:t>»</w:t>
      </w:r>
      <w:r w:rsidRPr="000C21CA">
        <w:rPr>
          <w:rFonts w:ascii="Verdana" w:eastAsia="Roboto" w:hAnsi="Verdana" w:cs="Roboto"/>
          <w:sz w:val="20"/>
          <w:szCs w:val="20"/>
        </w:rPr>
        <w:t xml:space="preserve"> au niveau de chaque pays bénéficiaire (Comores, Madagascar, Seychelles et Maurice). Au total, </w:t>
      </w:r>
      <w:r w:rsidRPr="000C21CA">
        <w:rPr>
          <w:rFonts w:ascii="Verdana" w:eastAsia="Roboto" w:hAnsi="Verdana" w:cs="Roboto"/>
          <w:b/>
          <w:bCs/>
          <w:sz w:val="20"/>
          <w:szCs w:val="20"/>
        </w:rPr>
        <w:t>7 contrats de subvention</w:t>
      </w:r>
      <w:r w:rsidRPr="000C21CA">
        <w:rPr>
          <w:rFonts w:ascii="Verdana" w:eastAsia="Roboto" w:hAnsi="Verdana" w:cs="Roboto"/>
          <w:sz w:val="20"/>
          <w:szCs w:val="20"/>
        </w:rPr>
        <w:t xml:space="preserve"> ont été signés dont 3 aux Comores, 2 à Madagascar, 1 à Maurice et 1 aux Seychelles</w:t>
      </w:r>
      <w:r w:rsidR="00AD6F49" w:rsidRPr="000C21CA">
        <w:rPr>
          <w:rFonts w:ascii="Verdana" w:eastAsia="Roboto" w:hAnsi="Verdana" w:cs="Roboto"/>
          <w:sz w:val="20"/>
          <w:szCs w:val="20"/>
        </w:rPr>
        <w:t>.</w:t>
      </w:r>
    </w:p>
    <w:p w14:paraId="0465EED2" w14:textId="7F870935" w:rsidR="00C125FC" w:rsidRPr="000C21CA" w:rsidRDefault="006D1037" w:rsidP="00A8725E">
      <w:pPr>
        <w:pStyle w:val="Paragraphedeliste"/>
        <w:numPr>
          <w:ilvl w:val="0"/>
          <w:numId w:val="8"/>
        </w:numPr>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Les entités « multiplicateurs » étaient pré-identifiées dans le document de projet et </w:t>
      </w:r>
      <w:r w:rsidR="00475C14">
        <w:rPr>
          <w:rFonts w:ascii="Verdana" w:eastAsia="Roboto" w:hAnsi="Verdana" w:cs="Roboto"/>
          <w:sz w:val="20"/>
          <w:szCs w:val="20"/>
        </w:rPr>
        <w:t xml:space="preserve">aucun </w:t>
      </w:r>
      <w:r w:rsidRPr="000C21CA">
        <w:rPr>
          <w:rFonts w:ascii="Verdana" w:eastAsia="Roboto" w:hAnsi="Verdana" w:cs="Roboto"/>
          <w:sz w:val="20"/>
          <w:szCs w:val="20"/>
        </w:rPr>
        <w:t xml:space="preserve">appel à propositions </w:t>
      </w:r>
      <w:r w:rsidR="00475C14">
        <w:rPr>
          <w:rFonts w:ascii="Verdana" w:eastAsia="Roboto" w:hAnsi="Verdana" w:cs="Roboto"/>
          <w:sz w:val="20"/>
          <w:szCs w:val="20"/>
        </w:rPr>
        <w:t>n’a été lancé pour</w:t>
      </w:r>
      <w:r w:rsidRPr="000C21CA">
        <w:rPr>
          <w:rFonts w:ascii="Verdana" w:eastAsia="Roboto" w:hAnsi="Verdana" w:cs="Roboto"/>
          <w:sz w:val="20"/>
          <w:szCs w:val="20"/>
        </w:rPr>
        <w:t xml:space="preserve"> la sélection des partenaires ;</w:t>
      </w:r>
    </w:p>
    <w:p w14:paraId="55879BD8"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4E729817" w14:textId="39E6EB2D"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Parmi ces multiplicateurs, le projet recense une diversité des profils et regroupe 2 Universités, 1 Laboratoire de Recherche, 1 ONG, 1 institution publique, et 2 entrepreneurs. Les projets tiers ont été originellement contracté</w:t>
      </w:r>
      <w:r w:rsidR="000B22A1" w:rsidRPr="000C21CA">
        <w:rPr>
          <w:rFonts w:ascii="Verdana" w:eastAsia="Roboto" w:hAnsi="Verdana" w:cs="Roboto"/>
          <w:sz w:val="20"/>
          <w:szCs w:val="20"/>
        </w:rPr>
        <w:t>s</w:t>
      </w:r>
      <w:r w:rsidRPr="000C21CA">
        <w:rPr>
          <w:rFonts w:ascii="Verdana" w:eastAsia="Roboto" w:hAnsi="Verdana" w:cs="Roboto"/>
          <w:sz w:val="20"/>
          <w:szCs w:val="20"/>
        </w:rPr>
        <w:t xml:space="preserve"> pour une période de 22 mois de juillet 2023 au 31 janvier 2025.</w:t>
      </w:r>
    </w:p>
    <w:p w14:paraId="1D419668"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7833C468" w14:textId="77777777" w:rsidR="00C125FC" w:rsidRPr="000C21CA" w:rsidRDefault="006D1037" w:rsidP="00A8725E">
      <w:pPr>
        <w:pStyle w:val="Titrepartie"/>
        <w:numPr>
          <w:ilvl w:val="0"/>
          <w:numId w:val="9"/>
        </w:numPr>
        <w:spacing w:after="0" w:line="240" w:lineRule="auto"/>
        <w:rPr>
          <w:sz w:val="20"/>
          <w:szCs w:val="20"/>
        </w:rPr>
      </w:pPr>
      <w:r w:rsidRPr="000C21CA">
        <w:rPr>
          <w:sz w:val="20"/>
          <w:szCs w:val="20"/>
        </w:rPr>
        <w:t>Etat d’avancement</w:t>
      </w:r>
    </w:p>
    <w:p w14:paraId="1886F40D" w14:textId="77777777" w:rsidR="00A8725E" w:rsidRPr="000C21CA" w:rsidRDefault="00A8725E" w:rsidP="00A8725E">
      <w:pPr>
        <w:pStyle w:val="Paragraphe"/>
        <w:spacing w:after="0" w:line="240" w:lineRule="auto"/>
        <w:rPr>
          <w:rFonts w:eastAsia="Roboto" w:cs="Roboto"/>
        </w:rPr>
      </w:pPr>
    </w:p>
    <w:p w14:paraId="7502C58F" w14:textId="78C47661" w:rsidR="00C125FC" w:rsidRPr="000C21CA" w:rsidRDefault="006D1037" w:rsidP="00A8725E">
      <w:pPr>
        <w:pStyle w:val="Paragraphe"/>
        <w:spacing w:after="0" w:line="240" w:lineRule="auto"/>
        <w:rPr>
          <w:rFonts w:eastAsia="Roboto" w:cs="Roboto"/>
        </w:rPr>
      </w:pPr>
      <w:r w:rsidRPr="000C21CA">
        <w:rPr>
          <w:rFonts w:eastAsia="Roboto" w:cs="Roboto"/>
        </w:rPr>
        <w:t xml:space="preserve">Le projet </w:t>
      </w:r>
      <w:proofErr w:type="spellStart"/>
      <w:r w:rsidRPr="000C21CA">
        <w:rPr>
          <w:rFonts w:eastAsia="Roboto" w:cs="Roboto"/>
        </w:rPr>
        <w:t>TWENex</w:t>
      </w:r>
      <w:proofErr w:type="spellEnd"/>
      <w:r w:rsidRPr="000C21CA">
        <w:rPr>
          <w:rFonts w:eastAsia="Roboto" w:cs="Roboto"/>
        </w:rPr>
        <w:t xml:space="preserve"> a </w:t>
      </w:r>
      <w:r w:rsidR="00C616FD" w:rsidRPr="000C21CA">
        <w:rPr>
          <w:rFonts w:eastAsia="Roboto" w:cs="Roboto"/>
        </w:rPr>
        <w:t>clôturé</w:t>
      </w:r>
      <w:r w:rsidRPr="000C21CA">
        <w:rPr>
          <w:rFonts w:eastAsia="Roboto" w:cs="Roboto"/>
        </w:rPr>
        <w:t xml:space="preserve"> ses activités opérationnelles le 12 juin 2025. Le dernier comité de pilotage s’est tenu </w:t>
      </w:r>
      <w:r w:rsidR="00C616FD" w:rsidRPr="000C21CA">
        <w:rPr>
          <w:rFonts w:eastAsia="Roboto" w:cs="Roboto"/>
        </w:rPr>
        <w:t>du 02 au 04</w:t>
      </w:r>
      <w:r w:rsidRPr="000C21CA">
        <w:rPr>
          <w:rFonts w:eastAsia="Roboto" w:cs="Roboto"/>
        </w:rPr>
        <w:t xml:space="preserve"> juin 2025 marquant l’aboutissement des 27 mois d’opérations. Les </w:t>
      </w:r>
      <w:r w:rsidR="00475C14">
        <w:rPr>
          <w:rFonts w:eastAsia="Roboto" w:cs="Roboto"/>
        </w:rPr>
        <w:t xml:space="preserve">principaux </w:t>
      </w:r>
      <w:r w:rsidRPr="000C21CA">
        <w:rPr>
          <w:rFonts w:eastAsia="Roboto" w:cs="Roboto"/>
        </w:rPr>
        <w:t xml:space="preserve">résultats </w:t>
      </w:r>
      <w:r w:rsidR="00475C14">
        <w:rPr>
          <w:rFonts w:eastAsia="Roboto" w:cs="Roboto"/>
        </w:rPr>
        <w:t xml:space="preserve">livrés </w:t>
      </w:r>
      <w:r w:rsidRPr="000C21CA">
        <w:rPr>
          <w:rFonts w:eastAsia="Roboto" w:cs="Roboto"/>
        </w:rPr>
        <w:t>sont les suivants :</w:t>
      </w:r>
    </w:p>
    <w:p w14:paraId="0BFC1A03" w14:textId="77777777" w:rsidR="00A8725E" w:rsidRPr="000C21CA" w:rsidRDefault="00A8725E" w:rsidP="00A8725E">
      <w:pPr>
        <w:pStyle w:val="Paragraphe"/>
        <w:spacing w:after="0" w:line="240" w:lineRule="auto"/>
        <w:rPr>
          <w:rFonts w:eastAsia="Roboto" w:cs="Roboto"/>
        </w:rPr>
      </w:pPr>
    </w:p>
    <w:p w14:paraId="066201DA" w14:textId="5A08F280" w:rsidR="00C125FC" w:rsidRPr="000C21CA" w:rsidRDefault="006D1037" w:rsidP="00A8725E">
      <w:pPr>
        <w:pStyle w:val="Paragraphedeliste"/>
        <w:numPr>
          <w:ilvl w:val="0"/>
          <w:numId w:val="11"/>
        </w:numPr>
        <w:spacing w:after="120" w:line="240" w:lineRule="auto"/>
        <w:ind w:left="714" w:hanging="357"/>
        <w:jc w:val="both"/>
        <w:rPr>
          <w:rFonts w:ascii="Verdana" w:eastAsia="Aptos Display" w:hAnsi="Verdana" w:cs="Aptos Display"/>
          <w:sz w:val="20"/>
          <w:szCs w:val="20"/>
        </w:rPr>
      </w:pPr>
      <w:r w:rsidRPr="000C21CA">
        <w:rPr>
          <w:rFonts w:ascii="Verdana" w:eastAsia="Roboto" w:hAnsi="Verdana" w:cs="Roboto"/>
          <w:sz w:val="20"/>
          <w:szCs w:val="20"/>
        </w:rPr>
        <w:t xml:space="preserve">L’organisation de la </w:t>
      </w:r>
      <w:r w:rsidRPr="000C21CA">
        <w:rPr>
          <w:rFonts w:ascii="Verdana" w:eastAsia="Roboto" w:hAnsi="Verdana" w:cs="Roboto"/>
          <w:b/>
          <w:bCs/>
          <w:sz w:val="20"/>
          <w:szCs w:val="20"/>
        </w:rPr>
        <w:t>première édition du Forum Régional de la Recherche et de l’Innovation</w:t>
      </w:r>
      <w:r w:rsidRPr="000C21CA">
        <w:rPr>
          <w:rFonts w:ascii="Verdana" w:eastAsia="Roboto" w:hAnsi="Verdana" w:cs="Roboto"/>
          <w:sz w:val="20"/>
          <w:szCs w:val="20"/>
        </w:rPr>
        <w:t xml:space="preserve"> à </w:t>
      </w:r>
      <w:r w:rsidRPr="000C21CA">
        <w:rPr>
          <w:rFonts w:ascii="Verdana" w:eastAsia="Roboto" w:hAnsi="Verdana" w:cs="Roboto"/>
          <w:b/>
          <w:bCs/>
          <w:sz w:val="20"/>
          <w:szCs w:val="20"/>
        </w:rPr>
        <w:t>l’Université d’Antananarivo</w:t>
      </w:r>
      <w:r w:rsidRPr="000C21CA">
        <w:rPr>
          <w:rFonts w:ascii="Verdana" w:eastAsia="Roboto" w:hAnsi="Verdana" w:cs="Roboto"/>
          <w:sz w:val="20"/>
          <w:szCs w:val="20"/>
        </w:rPr>
        <w:t>, Madagascar, le</w:t>
      </w:r>
      <w:r w:rsidR="000C1A93">
        <w:rPr>
          <w:rFonts w:ascii="Verdana" w:eastAsia="Roboto" w:hAnsi="Verdana" w:cs="Roboto"/>
          <w:sz w:val="20"/>
          <w:szCs w:val="20"/>
        </w:rPr>
        <w:t>s</w:t>
      </w:r>
      <w:r w:rsidRPr="000C21CA">
        <w:rPr>
          <w:rFonts w:ascii="Verdana" w:eastAsia="Roboto" w:hAnsi="Verdana" w:cs="Roboto"/>
          <w:sz w:val="20"/>
          <w:szCs w:val="20"/>
        </w:rPr>
        <w:t xml:space="preserve"> 28 et 29 </w:t>
      </w:r>
      <w:r w:rsidR="00047D43" w:rsidRPr="000C21CA">
        <w:rPr>
          <w:rFonts w:ascii="Verdana" w:eastAsia="Roboto" w:hAnsi="Verdana" w:cs="Roboto"/>
          <w:sz w:val="20"/>
          <w:szCs w:val="20"/>
        </w:rPr>
        <w:t>j</w:t>
      </w:r>
      <w:r w:rsidRPr="000C21CA">
        <w:rPr>
          <w:rFonts w:ascii="Verdana" w:eastAsia="Roboto" w:hAnsi="Verdana" w:cs="Roboto"/>
          <w:sz w:val="20"/>
          <w:szCs w:val="20"/>
        </w:rPr>
        <w:t>anvier 2025 qui a rassemblé plus de 200 participants, dont 3 ministres, 5 délégations pays avec 34 intervenants</w:t>
      </w:r>
      <w:r w:rsidR="00B501D7" w:rsidRPr="000C21CA">
        <w:rPr>
          <w:rFonts w:ascii="Verdana" w:eastAsia="Roboto" w:hAnsi="Verdana" w:cs="Roboto"/>
          <w:sz w:val="20"/>
          <w:szCs w:val="20"/>
        </w:rPr>
        <w:t xml:space="preserve">, </w:t>
      </w:r>
      <w:r w:rsidRPr="000C21CA">
        <w:rPr>
          <w:rFonts w:ascii="Verdana" w:eastAsia="Roboto" w:hAnsi="Verdana" w:cs="Roboto"/>
          <w:sz w:val="20"/>
          <w:szCs w:val="20"/>
        </w:rPr>
        <w:t xml:space="preserve">8 Universités/Laboratoire de Recherche (IST, UDC, UTM, UOM, </w:t>
      </w:r>
      <w:proofErr w:type="spellStart"/>
      <w:r w:rsidRPr="000C21CA">
        <w:rPr>
          <w:rFonts w:ascii="Verdana" w:eastAsia="Roboto" w:hAnsi="Verdana" w:cs="Roboto"/>
          <w:sz w:val="20"/>
          <w:szCs w:val="20"/>
        </w:rPr>
        <w:t>UniSey</w:t>
      </w:r>
      <w:proofErr w:type="spellEnd"/>
      <w:r w:rsidRPr="000C21CA">
        <w:rPr>
          <w:rFonts w:ascii="Verdana" w:eastAsia="Roboto" w:hAnsi="Verdana" w:cs="Roboto"/>
          <w:sz w:val="20"/>
          <w:szCs w:val="20"/>
        </w:rPr>
        <w:t>, CNRIT, ESPA, Univ Réunion)</w:t>
      </w:r>
      <w:r w:rsidR="00B501D7" w:rsidRPr="000C21CA">
        <w:rPr>
          <w:rFonts w:ascii="Verdana" w:eastAsia="Roboto" w:hAnsi="Verdana" w:cs="Roboto"/>
          <w:sz w:val="20"/>
          <w:szCs w:val="20"/>
        </w:rPr>
        <w:t>,</w:t>
      </w:r>
      <w:r w:rsidRPr="000C21CA">
        <w:rPr>
          <w:rFonts w:ascii="Verdana" w:eastAsia="Roboto" w:hAnsi="Verdana" w:cs="Roboto"/>
          <w:sz w:val="20"/>
          <w:szCs w:val="20"/>
        </w:rPr>
        <w:t xml:space="preserve"> 11 représentants du </w:t>
      </w:r>
      <w:r w:rsidR="00B501D7" w:rsidRPr="000C21CA">
        <w:rPr>
          <w:rFonts w:ascii="Verdana" w:eastAsia="Roboto" w:hAnsi="Verdana" w:cs="Roboto"/>
          <w:sz w:val="20"/>
          <w:szCs w:val="20"/>
        </w:rPr>
        <w:t>s</w:t>
      </w:r>
      <w:r w:rsidRPr="000C21CA">
        <w:rPr>
          <w:rFonts w:ascii="Verdana" w:eastAsia="Roboto" w:hAnsi="Verdana" w:cs="Roboto"/>
          <w:sz w:val="20"/>
          <w:szCs w:val="20"/>
        </w:rPr>
        <w:t xml:space="preserve">ecteur </w:t>
      </w:r>
      <w:r w:rsidR="00B501D7" w:rsidRPr="000C21CA">
        <w:rPr>
          <w:rFonts w:ascii="Verdana" w:eastAsia="Roboto" w:hAnsi="Verdana" w:cs="Roboto"/>
          <w:sz w:val="20"/>
          <w:szCs w:val="20"/>
        </w:rPr>
        <w:t>p</w:t>
      </w:r>
      <w:r w:rsidRPr="000C21CA">
        <w:rPr>
          <w:rFonts w:ascii="Verdana" w:eastAsia="Roboto" w:hAnsi="Verdana" w:cs="Roboto"/>
          <w:sz w:val="20"/>
          <w:szCs w:val="20"/>
        </w:rPr>
        <w:t>rivé et 15 entrepreneurs en exposition.</w:t>
      </w:r>
    </w:p>
    <w:p w14:paraId="78EDC841" w14:textId="77A16E42"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La mise en ligne de la plateforme Régionale de la Recherche et de l’Innovation : </w:t>
      </w:r>
      <w:hyperlink r:id="rId7" w:history="1">
        <w:r w:rsidR="00C125FC" w:rsidRPr="000C21CA">
          <w:rPr>
            <w:rStyle w:val="Hyperlink0"/>
            <w:rFonts w:eastAsia="Roboto" w:cs="Roboto"/>
          </w:rPr>
          <w:t>www.IORIC.org</w:t>
        </w:r>
      </w:hyperlink>
      <w:r w:rsidRPr="000C21CA">
        <w:rPr>
          <w:rFonts w:eastAsia="Roboto" w:cs="Roboto"/>
        </w:rPr>
        <w:t xml:space="preserve"> le 28 janvier 2025 et qui est hébergée par le partenaire de consortium MRIC </w:t>
      </w:r>
      <w:r w:rsidR="00B501D7" w:rsidRPr="000C21CA">
        <w:rPr>
          <w:rFonts w:eastAsia="Roboto" w:cs="Roboto"/>
        </w:rPr>
        <w:t>à la suite de</w:t>
      </w:r>
      <w:r w:rsidRPr="000C21CA">
        <w:rPr>
          <w:rFonts w:eastAsia="Roboto" w:cs="Roboto"/>
        </w:rPr>
        <w:t xml:space="preserve"> la clôture du proje</w:t>
      </w:r>
      <w:r w:rsidR="00ED5770" w:rsidRPr="000C21CA">
        <w:rPr>
          <w:rFonts w:eastAsia="Roboto" w:cs="Roboto"/>
        </w:rPr>
        <w:t xml:space="preserve">t. S’y ajoutent </w:t>
      </w:r>
      <w:r w:rsidRPr="000C21CA">
        <w:rPr>
          <w:rFonts w:eastAsia="Roboto" w:cs="Roboto"/>
        </w:rPr>
        <w:t xml:space="preserve">2 nouvelles </w:t>
      </w:r>
      <w:r w:rsidRPr="000C21CA">
        <w:rPr>
          <w:rFonts w:eastAsia="Roboto" w:cs="Roboto"/>
        </w:rPr>
        <w:lastRenderedPageBreak/>
        <w:t xml:space="preserve">plateformes nationales aux Comores et à Madagascar </w:t>
      </w:r>
      <w:r w:rsidR="00475C14">
        <w:rPr>
          <w:rFonts w:eastAsia="Roboto" w:cs="Roboto"/>
        </w:rPr>
        <w:t>consacrées à</w:t>
      </w:r>
      <w:r w:rsidRPr="000C21CA">
        <w:rPr>
          <w:rFonts w:eastAsia="Roboto" w:cs="Roboto"/>
        </w:rPr>
        <w:t xml:space="preserve"> la gestion durable des déchets ;</w:t>
      </w:r>
    </w:p>
    <w:p w14:paraId="5528716E" w14:textId="18C99D2C"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L’organisation de la </w:t>
      </w:r>
      <w:r w:rsidRPr="000C21CA">
        <w:rPr>
          <w:rStyle w:val="Aucun"/>
          <w:rFonts w:eastAsia="Roboto" w:cs="Roboto"/>
          <w:b/>
          <w:bCs/>
        </w:rPr>
        <w:t xml:space="preserve">première édition de l’International Science, </w:t>
      </w:r>
      <w:proofErr w:type="spellStart"/>
      <w:r w:rsidRPr="000C21CA">
        <w:rPr>
          <w:rStyle w:val="Aucun"/>
          <w:rFonts w:eastAsia="Roboto" w:cs="Roboto"/>
          <w:b/>
          <w:bCs/>
        </w:rPr>
        <w:t>Research</w:t>
      </w:r>
      <w:proofErr w:type="spellEnd"/>
      <w:r w:rsidRPr="000C21CA">
        <w:rPr>
          <w:rStyle w:val="Aucun"/>
          <w:rFonts w:eastAsia="Roboto" w:cs="Roboto"/>
          <w:b/>
          <w:bCs/>
        </w:rPr>
        <w:t xml:space="preserve"> and Innovation Conf</w:t>
      </w:r>
      <w:r w:rsidR="00ED5770" w:rsidRPr="000C21CA">
        <w:rPr>
          <w:rStyle w:val="Aucun"/>
          <w:rFonts w:eastAsia="Roboto" w:cs="Roboto"/>
          <w:b/>
          <w:bCs/>
        </w:rPr>
        <w:t>e</w:t>
      </w:r>
      <w:r w:rsidRPr="000C21CA">
        <w:rPr>
          <w:rStyle w:val="Aucun"/>
          <w:rFonts w:eastAsia="Roboto" w:cs="Roboto"/>
          <w:b/>
          <w:bCs/>
        </w:rPr>
        <w:t>rence</w:t>
      </w:r>
      <w:r w:rsidRPr="000C21CA">
        <w:rPr>
          <w:rFonts w:eastAsia="Roboto" w:cs="Roboto"/>
        </w:rPr>
        <w:t xml:space="preserve"> à </w:t>
      </w:r>
      <w:r w:rsidRPr="000C21CA">
        <w:rPr>
          <w:rStyle w:val="Aucun"/>
          <w:rFonts w:eastAsia="Roboto" w:cs="Roboto"/>
          <w:b/>
          <w:bCs/>
        </w:rPr>
        <w:t>l’Université des Seychelles</w:t>
      </w:r>
      <w:r w:rsidRPr="000C21CA">
        <w:rPr>
          <w:rFonts w:eastAsia="Roboto" w:cs="Roboto"/>
        </w:rPr>
        <w:t xml:space="preserve"> le 18 et 19 mars 2025 avec une présentation en hybride de 27 abstracts sur la thématique de la valorisation énergétique des déchets ;</w:t>
      </w:r>
    </w:p>
    <w:p w14:paraId="0B9460B5" w14:textId="244BF69D"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Le lancement du premier </w:t>
      </w:r>
      <w:r w:rsidRPr="000C21CA">
        <w:rPr>
          <w:rStyle w:val="Aucun"/>
          <w:rFonts w:eastAsia="Roboto" w:cs="Roboto"/>
          <w:b/>
          <w:bCs/>
        </w:rPr>
        <w:t>Concours Régional de l’Innovation</w:t>
      </w:r>
      <w:r w:rsidRPr="000C21CA">
        <w:rPr>
          <w:rFonts w:eastAsia="Roboto" w:cs="Roboto"/>
        </w:rPr>
        <w:t xml:space="preserve"> sur </w:t>
      </w:r>
      <w:r w:rsidR="00056023" w:rsidRPr="000C21CA">
        <w:rPr>
          <w:rFonts w:eastAsia="Roboto" w:cs="Roboto"/>
        </w:rPr>
        <w:t>la filière déchet-énergie et l’économie circulaire</w:t>
      </w:r>
      <w:r w:rsidRPr="000C21CA">
        <w:rPr>
          <w:rFonts w:eastAsia="Roboto" w:cs="Roboto"/>
        </w:rPr>
        <w:t xml:space="preserve"> </w:t>
      </w:r>
      <w:r w:rsidR="00475C14">
        <w:rPr>
          <w:rFonts w:eastAsia="Roboto" w:cs="Roboto"/>
        </w:rPr>
        <w:t>dans les</w:t>
      </w:r>
      <w:r w:rsidRPr="000C21CA">
        <w:rPr>
          <w:rFonts w:eastAsia="Roboto" w:cs="Roboto"/>
        </w:rPr>
        <w:t xml:space="preserve"> quatre pays bénéficiaires </w:t>
      </w:r>
      <w:r w:rsidRPr="000C21CA">
        <w:rPr>
          <w:rStyle w:val="Aucun"/>
          <w:rFonts w:eastAsia="Roboto" w:cs="Roboto"/>
          <w:b/>
          <w:bCs/>
        </w:rPr>
        <w:t xml:space="preserve">avec 87 applications au total (46 à Madagascar, 11 aux Comores, 1 aux Seychelles et 29 à Maurice) </w:t>
      </w:r>
      <w:r w:rsidRPr="000C21CA">
        <w:rPr>
          <w:rStyle w:val="Aucun"/>
          <w:rFonts w:eastAsia="Roboto" w:cs="Roboto"/>
        </w:rPr>
        <w:t>et</w:t>
      </w:r>
      <w:r w:rsidRPr="000C21CA">
        <w:rPr>
          <w:rFonts w:eastAsia="Roboto" w:cs="Roboto"/>
        </w:rPr>
        <w:t xml:space="preserve"> une diffusion régionale </w:t>
      </w:r>
      <w:r w:rsidR="00056023" w:rsidRPr="000C21CA">
        <w:rPr>
          <w:rFonts w:eastAsia="Roboto" w:cs="Roboto"/>
        </w:rPr>
        <w:t>assurée par les chaînes de télévision nationale</w:t>
      </w:r>
      <w:r w:rsidR="000C1A93">
        <w:rPr>
          <w:rFonts w:eastAsia="Roboto" w:cs="Roboto"/>
        </w:rPr>
        <w:t>s</w:t>
      </w:r>
      <w:r w:rsidR="00056023" w:rsidRPr="000C21CA">
        <w:rPr>
          <w:rFonts w:eastAsia="Roboto" w:cs="Roboto"/>
        </w:rPr>
        <w:t> ;</w:t>
      </w:r>
    </w:p>
    <w:p w14:paraId="564EA7C4" w14:textId="0A98D9CA"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Style w:val="Aucun"/>
          <w:rFonts w:eastAsia="Roboto" w:cs="Roboto"/>
          <w:b/>
          <w:bCs/>
        </w:rPr>
        <w:t xml:space="preserve">La réalisation de 55 MOOC sur la promotion et la valorisation de la Recherche </w:t>
      </w:r>
      <w:r w:rsidRPr="000C21CA">
        <w:rPr>
          <w:rFonts w:eastAsia="Roboto" w:cs="Roboto"/>
        </w:rPr>
        <w:t xml:space="preserve">diffusée sur la plateforme régionale </w:t>
      </w:r>
      <w:hyperlink r:id="rId8" w:history="1">
        <w:r w:rsidR="00C125FC" w:rsidRPr="000C21CA">
          <w:rPr>
            <w:rStyle w:val="Hyperlink1"/>
            <w:rFonts w:eastAsia="Roboto" w:cs="Roboto"/>
          </w:rPr>
          <w:t>IORIC.org</w:t>
        </w:r>
      </w:hyperlink>
      <w:r w:rsidR="0073524D" w:rsidRPr="000C21CA">
        <w:rPr>
          <w:rFonts w:eastAsia="Roboto" w:cs="Roboto"/>
        </w:rPr>
        <w:t> ;</w:t>
      </w:r>
    </w:p>
    <w:p w14:paraId="2286E3E5" w14:textId="050E6E3E"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La mise en place de 18 laboratoires vivants (2 à Madagascar, 6 aux Seychelles, 1 à Maurice et 9 aux Comores) déployant 6 technologies de </w:t>
      </w:r>
      <w:proofErr w:type="spellStart"/>
      <w:r w:rsidRPr="000C21CA">
        <w:rPr>
          <w:rFonts w:eastAsia="Roboto" w:cs="Roboto"/>
        </w:rPr>
        <w:t>biodigestion</w:t>
      </w:r>
      <w:proofErr w:type="spellEnd"/>
      <w:r w:rsidRPr="000C21CA">
        <w:rPr>
          <w:rFonts w:eastAsia="Roboto" w:cs="Roboto"/>
        </w:rPr>
        <w:t xml:space="preserve"> locales, 1 de bioéthanol et 1 de fabrication de </w:t>
      </w:r>
      <w:r w:rsidR="00201442" w:rsidRPr="000C21CA">
        <w:rPr>
          <w:rFonts w:eastAsia="Roboto" w:cs="Roboto"/>
        </w:rPr>
        <w:t>briquettes ;</w:t>
      </w:r>
    </w:p>
    <w:p w14:paraId="2BE18BEE" w14:textId="6713D56C"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L’équipement de 2 nouveaux laboratoires d’analyses physico-chimiques au CNRIT à Madagascar et à l’UDC aux </w:t>
      </w:r>
      <w:r w:rsidR="00201442" w:rsidRPr="000C21CA">
        <w:rPr>
          <w:rFonts w:eastAsia="Roboto" w:cs="Roboto"/>
        </w:rPr>
        <w:t>Comores ;</w:t>
      </w:r>
    </w:p>
    <w:p w14:paraId="06C1E4BC" w14:textId="029DBC46"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L’élaboration et la promulgation d’une </w:t>
      </w:r>
      <w:r w:rsidR="0073524D" w:rsidRPr="000C21CA">
        <w:rPr>
          <w:rFonts w:eastAsia="Roboto" w:cs="Roboto"/>
        </w:rPr>
        <w:t>loi-cadre</w:t>
      </w:r>
      <w:r w:rsidRPr="000C21CA">
        <w:rPr>
          <w:rFonts w:eastAsia="Roboto" w:cs="Roboto"/>
        </w:rPr>
        <w:t xml:space="preserve"> sur les déchets aux Comores, de deux textes normatifs sur les combustibles alternatifs issus des technologies </w:t>
      </w:r>
      <w:proofErr w:type="spellStart"/>
      <w:r w:rsidRPr="000C21CA">
        <w:rPr>
          <w:rFonts w:eastAsia="Roboto" w:cs="Roboto"/>
        </w:rPr>
        <w:t>WtE</w:t>
      </w:r>
      <w:proofErr w:type="spellEnd"/>
      <w:r w:rsidRPr="000C21CA">
        <w:rPr>
          <w:rFonts w:eastAsia="Roboto" w:cs="Roboto"/>
        </w:rPr>
        <w:t xml:space="preserve"> à Madagascar et cinq études structurantes pour les chaines de valeur </w:t>
      </w:r>
      <w:proofErr w:type="spellStart"/>
      <w:r w:rsidRPr="000C21CA">
        <w:rPr>
          <w:rFonts w:eastAsia="Roboto" w:cs="Roboto"/>
        </w:rPr>
        <w:t>WtE</w:t>
      </w:r>
      <w:proofErr w:type="spellEnd"/>
      <w:r w:rsidRPr="000C21CA">
        <w:rPr>
          <w:rFonts w:eastAsia="Roboto" w:cs="Roboto"/>
        </w:rPr>
        <w:t xml:space="preserve"> (2 à Maurice, 1 à Madagascar, 1 aux Comores et 1 aux Seychelles</w:t>
      </w:r>
      <w:r w:rsidR="00201442" w:rsidRPr="000C21CA">
        <w:rPr>
          <w:rFonts w:eastAsia="Roboto" w:cs="Roboto"/>
        </w:rPr>
        <w:t>) ;</w:t>
      </w:r>
    </w:p>
    <w:p w14:paraId="74AD6D9E" w14:textId="6653363B" w:rsidR="00201442"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La rédaction de deux plaidoyers en faveur de la mobilité scientifique et </w:t>
      </w:r>
      <w:r w:rsidR="00A8725E" w:rsidRPr="000C21CA">
        <w:rPr>
          <w:rFonts w:eastAsia="Roboto" w:cs="Roboto"/>
        </w:rPr>
        <w:t xml:space="preserve">de </w:t>
      </w:r>
      <w:r w:rsidRPr="000C21CA">
        <w:rPr>
          <w:rFonts w:eastAsia="Roboto" w:cs="Roboto"/>
        </w:rPr>
        <w:t>la création d’un réseau d’expertise régional</w:t>
      </w:r>
      <w:r w:rsidR="00B81F6C">
        <w:rPr>
          <w:rFonts w:eastAsia="Roboto" w:cs="Roboto"/>
        </w:rPr>
        <w:t>e</w:t>
      </w:r>
      <w:r w:rsidRPr="000C21CA">
        <w:rPr>
          <w:rFonts w:eastAsia="Roboto" w:cs="Roboto"/>
        </w:rPr>
        <w:t xml:space="preserve"> </w:t>
      </w:r>
      <w:r w:rsidR="00201442" w:rsidRPr="000C21CA">
        <w:rPr>
          <w:rFonts w:eastAsia="Roboto" w:cs="Roboto"/>
        </w:rPr>
        <w:t>Bioénergies.</w:t>
      </w:r>
    </w:p>
    <w:p w14:paraId="17D339F1" w14:textId="50F22620" w:rsidR="00C125FC" w:rsidRPr="000C21CA" w:rsidRDefault="006D1037" w:rsidP="00A8725E">
      <w:pPr>
        <w:pStyle w:val="Paragraphe"/>
        <w:spacing w:after="0" w:line="240" w:lineRule="auto"/>
        <w:rPr>
          <w:rFonts w:eastAsia="Roboto" w:cs="Roboto"/>
        </w:rPr>
      </w:pPr>
      <w:r w:rsidRPr="000C21CA">
        <w:rPr>
          <w:rFonts w:eastAsia="Roboto" w:cs="Roboto"/>
        </w:rPr>
        <w:t xml:space="preserve">La période de clôture du projet (13 juin 2025 - 12 septembre 2025) a été l’occasion de la synthèse de l’ensemble des travaux du projet avec la conduite de l’évaluation finale par un évaluateur externe (restitution le 8 septembre 2025 en présence des partenaires et de l’UE) puis la restitution de l’ensemble des éléments compilés auprès du Secrétariat </w:t>
      </w:r>
      <w:r w:rsidR="009E02D4" w:rsidRPr="000C21CA">
        <w:rPr>
          <w:rFonts w:eastAsia="Roboto" w:cs="Roboto"/>
        </w:rPr>
        <w:t>g</w:t>
      </w:r>
      <w:r w:rsidRPr="000C21CA">
        <w:rPr>
          <w:rFonts w:eastAsia="Roboto" w:cs="Roboto"/>
        </w:rPr>
        <w:t>énéral le 10 septembre 2025.</w:t>
      </w:r>
    </w:p>
    <w:p w14:paraId="4C9B4D99" w14:textId="77777777" w:rsidR="00A8725E" w:rsidRPr="000C21CA" w:rsidRDefault="00A8725E" w:rsidP="00A8725E">
      <w:pPr>
        <w:pStyle w:val="Paragraphe"/>
        <w:spacing w:after="0" w:line="240" w:lineRule="auto"/>
        <w:rPr>
          <w:rFonts w:eastAsia="Roboto" w:cs="Roboto"/>
        </w:rPr>
      </w:pPr>
    </w:p>
    <w:p w14:paraId="1D62A161" w14:textId="5A030D33" w:rsidR="00C125FC" w:rsidRPr="000C21CA" w:rsidRDefault="006D1037" w:rsidP="00A8725E">
      <w:pPr>
        <w:pStyle w:val="Paragraphe"/>
        <w:spacing w:after="0" w:line="240" w:lineRule="auto"/>
        <w:rPr>
          <w:rFonts w:eastAsia="Roboto" w:cs="Roboto"/>
        </w:rPr>
      </w:pPr>
      <w:r w:rsidRPr="000C21CA">
        <w:rPr>
          <w:rFonts w:eastAsia="Roboto" w:cs="Roboto"/>
        </w:rPr>
        <w:t xml:space="preserve">Les documents de rapportage suivants ont été transmis à l’Union </w:t>
      </w:r>
      <w:r w:rsidR="009E02D4" w:rsidRPr="000C21CA">
        <w:rPr>
          <w:rFonts w:eastAsia="Roboto" w:cs="Roboto"/>
        </w:rPr>
        <w:t>e</w:t>
      </w:r>
      <w:r w:rsidRPr="000C21CA">
        <w:rPr>
          <w:rFonts w:eastAsia="Roboto" w:cs="Roboto"/>
        </w:rPr>
        <w:t xml:space="preserve">uropéenne le 6 octobre 2025 et sont en cours de révision par l’autorité </w:t>
      </w:r>
      <w:r w:rsidR="00201442" w:rsidRPr="000C21CA">
        <w:rPr>
          <w:rFonts w:eastAsia="Roboto" w:cs="Roboto"/>
        </w:rPr>
        <w:t>contractante :</w:t>
      </w:r>
    </w:p>
    <w:p w14:paraId="6BD5BD02"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Rapport narratif technique</w:t>
      </w:r>
    </w:p>
    <w:p w14:paraId="01C0ED77"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Rapport financier, liste de transaction, rapport d’audit</w:t>
      </w:r>
    </w:p>
    <w:p w14:paraId="6162ABE5"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Rapport d’évaluation finale</w:t>
      </w:r>
    </w:p>
    <w:p w14:paraId="21695CD8"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Livrables</w:t>
      </w:r>
    </w:p>
    <w:p w14:paraId="621B7D1E"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 xml:space="preserve">Exit </w:t>
      </w:r>
      <w:proofErr w:type="spellStart"/>
      <w:r w:rsidRPr="000C21CA">
        <w:rPr>
          <w:rFonts w:eastAsia="Roboto" w:cs="Roboto"/>
        </w:rPr>
        <w:t>strategy</w:t>
      </w:r>
      <w:proofErr w:type="spellEnd"/>
    </w:p>
    <w:p w14:paraId="539BE002" w14:textId="77777777" w:rsidR="00C125FC" w:rsidRPr="000C21CA" w:rsidRDefault="00C125FC" w:rsidP="00A8725E">
      <w:pPr>
        <w:pStyle w:val="Paragraphe"/>
        <w:spacing w:after="0" w:line="240" w:lineRule="auto"/>
        <w:rPr>
          <w:rFonts w:eastAsia="Roboto" w:cs="Roboto"/>
        </w:rPr>
      </w:pPr>
    </w:p>
    <w:p w14:paraId="1B649F1A" w14:textId="77777777" w:rsidR="00A8725E" w:rsidRPr="000C21CA" w:rsidRDefault="00A8725E" w:rsidP="00A8725E">
      <w:pPr>
        <w:pStyle w:val="Paragraphe"/>
        <w:spacing w:after="0" w:line="240" w:lineRule="auto"/>
        <w:rPr>
          <w:rFonts w:eastAsia="Roboto" w:cs="Roboto"/>
        </w:rPr>
      </w:pPr>
    </w:p>
    <w:p w14:paraId="1DED8D16" w14:textId="4772CBF5" w:rsidR="00C125FC" w:rsidRPr="000C21CA" w:rsidRDefault="0014045E" w:rsidP="00A8725E">
      <w:pPr>
        <w:pStyle w:val="Sous-partie2"/>
        <w:spacing w:after="0" w:line="240" w:lineRule="auto"/>
        <w:ind w:left="360"/>
      </w:pPr>
      <w:r w:rsidRPr="000C21CA">
        <w:t>Stratégie de sortie</w:t>
      </w:r>
      <w:r w:rsidR="006D1037" w:rsidRPr="000C21CA">
        <w:t xml:space="preserve"> du projet</w:t>
      </w:r>
    </w:p>
    <w:p w14:paraId="07AB1E32" w14:textId="77777777" w:rsidR="00A8725E" w:rsidRPr="000C21CA" w:rsidRDefault="00A8725E" w:rsidP="00A8725E">
      <w:pPr>
        <w:pStyle w:val="Titrepartie"/>
        <w:spacing w:after="0" w:line="240" w:lineRule="auto"/>
        <w:rPr>
          <w:rFonts w:eastAsia="Roboto" w:cs="Roboto"/>
          <w:b w:val="0"/>
          <w:bCs w:val="0"/>
          <w:color w:val="000000"/>
          <w:sz w:val="20"/>
          <w:szCs w:val="20"/>
          <w:u w:color="000000"/>
        </w:rPr>
      </w:pPr>
    </w:p>
    <w:p w14:paraId="3D4A4F19" w14:textId="485547D3" w:rsidR="00C125FC" w:rsidRPr="000C21CA" w:rsidRDefault="006D1037" w:rsidP="00A8725E">
      <w:pPr>
        <w:pStyle w:val="Titrepartie"/>
        <w:spacing w:after="0" w:line="240" w:lineRule="auto"/>
        <w:rPr>
          <w:rFonts w:eastAsia="Roboto" w:cs="Roboto"/>
          <w:b w:val="0"/>
          <w:bCs w:val="0"/>
          <w:color w:val="000000"/>
          <w:sz w:val="20"/>
          <w:szCs w:val="20"/>
          <w:u w:color="000000"/>
        </w:rPr>
      </w:pPr>
      <w:r w:rsidRPr="000C21CA">
        <w:rPr>
          <w:rFonts w:eastAsia="Roboto" w:cs="Roboto"/>
          <w:b w:val="0"/>
          <w:bCs w:val="0"/>
          <w:color w:val="000000"/>
          <w:sz w:val="20"/>
          <w:szCs w:val="20"/>
          <w:u w:color="000000"/>
        </w:rPr>
        <w:t xml:space="preserve">Afin de préparer au mieux la sortie de projet, l’équipe </w:t>
      </w:r>
      <w:r w:rsidR="0014045E" w:rsidRPr="000C21CA">
        <w:rPr>
          <w:rFonts w:eastAsia="Roboto" w:cs="Roboto"/>
          <w:b w:val="0"/>
          <w:bCs w:val="0"/>
          <w:color w:val="000000"/>
          <w:sz w:val="20"/>
          <w:szCs w:val="20"/>
          <w:u w:color="000000"/>
        </w:rPr>
        <w:t xml:space="preserve">a </w:t>
      </w:r>
      <w:r w:rsidRPr="000C21CA">
        <w:rPr>
          <w:rFonts w:eastAsia="Roboto" w:cs="Roboto"/>
          <w:b w:val="0"/>
          <w:bCs w:val="0"/>
          <w:color w:val="000000"/>
          <w:sz w:val="20"/>
          <w:szCs w:val="20"/>
          <w:u w:color="000000"/>
        </w:rPr>
        <w:t xml:space="preserve">organisé diverses sessions pour </w:t>
      </w:r>
      <w:proofErr w:type="spellStart"/>
      <w:r w:rsidRPr="000C21CA">
        <w:rPr>
          <w:rFonts w:eastAsia="Roboto" w:cs="Roboto"/>
          <w:b w:val="0"/>
          <w:bCs w:val="0"/>
          <w:color w:val="000000"/>
          <w:sz w:val="20"/>
          <w:szCs w:val="20"/>
          <w:u w:color="000000"/>
        </w:rPr>
        <w:t>co-construire</w:t>
      </w:r>
      <w:proofErr w:type="spellEnd"/>
      <w:r w:rsidRPr="000C21CA">
        <w:rPr>
          <w:rFonts w:eastAsia="Roboto" w:cs="Roboto"/>
          <w:b w:val="0"/>
          <w:bCs w:val="0"/>
          <w:color w:val="000000"/>
          <w:sz w:val="20"/>
          <w:szCs w:val="20"/>
          <w:u w:color="000000"/>
        </w:rPr>
        <w:t xml:space="preserve"> le document </w:t>
      </w:r>
      <w:r w:rsidR="0014045E" w:rsidRPr="000C21CA">
        <w:rPr>
          <w:rFonts w:eastAsia="Roboto" w:cs="Roboto"/>
          <w:b w:val="0"/>
          <w:bCs w:val="0"/>
          <w:color w:val="000000"/>
          <w:sz w:val="20"/>
          <w:szCs w:val="20"/>
          <w:u w:color="000000"/>
        </w:rPr>
        <w:t>de stratégie de sortie</w:t>
      </w:r>
      <w:r w:rsidR="00475C14">
        <w:rPr>
          <w:rFonts w:eastAsia="Roboto" w:cs="Roboto"/>
          <w:b w:val="0"/>
          <w:bCs w:val="0"/>
          <w:color w:val="000000"/>
          <w:sz w:val="20"/>
          <w:szCs w:val="20"/>
          <w:u w:color="000000"/>
        </w:rPr>
        <w:t xml:space="preserve">. Ce document formalise </w:t>
      </w:r>
      <w:r w:rsidRPr="000C21CA">
        <w:rPr>
          <w:rFonts w:eastAsia="Roboto" w:cs="Roboto"/>
          <w:b w:val="0"/>
          <w:bCs w:val="0"/>
          <w:color w:val="000000"/>
          <w:sz w:val="20"/>
          <w:szCs w:val="20"/>
          <w:u w:color="000000"/>
        </w:rPr>
        <w:t>les engagements post</w:t>
      </w:r>
      <w:r w:rsidR="0014045E" w:rsidRPr="000C21CA">
        <w:rPr>
          <w:rFonts w:eastAsia="Roboto" w:cs="Roboto"/>
          <w:b w:val="0"/>
          <w:bCs w:val="0"/>
          <w:color w:val="000000"/>
          <w:sz w:val="20"/>
          <w:szCs w:val="20"/>
          <w:u w:color="000000"/>
        </w:rPr>
        <w:t>-</w:t>
      </w:r>
      <w:r w:rsidRPr="000C21CA">
        <w:rPr>
          <w:rFonts w:eastAsia="Roboto" w:cs="Roboto"/>
          <w:b w:val="0"/>
          <w:bCs w:val="0"/>
          <w:color w:val="000000"/>
          <w:sz w:val="20"/>
          <w:szCs w:val="20"/>
          <w:u w:color="000000"/>
        </w:rPr>
        <w:t xml:space="preserve">projet des partenaires et PFN </w:t>
      </w:r>
      <w:r w:rsidR="00475C14">
        <w:rPr>
          <w:rFonts w:eastAsia="Roboto" w:cs="Roboto"/>
          <w:b w:val="0"/>
          <w:bCs w:val="0"/>
          <w:color w:val="000000"/>
          <w:sz w:val="20"/>
          <w:szCs w:val="20"/>
          <w:u w:color="000000"/>
        </w:rPr>
        <w:t>assortis de</w:t>
      </w:r>
      <w:r w:rsidRPr="000C21CA">
        <w:rPr>
          <w:rFonts w:eastAsia="Roboto" w:cs="Roboto"/>
          <w:b w:val="0"/>
          <w:bCs w:val="0"/>
          <w:color w:val="000000"/>
          <w:sz w:val="20"/>
          <w:szCs w:val="20"/>
          <w:u w:color="000000"/>
        </w:rPr>
        <w:t xml:space="preserve"> mesures concrètes à court term</w:t>
      </w:r>
      <w:r w:rsidR="00475C14">
        <w:rPr>
          <w:rFonts w:eastAsia="Roboto" w:cs="Roboto"/>
          <w:b w:val="0"/>
          <w:bCs w:val="0"/>
          <w:color w:val="000000"/>
          <w:sz w:val="20"/>
          <w:szCs w:val="20"/>
          <w:u w:color="000000"/>
        </w:rPr>
        <w:t xml:space="preserve">e, pouvant être mises en œuvre </w:t>
      </w:r>
      <w:r w:rsidRPr="000C21CA">
        <w:rPr>
          <w:rFonts w:eastAsia="Roboto" w:cs="Roboto"/>
          <w:b w:val="0"/>
          <w:bCs w:val="0"/>
          <w:color w:val="000000"/>
          <w:sz w:val="20"/>
          <w:szCs w:val="20"/>
          <w:u w:color="000000"/>
        </w:rPr>
        <w:t xml:space="preserve">sans financement externe ou avec </w:t>
      </w:r>
      <w:r w:rsidR="00475C14">
        <w:rPr>
          <w:rFonts w:eastAsia="Roboto" w:cs="Roboto"/>
          <w:b w:val="0"/>
          <w:bCs w:val="0"/>
          <w:color w:val="000000"/>
          <w:sz w:val="20"/>
          <w:szCs w:val="20"/>
          <w:u w:color="000000"/>
        </w:rPr>
        <w:t xml:space="preserve">la </w:t>
      </w:r>
      <w:r w:rsidRPr="000C21CA">
        <w:rPr>
          <w:rFonts w:eastAsia="Roboto" w:cs="Roboto"/>
          <w:b w:val="0"/>
          <w:bCs w:val="0"/>
          <w:color w:val="000000"/>
          <w:sz w:val="20"/>
          <w:szCs w:val="20"/>
          <w:u w:color="000000"/>
        </w:rPr>
        <w:t>garantie d</w:t>
      </w:r>
      <w:r w:rsidR="00475C14">
        <w:rPr>
          <w:rFonts w:eastAsia="Roboto" w:cs="Roboto"/>
          <w:b w:val="0"/>
          <w:bCs w:val="0"/>
          <w:color w:val="000000"/>
          <w:sz w:val="20"/>
          <w:szCs w:val="20"/>
          <w:u w:color="000000"/>
        </w:rPr>
        <w:t xml:space="preserve">’un </w:t>
      </w:r>
      <w:r w:rsidRPr="000C21CA">
        <w:rPr>
          <w:rFonts w:eastAsia="Roboto" w:cs="Roboto"/>
          <w:b w:val="0"/>
          <w:bCs w:val="0"/>
          <w:color w:val="000000"/>
          <w:sz w:val="20"/>
          <w:szCs w:val="20"/>
          <w:u w:color="000000"/>
        </w:rPr>
        <w:t xml:space="preserve">accès à ces financements. Cette </w:t>
      </w:r>
      <w:r w:rsidR="0014045E" w:rsidRPr="000C21CA">
        <w:rPr>
          <w:rFonts w:eastAsia="Roboto" w:cs="Roboto"/>
          <w:b w:val="0"/>
          <w:bCs w:val="0"/>
          <w:color w:val="000000"/>
          <w:sz w:val="20"/>
          <w:szCs w:val="20"/>
          <w:u w:color="000000"/>
        </w:rPr>
        <w:t>stratégie</w:t>
      </w:r>
      <w:r w:rsidRPr="000C21CA">
        <w:rPr>
          <w:rFonts w:eastAsia="Roboto" w:cs="Roboto"/>
          <w:b w:val="0"/>
          <w:bCs w:val="0"/>
          <w:color w:val="000000"/>
          <w:sz w:val="20"/>
          <w:szCs w:val="20"/>
          <w:u w:color="000000"/>
        </w:rPr>
        <w:t xml:space="preserve"> recense une liste d’indicateurs post</w:t>
      </w:r>
      <w:r w:rsidR="0014045E" w:rsidRPr="000C21CA">
        <w:rPr>
          <w:rFonts w:eastAsia="Roboto" w:cs="Roboto"/>
          <w:b w:val="0"/>
          <w:bCs w:val="0"/>
          <w:color w:val="000000"/>
          <w:sz w:val="20"/>
          <w:szCs w:val="20"/>
          <w:u w:color="000000"/>
        </w:rPr>
        <w:t>-</w:t>
      </w:r>
      <w:r w:rsidRPr="000C21CA">
        <w:rPr>
          <w:rFonts w:eastAsia="Roboto" w:cs="Roboto"/>
          <w:b w:val="0"/>
          <w:bCs w:val="0"/>
          <w:color w:val="000000"/>
          <w:sz w:val="20"/>
          <w:szCs w:val="20"/>
          <w:u w:color="000000"/>
        </w:rPr>
        <w:t xml:space="preserve">projet à suivre par la COI/MRIC. </w:t>
      </w:r>
    </w:p>
    <w:p w14:paraId="2BBAD1D7" w14:textId="77777777" w:rsidR="00A8725E" w:rsidRPr="000C21CA" w:rsidRDefault="00A8725E" w:rsidP="00A8725E">
      <w:pPr>
        <w:pStyle w:val="Titrepartie"/>
        <w:spacing w:after="0" w:line="240" w:lineRule="auto"/>
        <w:rPr>
          <w:rFonts w:eastAsia="Roboto" w:cs="Roboto"/>
          <w:b w:val="0"/>
          <w:bCs w:val="0"/>
          <w:color w:val="000000"/>
          <w:sz w:val="20"/>
          <w:szCs w:val="20"/>
          <w:u w:color="000000"/>
        </w:rPr>
      </w:pPr>
    </w:p>
    <w:p w14:paraId="59C1363A" w14:textId="77777777" w:rsidR="00A8725E" w:rsidRDefault="00A8725E" w:rsidP="00A8725E">
      <w:pPr>
        <w:pStyle w:val="Titrepartie"/>
        <w:spacing w:after="0" w:line="240" w:lineRule="auto"/>
        <w:rPr>
          <w:rFonts w:eastAsia="Roboto" w:cs="Roboto"/>
          <w:b w:val="0"/>
          <w:bCs w:val="0"/>
          <w:color w:val="000000"/>
          <w:sz w:val="20"/>
          <w:szCs w:val="20"/>
          <w:u w:color="000000"/>
        </w:rPr>
      </w:pPr>
    </w:p>
    <w:p w14:paraId="7DC5C600" w14:textId="77777777" w:rsidR="00B13332" w:rsidRDefault="00B13332" w:rsidP="00A8725E">
      <w:pPr>
        <w:pStyle w:val="Titrepartie"/>
        <w:spacing w:after="0" w:line="240" w:lineRule="auto"/>
        <w:rPr>
          <w:rFonts w:eastAsia="Roboto" w:cs="Roboto"/>
          <w:b w:val="0"/>
          <w:bCs w:val="0"/>
          <w:color w:val="000000"/>
          <w:sz w:val="20"/>
          <w:szCs w:val="20"/>
          <w:u w:color="000000"/>
        </w:rPr>
      </w:pPr>
    </w:p>
    <w:p w14:paraId="57FF6CC3" w14:textId="77777777" w:rsidR="00B13332" w:rsidRPr="000C21CA" w:rsidRDefault="00B13332" w:rsidP="00A8725E">
      <w:pPr>
        <w:pStyle w:val="Titrepartie"/>
        <w:spacing w:after="0" w:line="240" w:lineRule="auto"/>
        <w:rPr>
          <w:rFonts w:eastAsia="Roboto" w:cs="Roboto"/>
          <w:b w:val="0"/>
          <w:bCs w:val="0"/>
          <w:color w:val="000000"/>
          <w:sz w:val="20"/>
          <w:szCs w:val="20"/>
          <w:u w:color="000000"/>
        </w:rPr>
      </w:pPr>
    </w:p>
    <w:p w14:paraId="2583DC52" w14:textId="77777777" w:rsidR="00A8725E" w:rsidRPr="000C21CA" w:rsidRDefault="00A8725E" w:rsidP="00A8725E">
      <w:pPr>
        <w:pStyle w:val="Titrepartie"/>
        <w:spacing w:after="0" w:line="240" w:lineRule="auto"/>
        <w:rPr>
          <w:rFonts w:eastAsia="Roboto" w:cs="Roboto"/>
          <w:b w:val="0"/>
          <w:bCs w:val="0"/>
          <w:color w:val="000000"/>
          <w:sz w:val="20"/>
          <w:szCs w:val="20"/>
          <w:u w:color="000000"/>
        </w:rPr>
      </w:pPr>
    </w:p>
    <w:p w14:paraId="66C93E35" w14:textId="15B6FDA3" w:rsidR="00C125FC" w:rsidRPr="000C21CA" w:rsidRDefault="006D1037" w:rsidP="00A8725E">
      <w:pPr>
        <w:pStyle w:val="Titrepartie"/>
        <w:spacing w:after="0" w:line="240" w:lineRule="auto"/>
        <w:rPr>
          <w:rFonts w:eastAsia="Roboto" w:cs="Roboto"/>
          <w:b w:val="0"/>
          <w:bCs w:val="0"/>
          <w:color w:val="000000"/>
          <w:sz w:val="20"/>
          <w:szCs w:val="20"/>
          <w:u w:color="000000"/>
        </w:rPr>
      </w:pPr>
      <w:r w:rsidRPr="000C21CA">
        <w:rPr>
          <w:rFonts w:eastAsia="Roboto" w:cs="Roboto"/>
          <w:b w:val="0"/>
          <w:bCs w:val="0"/>
          <w:color w:val="000000"/>
          <w:sz w:val="20"/>
          <w:szCs w:val="20"/>
          <w:u w:color="000000"/>
        </w:rPr>
        <w:lastRenderedPageBreak/>
        <w:t xml:space="preserve">Le document formule également les apprentissages et recommandations </w:t>
      </w:r>
      <w:r w:rsidR="0014045E" w:rsidRPr="000C21CA">
        <w:rPr>
          <w:rFonts w:eastAsia="Roboto" w:cs="Roboto"/>
          <w:b w:val="0"/>
          <w:bCs w:val="0"/>
          <w:color w:val="000000"/>
          <w:sz w:val="20"/>
          <w:szCs w:val="20"/>
          <w:u w:color="000000"/>
        </w:rPr>
        <w:t>suivants :</w:t>
      </w:r>
    </w:p>
    <w:p w14:paraId="53D1F6E8" w14:textId="77777777" w:rsidR="00A8725E" w:rsidRPr="000C21CA" w:rsidRDefault="00A8725E" w:rsidP="00A8725E">
      <w:pPr>
        <w:pStyle w:val="Titrepartie"/>
        <w:spacing w:after="0" w:line="240" w:lineRule="auto"/>
        <w:rPr>
          <w:rStyle w:val="Aucun"/>
          <w:rFonts w:eastAsia="Roboto" w:cs="Roboto"/>
          <w:b w:val="0"/>
          <w:bCs w:val="0"/>
          <w:color w:val="000000"/>
          <w:sz w:val="20"/>
          <w:szCs w:val="20"/>
          <w:u w:color="000000"/>
        </w:rPr>
      </w:pPr>
    </w:p>
    <w:p w14:paraId="2BBAE32B" w14:textId="1A9B9337" w:rsidR="00201442"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u w:val="single"/>
        </w:rPr>
      </w:pPr>
      <w:r w:rsidRPr="000C21CA">
        <w:rPr>
          <w:rStyle w:val="Aucun"/>
          <w:rFonts w:ascii="Verdana" w:eastAsia="Roboto" w:hAnsi="Verdana" w:cs="Roboto"/>
          <w:sz w:val="20"/>
          <w:szCs w:val="20"/>
          <w:u w:val="single"/>
        </w:rPr>
        <w:t xml:space="preserve">L’assistance technique et le suivi des laboratoires vivants post projet, </w:t>
      </w:r>
      <w:r w:rsidRPr="000C21CA">
        <w:rPr>
          <w:rStyle w:val="Aucun"/>
          <w:rFonts w:ascii="Verdana" w:eastAsia="Roboto" w:hAnsi="Verdana" w:cs="Roboto"/>
          <w:sz w:val="20"/>
          <w:szCs w:val="20"/>
        </w:rPr>
        <w:t xml:space="preserve">espaces d’expérimentation et d’appropriation des technologies </w:t>
      </w:r>
      <w:proofErr w:type="spellStart"/>
      <w:r w:rsidRPr="000C21CA">
        <w:rPr>
          <w:rStyle w:val="Aucun"/>
          <w:rFonts w:ascii="Verdana" w:eastAsia="Roboto" w:hAnsi="Verdana" w:cs="Roboto"/>
          <w:sz w:val="20"/>
          <w:szCs w:val="20"/>
        </w:rPr>
        <w:t>WtE</w:t>
      </w:r>
      <w:proofErr w:type="spellEnd"/>
      <w:r w:rsidRPr="000C21CA">
        <w:rPr>
          <w:rStyle w:val="Aucun"/>
          <w:rFonts w:ascii="Verdana" w:eastAsia="Roboto" w:hAnsi="Verdana" w:cs="Roboto"/>
          <w:sz w:val="20"/>
          <w:szCs w:val="20"/>
        </w:rPr>
        <w:t xml:space="preserve"> qui </w:t>
      </w:r>
      <w:r w:rsidR="000C1A93">
        <w:rPr>
          <w:rStyle w:val="Aucun"/>
          <w:rFonts w:ascii="Verdana" w:eastAsia="Roboto" w:hAnsi="Verdana" w:cs="Roboto"/>
          <w:sz w:val="20"/>
          <w:szCs w:val="20"/>
        </w:rPr>
        <w:t>ont</w:t>
      </w:r>
      <w:r w:rsidRPr="000C21CA">
        <w:rPr>
          <w:rStyle w:val="Aucun"/>
          <w:rFonts w:ascii="Verdana" w:eastAsia="Roboto" w:hAnsi="Verdana" w:cs="Roboto"/>
          <w:sz w:val="20"/>
          <w:szCs w:val="20"/>
        </w:rPr>
        <w:t xml:space="preserve"> largement contribué à la mobilisation des bénéficiaires, </w:t>
      </w:r>
      <w:r w:rsidR="000C1A93">
        <w:rPr>
          <w:rStyle w:val="Aucun"/>
          <w:rFonts w:ascii="Verdana" w:eastAsia="Roboto" w:hAnsi="Verdana" w:cs="Roboto"/>
          <w:sz w:val="20"/>
          <w:szCs w:val="20"/>
        </w:rPr>
        <w:t>et à la démonstration de</w:t>
      </w:r>
      <w:r w:rsidRPr="000C21CA">
        <w:rPr>
          <w:rStyle w:val="Aucun"/>
          <w:rFonts w:ascii="Verdana" w:eastAsia="Roboto" w:hAnsi="Verdana" w:cs="Roboto"/>
          <w:sz w:val="20"/>
          <w:szCs w:val="20"/>
        </w:rPr>
        <w:t xml:space="preserve"> la viabilité du modèle économique</w:t>
      </w:r>
      <w:r w:rsidR="00201442" w:rsidRPr="000C21CA">
        <w:rPr>
          <w:rStyle w:val="Aucun"/>
          <w:rFonts w:ascii="Verdana" w:eastAsia="Roboto" w:hAnsi="Verdana" w:cs="Roboto"/>
          <w:sz w:val="20"/>
          <w:szCs w:val="20"/>
        </w:rPr>
        <w:t>.</w:t>
      </w:r>
    </w:p>
    <w:p w14:paraId="13ACB32F" w14:textId="447585B3" w:rsidR="00C125FC"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rPr>
      </w:pPr>
      <w:r w:rsidRPr="000C21CA">
        <w:rPr>
          <w:rStyle w:val="Aucun"/>
          <w:rFonts w:ascii="Verdana" w:eastAsia="Aptos Display" w:hAnsi="Verdana" w:cs="Aptos Display"/>
          <w:b/>
          <w:bCs/>
          <w:sz w:val="20"/>
          <w:szCs w:val="20"/>
          <w:u w:val="single"/>
        </w:rPr>
        <w:t>La visibilité des réseaux Recherche et Innovation</w:t>
      </w:r>
      <w:r w:rsidRPr="000C21CA">
        <w:rPr>
          <w:rStyle w:val="Aucun"/>
          <w:rFonts w:ascii="Verdana" w:eastAsia="Aptos Display" w:hAnsi="Verdana" w:cs="Aptos Display"/>
          <w:sz w:val="20"/>
          <w:szCs w:val="20"/>
        </w:rPr>
        <w:t xml:space="preserve"> existants </w:t>
      </w:r>
      <w:r w:rsidR="000C1A93">
        <w:rPr>
          <w:rStyle w:val="Aucun"/>
          <w:rFonts w:ascii="Verdana" w:eastAsia="Aptos Display" w:hAnsi="Verdana" w:cs="Aptos Display"/>
          <w:sz w:val="20"/>
          <w:szCs w:val="20"/>
        </w:rPr>
        <w:t>dans le</w:t>
      </w:r>
      <w:r w:rsidRPr="000C21CA">
        <w:rPr>
          <w:rStyle w:val="Aucun"/>
          <w:rFonts w:ascii="Verdana" w:eastAsia="Aptos Display" w:hAnsi="Verdana" w:cs="Aptos Display"/>
          <w:sz w:val="20"/>
          <w:szCs w:val="20"/>
        </w:rPr>
        <w:t xml:space="preserve"> bassin </w:t>
      </w:r>
      <w:r w:rsidR="000C1A93">
        <w:rPr>
          <w:rStyle w:val="Aucun"/>
          <w:rFonts w:ascii="Verdana" w:eastAsia="Aptos Display" w:hAnsi="Verdana" w:cs="Aptos Display"/>
          <w:sz w:val="20"/>
          <w:szCs w:val="20"/>
        </w:rPr>
        <w:t>de l’</w:t>
      </w:r>
      <w:r w:rsidR="0014045E" w:rsidRPr="000C21CA">
        <w:rPr>
          <w:rStyle w:val="Aucun"/>
          <w:rFonts w:ascii="Verdana" w:eastAsia="Aptos Display" w:hAnsi="Verdana" w:cs="Aptos Display"/>
          <w:sz w:val="20"/>
          <w:szCs w:val="20"/>
        </w:rPr>
        <w:t>o</w:t>
      </w:r>
      <w:r w:rsidRPr="000C21CA">
        <w:rPr>
          <w:rStyle w:val="Aucun"/>
          <w:rFonts w:ascii="Verdana" w:eastAsia="Aptos Display" w:hAnsi="Verdana" w:cs="Aptos Display"/>
          <w:sz w:val="20"/>
          <w:szCs w:val="20"/>
        </w:rPr>
        <w:t xml:space="preserve">céan Indien doit être </w:t>
      </w:r>
      <w:r w:rsidR="000C1A93">
        <w:rPr>
          <w:rStyle w:val="Aucun"/>
          <w:rFonts w:ascii="Verdana" w:eastAsia="Aptos Display" w:hAnsi="Verdana" w:cs="Aptos Display"/>
          <w:sz w:val="20"/>
          <w:szCs w:val="20"/>
        </w:rPr>
        <w:t>renforcée</w:t>
      </w:r>
      <w:r w:rsidRPr="000C21CA">
        <w:rPr>
          <w:rStyle w:val="Aucun"/>
          <w:rFonts w:ascii="Verdana" w:eastAsia="Aptos Display" w:hAnsi="Verdana" w:cs="Aptos Display"/>
          <w:sz w:val="20"/>
          <w:szCs w:val="20"/>
        </w:rPr>
        <w:t xml:space="preserve">. La COI, qui dispose de plusieurs partenariats et connexions avec ces réseaux, mobilisera les institutions concernées (IORA, AUF, CIRAD, WIOMSA, IRD, etc.) </w:t>
      </w:r>
      <w:r w:rsidR="000C1A93">
        <w:rPr>
          <w:rFonts w:ascii="Verdana" w:eastAsia="Aptos Display" w:hAnsi="Verdana" w:cs="Aptos Display"/>
          <w:b/>
          <w:bCs/>
          <w:sz w:val="20"/>
          <w:szCs w:val="20"/>
        </w:rPr>
        <w:t>afin de</w:t>
      </w:r>
      <w:r w:rsidRPr="000C21CA">
        <w:rPr>
          <w:rFonts w:ascii="Verdana" w:eastAsia="Aptos Display" w:hAnsi="Verdana" w:cs="Aptos Display"/>
          <w:b/>
          <w:bCs/>
          <w:sz w:val="20"/>
          <w:szCs w:val="20"/>
        </w:rPr>
        <w:t xml:space="preserve"> communiquer largement </w:t>
      </w:r>
      <w:r w:rsidR="000C1A93">
        <w:rPr>
          <w:rFonts w:ascii="Verdana" w:eastAsia="Aptos Display" w:hAnsi="Verdana" w:cs="Aptos Display"/>
          <w:b/>
          <w:bCs/>
          <w:sz w:val="20"/>
          <w:szCs w:val="20"/>
        </w:rPr>
        <w:t>via</w:t>
      </w:r>
      <w:r w:rsidRPr="000C21CA">
        <w:rPr>
          <w:rFonts w:ascii="Verdana" w:eastAsia="Aptos Display" w:hAnsi="Verdana" w:cs="Aptos Display"/>
          <w:b/>
          <w:bCs/>
          <w:sz w:val="20"/>
          <w:szCs w:val="20"/>
        </w:rPr>
        <w:t xml:space="preserve"> la plateforme IORIC.org </w:t>
      </w:r>
      <w:r w:rsidR="000C1A93">
        <w:rPr>
          <w:rFonts w:ascii="Verdana" w:eastAsia="Aptos Display" w:hAnsi="Verdana" w:cs="Aptos Display"/>
          <w:b/>
          <w:bCs/>
          <w:sz w:val="20"/>
          <w:szCs w:val="20"/>
        </w:rPr>
        <w:t>pour</w:t>
      </w:r>
      <w:r w:rsidRPr="000C21CA">
        <w:rPr>
          <w:rFonts w:ascii="Verdana" w:eastAsia="Aptos Display" w:hAnsi="Verdana" w:cs="Aptos Display"/>
          <w:b/>
          <w:bCs/>
          <w:sz w:val="20"/>
          <w:szCs w:val="20"/>
        </w:rPr>
        <w:t xml:space="preserve"> référencer et centraliser les initiatives régionales, les opportunités de financement et les évènements régionaux de l’Indianocéanie. </w:t>
      </w:r>
    </w:p>
    <w:p w14:paraId="6362C21A" w14:textId="17CEDE94" w:rsidR="00C125FC"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rPr>
      </w:pPr>
      <w:r w:rsidRPr="000C21CA">
        <w:rPr>
          <w:rStyle w:val="Aucun"/>
          <w:rFonts w:ascii="Verdana" w:eastAsia="Aptos Display" w:hAnsi="Verdana" w:cs="Aptos Display"/>
          <w:b/>
          <w:bCs/>
          <w:sz w:val="20"/>
          <w:szCs w:val="20"/>
          <w:u w:val="single"/>
        </w:rPr>
        <w:t>La mobilité scientifique</w:t>
      </w:r>
      <w:r w:rsidRPr="000C21CA">
        <w:rPr>
          <w:rStyle w:val="Aucun"/>
          <w:rFonts w:ascii="Verdana" w:eastAsia="Aptos Display" w:hAnsi="Verdana" w:cs="Aptos Display"/>
          <w:sz w:val="20"/>
          <w:szCs w:val="20"/>
        </w:rPr>
        <w:t xml:space="preserve"> </w:t>
      </w:r>
      <w:r w:rsidR="000C1A93">
        <w:rPr>
          <w:rStyle w:val="Aucun"/>
          <w:rFonts w:ascii="Verdana" w:eastAsia="Aptos Display" w:hAnsi="Verdana" w:cs="Aptos Display"/>
          <w:sz w:val="20"/>
          <w:szCs w:val="20"/>
        </w:rPr>
        <w:t>d</w:t>
      </w:r>
      <w:r w:rsidRPr="000C21CA">
        <w:rPr>
          <w:rStyle w:val="Aucun"/>
          <w:rFonts w:ascii="Verdana" w:eastAsia="Aptos Display" w:hAnsi="Verdana" w:cs="Aptos Display"/>
          <w:sz w:val="20"/>
          <w:szCs w:val="20"/>
        </w:rPr>
        <w:t>es étudiants, doctorants, chercheurs</w:t>
      </w:r>
      <w:r w:rsidR="000C1A93">
        <w:rPr>
          <w:rStyle w:val="Aucun"/>
          <w:rFonts w:ascii="Verdana" w:eastAsia="Aptos Display" w:hAnsi="Verdana" w:cs="Aptos Display"/>
          <w:sz w:val="20"/>
          <w:szCs w:val="20"/>
        </w:rPr>
        <w:t xml:space="preserve"> et</w:t>
      </w:r>
      <w:r w:rsidRPr="000C21CA">
        <w:rPr>
          <w:rStyle w:val="Aucun"/>
          <w:rFonts w:ascii="Verdana" w:eastAsia="Aptos Display" w:hAnsi="Verdana" w:cs="Aptos Display"/>
          <w:sz w:val="20"/>
          <w:szCs w:val="20"/>
        </w:rPr>
        <w:t xml:space="preserve"> enseignants-chercheurs dans le bassin océan Indien permet de renforcer les opportunités de partenariat, consolider un écosystème régional et stimuler la production scientifique.  </w:t>
      </w:r>
    </w:p>
    <w:p w14:paraId="5EBD49D8" w14:textId="27042BBB" w:rsidR="00C125FC"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rPr>
      </w:pPr>
      <w:r w:rsidRPr="000C21CA">
        <w:rPr>
          <w:rStyle w:val="Aucun"/>
          <w:rFonts w:ascii="Verdana" w:eastAsia="Aptos Display" w:hAnsi="Verdana" w:cs="Aptos Display"/>
          <w:b/>
          <w:bCs/>
          <w:sz w:val="20"/>
          <w:szCs w:val="20"/>
          <w:u w:val="single"/>
        </w:rPr>
        <w:t xml:space="preserve">Un réseau d’expertise régional </w:t>
      </w:r>
      <w:r w:rsidR="000C1A93">
        <w:rPr>
          <w:rStyle w:val="Aucun"/>
          <w:rFonts w:ascii="Verdana" w:eastAsia="Aptos Display" w:hAnsi="Verdana" w:cs="Aptos Display"/>
          <w:b/>
          <w:bCs/>
          <w:sz w:val="20"/>
          <w:szCs w:val="20"/>
          <w:u w:val="single"/>
        </w:rPr>
        <w:t>b</w:t>
      </w:r>
      <w:r w:rsidRPr="000C21CA">
        <w:rPr>
          <w:rStyle w:val="Aucun"/>
          <w:rFonts w:ascii="Verdana" w:eastAsia="Aptos Display" w:hAnsi="Verdana" w:cs="Aptos Display"/>
          <w:b/>
          <w:bCs/>
          <w:sz w:val="20"/>
          <w:szCs w:val="20"/>
          <w:u w:val="single"/>
        </w:rPr>
        <w:t>io</w:t>
      </w:r>
      <w:r w:rsidR="000C1A93">
        <w:rPr>
          <w:rStyle w:val="Aucun"/>
          <w:rFonts w:ascii="Verdana" w:eastAsia="Aptos Display" w:hAnsi="Verdana" w:cs="Aptos Display"/>
          <w:b/>
          <w:bCs/>
          <w:sz w:val="20"/>
          <w:szCs w:val="20"/>
          <w:u w:val="single"/>
        </w:rPr>
        <w:t>é</w:t>
      </w:r>
      <w:r w:rsidRPr="000C21CA">
        <w:rPr>
          <w:rStyle w:val="Aucun"/>
          <w:rFonts w:ascii="Verdana" w:eastAsia="Aptos Display" w:hAnsi="Verdana" w:cs="Aptos Display"/>
          <w:b/>
          <w:bCs/>
          <w:sz w:val="20"/>
          <w:szCs w:val="20"/>
          <w:u w:val="single"/>
        </w:rPr>
        <w:t xml:space="preserve">nergies dont les ressources humaines sont </w:t>
      </w:r>
      <w:r w:rsidR="000C1A93">
        <w:rPr>
          <w:rStyle w:val="Aucun"/>
          <w:rFonts w:ascii="Verdana" w:eastAsia="Aptos Display" w:hAnsi="Verdana" w:cs="Aptos Display"/>
          <w:b/>
          <w:bCs/>
          <w:sz w:val="20"/>
          <w:szCs w:val="20"/>
          <w:u w:val="single"/>
        </w:rPr>
        <w:t xml:space="preserve">déjà </w:t>
      </w:r>
      <w:r w:rsidRPr="000C21CA">
        <w:rPr>
          <w:rStyle w:val="Aucun"/>
          <w:rFonts w:ascii="Verdana" w:eastAsia="Aptos Display" w:hAnsi="Verdana" w:cs="Aptos Display"/>
          <w:b/>
          <w:bCs/>
          <w:sz w:val="20"/>
          <w:szCs w:val="20"/>
          <w:u w:val="single"/>
        </w:rPr>
        <w:t>actives</w:t>
      </w:r>
      <w:r w:rsidR="000C1A93">
        <w:rPr>
          <w:rStyle w:val="Aucun"/>
          <w:rFonts w:ascii="Verdana" w:eastAsia="Aptos Display" w:hAnsi="Verdana" w:cs="Aptos Display"/>
          <w:b/>
          <w:bCs/>
          <w:sz w:val="20"/>
          <w:szCs w:val="20"/>
          <w:u w:val="single"/>
        </w:rPr>
        <w:t>,</w:t>
      </w:r>
      <w:r w:rsidRPr="000C21CA">
        <w:rPr>
          <w:rStyle w:val="Aucun"/>
          <w:rFonts w:ascii="Verdana" w:eastAsia="Aptos Display" w:hAnsi="Verdana" w:cs="Aptos Display"/>
          <w:b/>
          <w:bCs/>
          <w:sz w:val="20"/>
          <w:szCs w:val="20"/>
          <w:u w:val="single"/>
        </w:rPr>
        <w:t xml:space="preserve"> mérite </w:t>
      </w:r>
      <w:r w:rsidR="00ED26CE">
        <w:rPr>
          <w:rStyle w:val="Aucun"/>
          <w:rFonts w:ascii="Verdana" w:eastAsia="Aptos Display" w:hAnsi="Verdana" w:cs="Aptos Display"/>
          <w:b/>
          <w:bCs/>
          <w:sz w:val="20"/>
          <w:szCs w:val="20"/>
          <w:u w:val="single"/>
        </w:rPr>
        <w:t xml:space="preserve">désormais </w:t>
      </w:r>
      <w:r w:rsidRPr="000C21CA">
        <w:rPr>
          <w:rStyle w:val="Aucun"/>
          <w:rFonts w:ascii="Verdana" w:eastAsia="Aptos Display" w:hAnsi="Verdana" w:cs="Aptos Display"/>
          <w:b/>
          <w:bCs/>
          <w:sz w:val="20"/>
          <w:szCs w:val="20"/>
          <w:u w:val="single"/>
        </w:rPr>
        <w:t>d’être structuré</w:t>
      </w:r>
      <w:r w:rsidR="00ED26CE">
        <w:rPr>
          <w:rStyle w:val="Aucun"/>
          <w:rFonts w:ascii="Verdana" w:eastAsia="Aptos Display" w:hAnsi="Verdana" w:cs="Aptos Display"/>
          <w:b/>
          <w:bCs/>
          <w:sz w:val="20"/>
          <w:szCs w:val="20"/>
          <w:u w:val="single"/>
        </w:rPr>
        <w:t xml:space="preserve"> et institutionnalisé.</w:t>
      </w:r>
    </w:p>
    <w:p w14:paraId="1EC6BA9D" w14:textId="65FE4BC3" w:rsidR="00C125FC" w:rsidRPr="000C21CA" w:rsidRDefault="00ED26CE" w:rsidP="00A8725E">
      <w:pPr>
        <w:pStyle w:val="Paragraphedeliste"/>
        <w:numPr>
          <w:ilvl w:val="0"/>
          <w:numId w:val="14"/>
        </w:numPr>
        <w:spacing w:after="120" w:line="240" w:lineRule="auto"/>
        <w:ind w:left="721"/>
        <w:jc w:val="both"/>
        <w:rPr>
          <w:rFonts w:ascii="Verdana" w:eastAsia="Aptos Display" w:hAnsi="Verdana" w:cs="Aptos Display"/>
          <w:sz w:val="20"/>
          <w:szCs w:val="20"/>
        </w:rPr>
      </w:pPr>
      <w:r>
        <w:rPr>
          <w:rStyle w:val="Aucun"/>
          <w:rFonts w:ascii="Verdana" w:eastAsia="Aptos Display" w:hAnsi="Verdana" w:cs="Aptos Display"/>
          <w:b/>
          <w:bCs/>
          <w:sz w:val="20"/>
          <w:szCs w:val="20"/>
          <w:u w:val="single"/>
        </w:rPr>
        <w:t>La mise en place d’u</w:t>
      </w:r>
      <w:r w:rsidR="006D1037" w:rsidRPr="000C21CA">
        <w:rPr>
          <w:rStyle w:val="Aucun"/>
          <w:rFonts w:ascii="Verdana" w:eastAsia="Aptos Display" w:hAnsi="Verdana" w:cs="Aptos Display"/>
          <w:b/>
          <w:bCs/>
          <w:sz w:val="20"/>
          <w:szCs w:val="20"/>
          <w:u w:val="single"/>
        </w:rPr>
        <w:t>n programme de formation accessible</w:t>
      </w:r>
      <w:r w:rsidR="006D1037" w:rsidRPr="000C21CA">
        <w:rPr>
          <w:rFonts w:ascii="Verdana" w:eastAsia="Aptos Display" w:hAnsi="Verdana" w:cs="Aptos Display"/>
          <w:sz w:val="20"/>
          <w:szCs w:val="20"/>
        </w:rPr>
        <w:t xml:space="preserve"> </w:t>
      </w:r>
      <w:r>
        <w:rPr>
          <w:rFonts w:ascii="Verdana" w:eastAsia="Aptos Display" w:hAnsi="Verdana" w:cs="Aptos Display"/>
          <w:sz w:val="20"/>
          <w:szCs w:val="20"/>
        </w:rPr>
        <w:t>intégrant</w:t>
      </w:r>
      <w:r w:rsidR="006D1037" w:rsidRPr="000C21CA">
        <w:rPr>
          <w:rFonts w:ascii="Verdana" w:eastAsia="Aptos Display" w:hAnsi="Verdana" w:cs="Aptos Display"/>
          <w:sz w:val="20"/>
          <w:szCs w:val="20"/>
        </w:rPr>
        <w:t xml:space="preserve"> davantage </w:t>
      </w:r>
      <w:r w:rsidR="006D1037" w:rsidRPr="000C21CA">
        <w:rPr>
          <w:rStyle w:val="Aucun"/>
          <w:rFonts w:ascii="Verdana" w:eastAsia="Aptos Display" w:hAnsi="Verdana" w:cs="Aptos Display"/>
          <w:b/>
          <w:bCs/>
          <w:sz w:val="20"/>
          <w:szCs w:val="20"/>
        </w:rPr>
        <w:t xml:space="preserve">les </w:t>
      </w:r>
      <w:r>
        <w:rPr>
          <w:rStyle w:val="Aucun"/>
          <w:rFonts w:ascii="Verdana" w:eastAsia="Aptos Display" w:hAnsi="Verdana" w:cs="Aptos Display"/>
          <w:b/>
          <w:bCs/>
          <w:sz w:val="20"/>
          <w:szCs w:val="20"/>
        </w:rPr>
        <w:t>volets</w:t>
      </w:r>
      <w:r w:rsidR="006D1037" w:rsidRPr="000C21CA">
        <w:rPr>
          <w:rStyle w:val="Aucun"/>
          <w:rFonts w:ascii="Verdana" w:eastAsia="Aptos Display" w:hAnsi="Verdana" w:cs="Aptos Display"/>
          <w:b/>
          <w:bCs/>
          <w:sz w:val="20"/>
          <w:szCs w:val="20"/>
        </w:rPr>
        <w:t xml:space="preserve"> promotion et valorisation de la </w:t>
      </w:r>
      <w:r>
        <w:rPr>
          <w:rStyle w:val="Aucun"/>
          <w:rFonts w:ascii="Verdana" w:eastAsia="Aptos Display" w:hAnsi="Verdana" w:cs="Aptos Display"/>
          <w:b/>
          <w:bCs/>
          <w:sz w:val="20"/>
          <w:szCs w:val="20"/>
        </w:rPr>
        <w:t>r</w:t>
      </w:r>
      <w:r w:rsidR="006D1037" w:rsidRPr="000C21CA">
        <w:rPr>
          <w:rStyle w:val="Aucun"/>
          <w:rFonts w:ascii="Verdana" w:eastAsia="Aptos Display" w:hAnsi="Verdana" w:cs="Aptos Display"/>
          <w:b/>
          <w:bCs/>
          <w:sz w:val="20"/>
          <w:szCs w:val="20"/>
        </w:rPr>
        <w:t xml:space="preserve">echerche </w:t>
      </w:r>
      <w:r>
        <w:rPr>
          <w:rStyle w:val="Aucun"/>
          <w:rFonts w:ascii="Verdana" w:eastAsia="Aptos Display" w:hAnsi="Verdana" w:cs="Aptos Display"/>
          <w:b/>
          <w:bCs/>
          <w:sz w:val="20"/>
          <w:szCs w:val="20"/>
        </w:rPr>
        <w:t>permettra de</w:t>
      </w:r>
      <w:r w:rsidR="006D1037" w:rsidRPr="000C21CA">
        <w:rPr>
          <w:rStyle w:val="Aucun"/>
          <w:rFonts w:ascii="Verdana" w:eastAsia="Aptos Display" w:hAnsi="Verdana" w:cs="Aptos Display"/>
          <w:b/>
          <w:bCs/>
          <w:sz w:val="20"/>
          <w:szCs w:val="20"/>
        </w:rPr>
        <w:t xml:space="preserve"> sensibiliser </w:t>
      </w:r>
      <w:r>
        <w:rPr>
          <w:rStyle w:val="Aucun"/>
          <w:rFonts w:ascii="Verdana" w:eastAsia="Aptos Display" w:hAnsi="Verdana" w:cs="Aptos Display"/>
          <w:b/>
          <w:bCs/>
          <w:sz w:val="20"/>
          <w:szCs w:val="20"/>
        </w:rPr>
        <w:t>les</w:t>
      </w:r>
      <w:r w:rsidR="006D1037" w:rsidRPr="000C21CA">
        <w:rPr>
          <w:rStyle w:val="Aucun"/>
          <w:rFonts w:ascii="Verdana" w:eastAsia="Aptos Display" w:hAnsi="Verdana" w:cs="Aptos Display"/>
          <w:b/>
          <w:bCs/>
          <w:sz w:val="20"/>
          <w:szCs w:val="20"/>
        </w:rPr>
        <w:t xml:space="preserve"> chercheurs, étudiants</w:t>
      </w:r>
      <w:r>
        <w:rPr>
          <w:rStyle w:val="Aucun"/>
          <w:rFonts w:ascii="Verdana" w:eastAsia="Aptos Display" w:hAnsi="Verdana" w:cs="Aptos Display"/>
          <w:b/>
          <w:bCs/>
          <w:sz w:val="20"/>
          <w:szCs w:val="20"/>
        </w:rPr>
        <w:t xml:space="preserve"> et </w:t>
      </w:r>
      <w:r w:rsidR="006D1037" w:rsidRPr="000C21CA">
        <w:rPr>
          <w:rStyle w:val="Aucun"/>
          <w:rFonts w:ascii="Verdana" w:eastAsia="Aptos Display" w:hAnsi="Verdana" w:cs="Aptos Display"/>
          <w:b/>
          <w:bCs/>
          <w:sz w:val="20"/>
          <w:szCs w:val="20"/>
        </w:rPr>
        <w:t xml:space="preserve">entrepreneurs à </w:t>
      </w:r>
      <w:r>
        <w:rPr>
          <w:rStyle w:val="Aucun"/>
          <w:rFonts w:ascii="Verdana" w:eastAsia="Aptos Display" w:hAnsi="Verdana" w:cs="Aptos Display"/>
          <w:b/>
          <w:bCs/>
          <w:sz w:val="20"/>
          <w:szCs w:val="20"/>
        </w:rPr>
        <w:t>la transformation de leurs idées en solutions concrètes</w:t>
      </w:r>
      <w:r w:rsidR="006D1037" w:rsidRPr="000C21CA">
        <w:rPr>
          <w:rFonts w:ascii="Verdana" w:eastAsia="Aptos Display" w:hAnsi="Verdana" w:cs="Aptos Display"/>
          <w:sz w:val="20"/>
          <w:szCs w:val="20"/>
        </w:rPr>
        <w:t xml:space="preserve">. Dans le cadre de la plateforme IORIC.org, un programme de </w:t>
      </w:r>
      <w:proofErr w:type="spellStart"/>
      <w:r w:rsidR="006D1037" w:rsidRPr="000C21CA">
        <w:rPr>
          <w:rFonts w:ascii="Verdana" w:eastAsia="Aptos Display" w:hAnsi="Verdana" w:cs="Aptos Display"/>
          <w:sz w:val="20"/>
          <w:szCs w:val="20"/>
        </w:rPr>
        <w:t>MOOCs</w:t>
      </w:r>
      <w:proofErr w:type="spellEnd"/>
      <w:r w:rsidR="006D1037" w:rsidRPr="000C21CA">
        <w:rPr>
          <w:rFonts w:ascii="Verdana" w:eastAsia="Aptos Display" w:hAnsi="Verdana" w:cs="Aptos Display"/>
          <w:sz w:val="20"/>
          <w:szCs w:val="20"/>
        </w:rPr>
        <w:t xml:space="preserve"> sur ces sujets sera </w:t>
      </w:r>
      <w:r>
        <w:rPr>
          <w:rFonts w:ascii="Verdana" w:eastAsia="Aptos Display" w:hAnsi="Verdana" w:cs="Aptos Display"/>
          <w:sz w:val="20"/>
          <w:szCs w:val="20"/>
        </w:rPr>
        <w:t xml:space="preserve">prochainement </w:t>
      </w:r>
      <w:r w:rsidR="006D1037" w:rsidRPr="000C21CA">
        <w:rPr>
          <w:rFonts w:ascii="Verdana" w:eastAsia="Aptos Display" w:hAnsi="Verdana" w:cs="Aptos Display"/>
          <w:sz w:val="20"/>
          <w:szCs w:val="20"/>
        </w:rPr>
        <w:t xml:space="preserve">disponible. </w:t>
      </w:r>
    </w:p>
    <w:p w14:paraId="48F1D607" w14:textId="3C98AA94" w:rsidR="00C125FC" w:rsidRPr="000C21CA" w:rsidRDefault="00ED26CE" w:rsidP="00A8725E">
      <w:pPr>
        <w:pStyle w:val="Paragraphedeliste"/>
        <w:numPr>
          <w:ilvl w:val="0"/>
          <w:numId w:val="14"/>
        </w:numPr>
        <w:spacing w:after="120" w:line="240" w:lineRule="auto"/>
        <w:ind w:left="721"/>
        <w:jc w:val="both"/>
        <w:rPr>
          <w:rFonts w:ascii="Verdana" w:eastAsia="Aptos Display" w:hAnsi="Verdana" w:cs="Aptos Display"/>
          <w:sz w:val="20"/>
          <w:szCs w:val="20"/>
        </w:rPr>
      </w:pPr>
      <w:r>
        <w:rPr>
          <w:rFonts w:ascii="Verdana" w:eastAsia="Aptos Display" w:hAnsi="Verdana" w:cs="Aptos Display"/>
          <w:sz w:val="20"/>
          <w:szCs w:val="20"/>
        </w:rPr>
        <w:t>Le développement d’u</w:t>
      </w:r>
      <w:r w:rsidR="006D1037" w:rsidRPr="000C21CA">
        <w:rPr>
          <w:rFonts w:ascii="Verdana" w:eastAsia="Aptos Display" w:hAnsi="Verdana" w:cs="Aptos Display"/>
          <w:sz w:val="20"/>
          <w:szCs w:val="20"/>
        </w:rPr>
        <w:t xml:space="preserve">n projet </w:t>
      </w:r>
      <w:proofErr w:type="spellStart"/>
      <w:r w:rsidR="006D1037" w:rsidRPr="000C21CA">
        <w:rPr>
          <w:rFonts w:ascii="Verdana" w:eastAsia="Aptos Display" w:hAnsi="Verdana" w:cs="Aptos Display"/>
          <w:sz w:val="20"/>
          <w:szCs w:val="20"/>
        </w:rPr>
        <w:t>entrepreun</w:t>
      </w:r>
      <w:r w:rsidR="00E1152D" w:rsidRPr="000C21CA">
        <w:rPr>
          <w:rFonts w:ascii="Verdana" w:eastAsia="Aptos Display" w:hAnsi="Verdana" w:cs="Aptos Display"/>
          <w:sz w:val="20"/>
          <w:szCs w:val="20"/>
        </w:rPr>
        <w:t>eu</w:t>
      </w:r>
      <w:r w:rsidR="006D1037" w:rsidRPr="000C21CA">
        <w:rPr>
          <w:rFonts w:ascii="Verdana" w:eastAsia="Aptos Display" w:hAnsi="Verdana" w:cs="Aptos Display"/>
          <w:sz w:val="20"/>
          <w:szCs w:val="20"/>
        </w:rPr>
        <w:t>rial</w:t>
      </w:r>
      <w:proofErr w:type="spellEnd"/>
      <w:r w:rsidR="006D1037" w:rsidRPr="000C21CA">
        <w:rPr>
          <w:rFonts w:ascii="Verdana" w:eastAsia="Aptos Display" w:hAnsi="Verdana" w:cs="Aptos Display"/>
          <w:sz w:val="20"/>
          <w:szCs w:val="20"/>
        </w:rPr>
        <w:t xml:space="preserve"> à Madagascar</w:t>
      </w:r>
      <w:r>
        <w:rPr>
          <w:rFonts w:ascii="Verdana" w:eastAsia="Aptos Display" w:hAnsi="Verdana" w:cs="Aptos Display"/>
          <w:sz w:val="20"/>
          <w:szCs w:val="20"/>
        </w:rPr>
        <w:t>,</w:t>
      </w:r>
      <w:r w:rsidR="006D1037" w:rsidRPr="000C21CA">
        <w:rPr>
          <w:rFonts w:ascii="Verdana" w:eastAsia="Aptos Display" w:hAnsi="Verdana" w:cs="Aptos Display"/>
          <w:sz w:val="20"/>
          <w:szCs w:val="20"/>
        </w:rPr>
        <w:t xml:space="preserve"> dans la continuité des travaux d</w:t>
      </w:r>
      <w:r>
        <w:rPr>
          <w:rFonts w:ascii="Verdana" w:eastAsia="Aptos Display" w:hAnsi="Verdana" w:cs="Aptos Display"/>
          <w:sz w:val="20"/>
          <w:szCs w:val="20"/>
        </w:rPr>
        <w:t xml:space="preserve">u projet </w:t>
      </w:r>
      <w:r w:rsidR="006D1037" w:rsidRPr="000C21CA">
        <w:rPr>
          <w:rFonts w:ascii="Verdana" w:eastAsia="Aptos Display" w:hAnsi="Verdana" w:cs="Aptos Display"/>
          <w:sz w:val="20"/>
          <w:szCs w:val="20"/>
        </w:rPr>
        <w:t>AIDES</w:t>
      </w:r>
      <w:r>
        <w:rPr>
          <w:rFonts w:ascii="Verdana" w:eastAsia="Aptos Display" w:hAnsi="Verdana" w:cs="Aptos Display"/>
          <w:sz w:val="20"/>
          <w:szCs w:val="20"/>
        </w:rPr>
        <w:t>, favorisera</w:t>
      </w:r>
      <w:r w:rsidR="006D1037" w:rsidRPr="000C21CA">
        <w:rPr>
          <w:rFonts w:ascii="Verdana" w:eastAsia="Aptos Display" w:hAnsi="Verdana" w:cs="Aptos Display"/>
          <w:sz w:val="20"/>
          <w:szCs w:val="20"/>
        </w:rPr>
        <w:t xml:space="preserve"> </w:t>
      </w:r>
      <w:r>
        <w:rPr>
          <w:rFonts w:ascii="Verdana" w:eastAsia="Aptos Display" w:hAnsi="Verdana" w:cs="Aptos Display"/>
          <w:sz w:val="20"/>
          <w:szCs w:val="20"/>
        </w:rPr>
        <w:t>la</w:t>
      </w:r>
      <w:r w:rsidR="006D1037" w:rsidRPr="000C21CA">
        <w:rPr>
          <w:rFonts w:ascii="Verdana" w:eastAsia="Aptos Display" w:hAnsi="Verdana" w:cs="Aptos Display"/>
          <w:sz w:val="20"/>
          <w:szCs w:val="20"/>
        </w:rPr>
        <w:t xml:space="preserve"> transition du secteur industriel (</w:t>
      </w:r>
      <w:r w:rsidR="00492D70" w:rsidRPr="000C21CA">
        <w:rPr>
          <w:rFonts w:ascii="Verdana" w:eastAsia="Aptos Display" w:hAnsi="Verdana" w:cs="Aptos Display"/>
          <w:sz w:val="20"/>
          <w:szCs w:val="20"/>
        </w:rPr>
        <w:t>agroalimentaire</w:t>
      </w:r>
      <w:r w:rsidR="006D1037" w:rsidRPr="000C21CA">
        <w:rPr>
          <w:rFonts w:ascii="Verdana" w:eastAsia="Aptos Display" w:hAnsi="Verdana" w:cs="Aptos Display"/>
          <w:sz w:val="20"/>
          <w:szCs w:val="20"/>
        </w:rPr>
        <w:t xml:space="preserve">) vers des solutions </w:t>
      </w:r>
      <w:proofErr w:type="spellStart"/>
      <w:r w:rsidR="006D1037" w:rsidRPr="000C21CA">
        <w:rPr>
          <w:rFonts w:ascii="Verdana" w:eastAsia="Aptos Display" w:hAnsi="Verdana" w:cs="Aptos Display"/>
          <w:sz w:val="20"/>
          <w:szCs w:val="20"/>
        </w:rPr>
        <w:t>WtE</w:t>
      </w:r>
      <w:proofErr w:type="spellEnd"/>
      <w:r w:rsidR="006D1037" w:rsidRPr="000C21CA">
        <w:rPr>
          <w:rFonts w:ascii="Verdana" w:eastAsia="Aptos Display" w:hAnsi="Verdana" w:cs="Aptos Display"/>
          <w:sz w:val="20"/>
          <w:szCs w:val="20"/>
        </w:rPr>
        <w:t xml:space="preserve"> de production d’énergie in situ à partir de résidus de biomasse</w:t>
      </w:r>
      <w:r w:rsidR="00201442" w:rsidRPr="000C21CA">
        <w:rPr>
          <w:rFonts w:ascii="Verdana" w:eastAsia="Aptos Display" w:hAnsi="Verdana" w:cs="Aptos Display"/>
          <w:sz w:val="20"/>
          <w:szCs w:val="20"/>
        </w:rPr>
        <w:t>.</w:t>
      </w:r>
    </w:p>
    <w:bookmarkEnd w:id="0"/>
    <w:p w14:paraId="2F98D05E" w14:textId="77777777" w:rsidR="00201442" w:rsidRPr="000C21CA" w:rsidRDefault="00201442" w:rsidP="00A8725E">
      <w:pPr>
        <w:pStyle w:val="Paragraphe"/>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Style w:val="Aucun"/>
        </w:rPr>
      </w:pPr>
    </w:p>
    <w:p w14:paraId="2A006305" w14:textId="77777777" w:rsidR="00A8725E" w:rsidRPr="000C21CA" w:rsidRDefault="00A8725E" w:rsidP="00A8725E">
      <w:pPr>
        <w:pStyle w:val="Paragraphe"/>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Style w:val="Aucun"/>
        </w:rPr>
      </w:pPr>
    </w:p>
    <w:p w14:paraId="3F81F419" w14:textId="31C0BFC3" w:rsidR="00FE394E" w:rsidRPr="000C21CA" w:rsidRDefault="00FE394E" w:rsidP="00A8725E">
      <w:pPr>
        <w:pStyle w:val="Titrepartie"/>
        <w:numPr>
          <w:ilvl w:val="0"/>
          <w:numId w:val="15"/>
        </w:numPr>
        <w:spacing w:after="0" w:line="240" w:lineRule="auto"/>
        <w:rPr>
          <w:sz w:val="20"/>
          <w:szCs w:val="20"/>
        </w:rPr>
      </w:pPr>
      <w:r w:rsidRPr="000C21CA">
        <w:rPr>
          <w:sz w:val="20"/>
          <w:szCs w:val="20"/>
        </w:rPr>
        <w:t>Annexes</w:t>
      </w:r>
    </w:p>
    <w:p w14:paraId="6A0FA01C" w14:textId="77777777" w:rsidR="00A8725E" w:rsidRPr="000C21CA" w:rsidRDefault="00A8725E" w:rsidP="00A8725E">
      <w:pPr>
        <w:pStyle w:val="Titrepartie"/>
        <w:spacing w:after="0" w:line="240" w:lineRule="auto"/>
        <w:ind w:left="360"/>
        <w:rPr>
          <w:rStyle w:val="Aucun"/>
          <w:rFonts w:eastAsia="Roboto" w:cs="Roboto"/>
          <w:b w:val="0"/>
          <w:bCs w:val="0"/>
          <w:color w:val="000000"/>
          <w:sz w:val="20"/>
          <w:szCs w:val="20"/>
          <w:u w:color="000000"/>
        </w:rPr>
      </w:pPr>
    </w:p>
    <w:p w14:paraId="1917C234" w14:textId="35005D7F" w:rsidR="00FE394E" w:rsidRPr="000C21CA" w:rsidRDefault="00CD0A87" w:rsidP="00A8725E">
      <w:pPr>
        <w:pStyle w:val="Titrepartie"/>
        <w:spacing w:after="0" w:line="240" w:lineRule="auto"/>
        <w:ind w:left="360"/>
        <w:rPr>
          <w:rStyle w:val="Aucun"/>
          <w:rFonts w:ascii="Roboto" w:eastAsia="Roboto" w:hAnsi="Roboto" w:cs="Roboto"/>
          <w:sz w:val="24"/>
          <w:szCs w:val="24"/>
        </w:rPr>
      </w:pPr>
      <w:r w:rsidRPr="000C21CA">
        <w:rPr>
          <w:rStyle w:val="Aucun"/>
          <w:rFonts w:eastAsia="Roboto" w:cs="Roboto"/>
          <w:b w:val="0"/>
          <w:bCs w:val="0"/>
          <w:color w:val="000000"/>
          <w:sz w:val="20"/>
          <w:szCs w:val="20"/>
          <w:u w:color="000000"/>
        </w:rPr>
        <w:t xml:space="preserve">Annexe 1 : </w:t>
      </w:r>
      <w:r w:rsidR="00FE394E" w:rsidRPr="000C21CA">
        <w:rPr>
          <w:rStyle w:val="Aucun"/>
          <w:rFonts w:eastAsia="Roboto" w:cs="Roboto"/>
          <w:b w:val="0"/>
          <w:bCs w:val="0"/>
          <w:color w:val="000000"/>
          <w:sz w:val="20"/>
          <w:szCs w:val="20"/>
          <w:u w:color="000000"/>
        </w:rPr>
        <w:t xml:space="preserve">Exit </w:t>
      </w:r>
      <w:proofErr w:type="spellStart"/>
      <w:r w:rsidR="00FE394E" w:rsidRPr="000C21CA">
        <w:rPr>
          <w:rStyle w:val="Aucun"/>
          <w:rFonts w:eastAsia="Roboto" w:cs="Roboto"/>
          <w:b w:val="0"/>
          <w:bCs w:val="0"/>
          <w:color w:val="000000"/>
          <w:sz w:val="20"/>
          <w:szCs w:val="20"/>
          <w:u w:color="000000"/>
        </w:rPr>
        <w:t>Strategy</w:t>
      </w:r>
      <w:proofErr w:type="spellEnd"/>
    </w:p>
    <w:p w14:paraId="2409A119" w14:textId="77777777" w:rsidR="00FE394E" w:rsidRPr="000C21CA" w:rsidRDefault="00FE394E" w:rsidP="00A8725E">
      <w:pPr>
        <w:pStyle w:val="Paragraphe"/>
        <w:spacing w:after="0" w:line="240" w:lineRule="auto"/>
        <w:rPr>
          <w:rFonts w:ascii="Roboto" w:eastAsia="Roboto" w:hAnsi="Roboto" w:cs="Roboto"/>
          <w:sz w:val="24"/>
          <w:szCs w:val="24"/>
        </w:rPr>
      </w:pPr>
    </w:p>
    <w:sectPr w:rsidR="00FE394E" w:rsidRPr="000C21CA" w:rsidSect="00BA5656">
      <w:headerReference w:type="even" r:id="rId9"/>
      <w:headerReference w:type="default" r:id="rId10"/>
      <w:footerReference w:type="even" r:id="rId11"/>
      <w:footerReference w:type="default" r:id="rId12"/>
      <w:pgSz w:w="11900" w:h="16840"/>
      <w:pgMar w:top="1843" w:right="1417" w:bottom="1276" w:left="1417" w:header="708"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C9A6" w14:textId="77777777" w:rsidR="008C5A08" w:rsidRDefault="008C5A08" w:rsidP="00BA5656">
      <w:pPr>
        <w:pBdr>
          <w:top w:val="none" w:sz="0" w:space="0" w:color="auto"/>
          <w:left w:val="none" w:sz="0" w:space="0" w:color="auto"/>
          <w:bottom w:val="single" w:sz="4" w:space="1" w:color="0070C0"/>
          <w:right w:val="none" w:sz="0" w:space="0" w:color="auto"/>
          <w:between w:val="none" w:sz="0" w:space="0" w:color="auto"/>
          <w:bar w:val="none" w:sz="0" w:color="auto"/>
        </w:pBdr>
      </w:pPr>
      <w:r>
        <w:separator/>
      </w:r>
    </w:p>
  </w:endnote>
  <w:endnote w:type="continuationSeparator" w:id="0">
    <w:p w14:paraId="4A21C000" w14:textId="77777777" w:rsidR="008C5A08" w:rsidRDefault="008C5A08" w:rsidP="00BA5656">
      <w:pPr>
        <w:pBdr>
          <w:top w:val="none" w:sz="0" w:space="0" w:color="auto"/>
          <w:left w:val="none" w:sz="0" w:space="0" w:color="auto"/>
          <w:bottom w:val="single" w:sz="4" w:space="1" w:color="0070C0"/>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F4EC" w14:textId="77777777" w:rsidR="00BA5656" w:rsidRDefault="00BA5656" w:rsidP="00BA5656">
    <w:pPr>
      <w:pStyle w:val="Pieddepage"/>
      <w:pBdr>
        <w:top w:val="none" w:sz="0" w:space="0" w:color="auto"/>
        <w:left w:val="none" w:sz="0" w:space="0" w:color="auto"/>
        <w:bottom w:val="single" w:sz="4" w:space="1" w:color="0070C0"/>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F779" w14:textId="77777777" w:rsidR="00C125FC" w:rsidRDefault="006D1037">
    <w:pPr>
      <w:pStyle w:val="Pieddepage"/>
      <w:pBdr>
        <w:top w:val="single" w:sz="4" w:space="0" w:color="E97132"/>
      </w:pBdr>
      <w:tabs>
        <w:tab w:val="clear" w:pos="9072"/>
        <w:tab w:val="right" w:pos="9046"/>
      </w:tabs>
      <w:jc w:val="right"/>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EB03" w14:textId="77777777" w:rsidR="008C5A08" w:rsidRDefault="008C5A08" w:rsidP="00BA5656">
      <w:pPr>
        <w:pBdr>
          <w:top w:val="none" w:sz="0" w:space="0" w:color="auto"/>
          <w:left w:val="none" w:sz="0" w:space="0" w:color="auto"/>
          <w:bottom w:val="single" w:sz="4" w:space="1" w:color="0070C0"/>
          <w:right w:val="none" w:sz="0" w:space="0" w:color="auto"/>
          <w:between w:val="none" w:sz="0" w:space="0" w:color="auto"/>
          <w:bar w:val="none" w:sz="0" w:color="auto"/>
        </w:pBdr>
      </w:pPr>
      <w:r>
        <w:separator/>
      </w:r>
    </w:p>
  </w:footnote>
  <w:footnote w:type="continuationSeparator" w:id="0">
    <w:p w14:paraId="68FEEE03" w14:textId="77777777" w:rsidR="008C5A08" w:rsidRDefault="008C5A08" w:rsidP="00BA5656">
      <w:pPr>
        <w:pBdr>
          <w:top w:val="none" w:sz="0" w:space="0" w:color="auto"/>
          <w:left w:val="none" w:sz="0" w:space="0" w:color="auto"/>
          <w:bottom w:val="single" w:sz="4" w:space="1" w:color="0070C0"/>
          <w:right w:val="none" w:sz="0" w:space="0" w:color="auto"/>
          <w:between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053B" w14:textId="77777777" w:rsidR="00BA5656" w:rsidRDefault="00BA5656"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EFE4" w14:textId="06600F77" w:rsidR="00C125FC" w:rsidRDefault="006D1037"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tabs>
        <w:tab w:val="clear" w:pos="4536"/>
        <w:tab w:val="clear" w:pos="9072"/>
      </w:tabs>
      <w:rPr>
        <w:rFonts w:ascii="Verdana" w:hAnsi="Verdana"/>
        <w:b/>
        <w:bCs/>
        <w:sz w:val="20"/>
        <w:szCs w:val="20"/>
      </w:rPr>
    </w:pPr>
    <w:r>
      <w:rPr>
        <w:i/>
        <w:iCs/>
        <w:noProof/>
      </w:rPr>
      <w:drawing>
        <wp:inline distT="0" distB="0" distL="0" distR="0" wp14:anchorId="1F7D8E89" wp14:editId="2ED1F344">
          <wp:extent cx="1090909" cy="360000"/>
          <wp:effectExtent l="0" t="0" r="0" b="0"/>
          <wp:docPr id="952931193"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1090909" cy="360000"/>
                  </a:xfrm>
                  <a:prstGeom prst="rect">
                    <a:avLst/>
                  </a:prstGeom>
                  <a:ln w="12700" cap="flat">
                    <a:noFill/>
                    <a:miter lim="400000"/>
                  </a:ln>
                  <a:effectLst/>
                </pic:spPr>
              </pic:pic>
            </a:graphicData>
          </a:graphic>
        </wp:inline>
      </w:drawing>
    </w:r>
    <w:r>
      <w:tab/>
    </w:r>
    <w:r>
      <w:tab/>
    </w:r>
    <w:r>
      <w:tab/>
    </w:r>
    <w:r>
      <w:tab/>
    </w:r>
    <w:r>
      <w:tab/>
    </w:r>
    <w:r>
      <w:tab/>
    </w:r>
    <w:r>
      <w:tab/>
    </w:r>
    <w:r>
      <w:tab/>
    </w:r>
    <w:r>
      <w:tab/>
    </w:r>
    <w:r>
      <w:rPr>
        <w:rFonts w:ascii="Verdana" w:hAnsi="Verdana"/>
        <w:b/>
        <w:bCs/>
        <w:sz w:val="20"/>
        <w:szCs w:val="20"/>
      </w:rPr>
      <w:t>Point 2.3</w:t>
    </w:r>
  </w:p>
  <w:p w14:paraId="4038AAF4" w14:textId="77777777" w:rsidR="00BA5656" w:rsidRDefault="00BA5656"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8A8"/>
    <w:multiLevelType w:val="hybridMultilevel"/>
    <w:tmpl w:val="7D9C5EAE"/>
    <w:numStyleLink w:val="Style8import"/>
  </w:abstractNum>
  <w:abstractNum w:abstractNumId="1" w15:restartNumberingAfterBreak="0">
    <w:nsid w:val="096C2AA2"/>
    <w:multiLevelType w:val="multilevel"/>
    <w:tmpl w:val="A18A9622"/>
    <w:numStyleLink w:val="Style1import"/>
  </w:abstractNum>
  <w:abstractNum w:abstractNumId="2" w15:restartNumberingAfterBreak="0">
    <w:nsid w:val="0D1B7031"/>
    <w:multiLevelType w:val="hybridMultilevel"/>
    <w:tmpl w:val="E8DAA764"/>
    <w:numStyleLink w:val="Style9import"/>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B62E85"/>
    <w:multiLevelType w:val="hybridMultilevel"/>
    <w:tmpl w:val="07525270"/>
    <w:numStyleLink w:val="Style3import"/>
  </w:abstractNum>
  <w:abstractNum w:abstractNumId="5" w15:restartNumberingAfterBreak="0">
    <w:nsid w:val="35AE1F05"/>
    <w:multiLevelType w:val="hybridMultilevel"/>
    <w:tmpl w:val="7D9C5EAE"/>
    <w:styleLink w:val="Style8import"/>
    <w:lvl w:ilvl="0" w:tplc="C6681126">
      <w:start w:val="1"/>
      <w:numFmt w:val="decimal"/>
      <w:lvlText w:val="%1."/>
      <w:lvlJc w:val="left"/>
      <w:pPr>
        <w:ind w:left="72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864DB8E">
      <w:start w:val="1"/>
      <w:numFmt w:val="lowerLetter"/>
      <w:lvlText w:val="%2."/>
      <w:lvlJc w:val="left"/>
      <w:pPr>
        <w:ind w:left="144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5846FD68">
      <w:start w:val="1"/>
      <w:numFmt w:val="lowerRoman"/>
      <w:lvlText w:val="%3."/>
      <w:lvlJc w:val="left"/>
      <w:pPr>
        <w:ind w:left="2160"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160C4CE2">
      <w:start w:val="1"/>
      <w:numFmt w:val="decimal"/>
      <w:lvlText w:val="%4."/>
      <w:lvlJc w:val="left"/>
      <w:pPr>
        <w:ind w:left="288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C868B78E">
      <w:start w:val="1"/>
      <w:numFmt w:val="lowerLetter"/>
      <w:lvlText w:val="%5."/>
      <w:lvlJc w:val="left"/>
      <w:pPr>
        <w:ind w:left="360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4BB2424C">
      <w:start w:val="1"/>
      <w:numFmt w:val="lowerRoman"/>
      <w:lvlText w:val="%6."/>
      <w:lvlJc w:val="left"/>
      <w:pPr>
        <w:ind w:left="4320"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E4B23CC0">
      <w:start w:val="1"/>
      <w:numFmt w:val="decimal"/>
      <w:lvlText w:val="%7."/>
      <w:lvlJc w:val="left"/>
      <w:pPr>
        <w:ind w:left="504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F286AE42">
      <w:start w:val="1"/>
      <w:numFmt w:val="lowerLetter"/>
      <w:lvlText w:val="%8."/>
      <w:lvlJc w:val="left"/>
      <w:pPr>
        <w:ind w:left="576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89224966">
      <w:start w:val="1"/>
      <w:numFmt w:val="lowerRoman"/>
      <w:lvlText w:val="%9."/>
      <w:lvlJc w:val="left"/>
      <w:pPr>
        <w:ind w:left="6480"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01710D"/>
    <w:multiLevelType w:val="multilevel"/>
    <w:tmpl w:val="A18A9622"/>
    <w:styleLink w:val="Style1import"/>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2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D726DD"/>
    <w:multiLevelType w:val="hybridMultilevel"/>
    <w:tmpl w:val="5A807E2E"/>
    <w:styleLink w:val="Style2import"/>
    <w:lvl w:ilvl="0" w:tplc="38D24A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3AF4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3AD67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EC6A4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E07A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00504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D2624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E7C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543D4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42711D"/>
    <w:multiLevelType w:val="hybridMultilevel"/>
    <w:tmpl w:val="5DFADAA8"/>
    <w:styleLink w:val="Style7import"/>
    <w:lvl w:ilvl="0" w:tplc="FE883E08">
      <w:start w:val="1"/>
      <w:numFmt w:val="decimal"/>
      <w:lvlText w:val="%1."/>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1F873CA">
      <w:start w:val="1"/>
      <w:numFmt w:val="lowerLetter"/>
      <w:lvlText w:val="%2."/>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0BA6026">
      <w:start w:val="1"/>
      <w:numFmt w:val="lowerRoman"/>
      <w:lvlText w:val="%3."/>
      <w:lvlJc w:val="left"/>
      <w:pPr>
        <w:ind w:left="216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5DC3FA6">
      <w:start w:val="1"/>
      <w:numFmt w:val="decimal"/>
      <w:lvlText w:val="%4."/>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029F90">
      <w:start w:val="1"/>
      <w:numFmt w:val="lowerLetter"/>
      <w:lvlText w:val="%5."/>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70E8ED4">
      <w:start w:val="1"/>
      <w:numFmt w:val="lowerRoman"/>
      <w:lvlText w:val="%6."/>
      <w:lvlJc w:val="left"/>
      <w:pPr>
        <w:ind w:left="432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BB0AA5C">
      <w:start w:val="1"/>
      <w:numFmt w:val="decimal"/>
      <w:lvlText w:val="%7."/>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09CFFBE">
      <w:start w:val="1"/>
      <w:numFmt w:val="lowerLetter"/>
      <w:lvlText w:val="%8."/>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F78ED92">
      <w:start w:val="1"/>
      <w:numFmt w:val="lowerRoman"/>
      <w:lvlText w:val="%9."/>
      <w:lvlJc w:val="left"/>
      <w:pPr>
        <w:ind w:left="648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6F285F"/>
    <w:multiLevelType w:val="hybridMultilevel"/>
    <w:tmpl w:val="E8DAA764"/>
    <w:styleLink w:val="Style9import"/>
    <w:lvl w:ilvl="0" w:tplc="1F6E0D2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4090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46873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A94B0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FA0D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54214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C3E69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7E20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600B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0E30913"/>
    <w:multiLevelType w:val="hybridMultilevel"/>
    <w:tmpl w:val="188402AA"/>
    <w:numStyleLink w:val="Style4import"/>
  </w:abstractNum>
  <w:abstractNum w:abstractNumId="11" w15:restartNumberingAfterBreak="0">
    <w:nsid w:val="5AA24DDE"/>
    <w:multiLevelType w:val="hybridMultilevel"/>
    <w:tmpl w:val="188402AA"/>
    <w:styleLink w:val="Style4import"/>
    <w:lvl w:ilvl="0" w:tplc="AB3CC8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18CB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62D0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6B8D7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08AC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674E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53E58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CEBF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4E059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6A356D"/>
    <w:multiLevelType w:val="hybridMultilevel"/>
    <w:tmpl w:val="5A807E2E"/>
    <w:numStyleLink w:val="Style2import"/>
  </w:abstractNum>
  <w:abstractNum w:abstractNumId="13" w15:restartNumberingAfterBreak="0">
    <w:nsid w:val="6AE7754E"/>
    <w:multiLevelType w:val="hybridMultilevel"/>
    <w:tmpl w:val="0D362B86"/>
    <w:lvl w:ilvl="0" w:tplc="140C9306">
      <w:start w:val="1"/>
      <w:numFmt w:val="decimal"/>
      <w:lvlText w:val="%1."/>
      <w:lvlJc w:val="left"/>
      <w:pPr>
        <w:ind w:left="1020" w:hanging="360"/>
      </w:pPr>
    </w:lvl>
    <w:lvl w:ilvl="1" w:tplc="ED349E64">
      <w:start w:val="1"/>
      <w:numFmt w:val="decimal"/>
      <w:lvlText w:val="%2."/>
      <w:lvlJc w:val="left"/>
      <w:pPr>
        <w:ind w:left="1020" w:hanging="360"/>
      </w:pPr>
    </w:lvl>
    <w:lvl w:ilvl="2" w:tplc="08D07AF2">
      <w:start w:val="1"/>
      <w:numFmt w:val="decimal"/>
      <w:lvlText w:val="%3."/>
      <w:lvlJc w:val="left"/>
      <w:pPr>
        <w:ind w:left="1020" w:hanging="360"/>
      </w:pPr>
    </w:lvl>
    <w:lvl w:ilvl="3" w:tplc="F718E520">
      <w:start w:val="1"/>
      <w:numFmt w:val="decimal"/>
      <w:lvlText w:val="%4."/>
      <w:lvlJc w:val="left"/>
      <w:pPr>
        <w:ind w:left="1020" w:hanging="360"/>
      </w:pPr>
    </w:lvl>
    <w:lvl w:ilvl="4" w:tplc="B2E44FC6">
      <w:start w:val="1"/>
      <w:numFmt w:val="decimal"/>
      <w:lvlText w:val="%5."/>
      <w:lvlJc w:val="left"/>
      <w:pPr>
        <w:ind w:left="1020" w:hanging="360"/>
      </w:pPr>
    </w:lvl>
    <w:lvl w:ilvl="5" w:tplc="EA4639D4">
      <w:start w:val="1"/>
      <w:numFmt w:val="decimal"/>
      <w:lvlText w:val="%6."/>
      <w:lvlJc w:val="left"/>
      <w:pPr>
        <w:ind w:left="1020" w:hanging="360"/>
      </w:pPr>
    </w:lvl>
    <w:lvl w:ilvl="6" w:tplc="D0DC1416">
      <w:start w:val="1"/>
      <w:numFmt w:val="decimal"/>
      <w:lvlText w:val="%7."/>
      <w:lvlJc w:val="left"/>
      <w:pPr>
        <w:ind w:left="1020" w:hanging="360"/>
      </w:pPr>
    </w:lvl>
    <w:lvl w:ilvl="7" w:tplc="01F8C310">
      <w:start w:val="1"/>
      <w:numFmt w:val="decimal"/>
      <w:lvlText w:val="%8."/>
      <w:lvlJc w:val="left"/>
      <w:pPr>
        <w:ind w:left="1020" w:hanging="360"/>
      </w:pPr>
    </w:lvl>
    <w:lvl w:ilvl="8" w:tplc="BC00C4EE">
      <w:start w:val="1"/>
      <w:numFmt w:val="decimal"/>
      <w:lvlText w:val="%9."/>
      <w:lvlJc w:val="left"/>
      <w:pPr>
        <w:ind w:left="1020" w:hanging="360"/>
      </w:pPr>
    </w:lvl>
  </w:abstractNum>
  <w:abstractNum w:abstractNumId="14" w15:restartNumberingAfterBreak="0">
    <w:nsid w:val="73457FEA"/>
    <w:multiLevelType w:val="hybridMultilevel"/>
    <w:tmpl w:val="07525270"/>
    <w:styleLink w:val="Style3import"/>
    <w:lvl w:ilvl="0" w:tplc="28BC26F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BDC35B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32C6A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ACC22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FB4F30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75022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7ABE9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6081F9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3C98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E5133E2"/>
    <w:multiLevelType w:val="hybridMultilevel"/>
    <w:tmpl w:val="5DFADAA8"/>
    <w:numStyleLink w:val="Style7import"/>
  </w:abstractNum>
  <w:num w:numId="1" w16cid:durableId="724766597">
    <w:abstractNumId w:val="6"/>
  </w:num>
  <w:num w:numId="2" w16cid:durableId="752170001">
    <w:abstractNumId w:val="1"/>
  </w:num>
  <w:num w:numId="3" w16cid:durableId="86930018">
    <w:abstractNumId w:val="7"/>
  </w:num>
  <w:num w:numId="4" w16cid:durableId="174922285">
    <w:abstractNumId w:val="12"/>
  </w:num>
  <w:num w:numId="5" w16cid:durableId="368147640">
    <w:abstractNumId w:val="14"/>
  </w:num>
  <w:num w:numId="6" w16cid:durableId="1341003382">
    <w:abstractNumId w:val="4"/>
  </w:num>
  <w:num w:numId="7" w16cid:durableId="1166943937">
    <w:abstractNumId w:val="11"/>
  </w:num>
  <w:num w:numId="8" w16cid:durableId="1864322875">
    <w:abstractNumId w:val="10"/>
  </w:num>
  <w:num w:numId="9" w16cid:durableId="467360669">
    <w:abstractNumId w:val="1"/>
    <w:lvlOverride w:ilvl="0">
      <w:startOverride w:val="2"/>
    </w:lvlOverride>
  </w:num>
  <w:num w:numId="10" w16cid:durableId="9063214">
    <w:abstractNumId w:val="8"/>
  </w:num>
  <w:num w:numId="11" w16cid:durableId="1458182154">
    <w:abstractNumId w:val="15"/>
  </w:num>
  <w:num w:numId="12" w16cid:durableId="349916873">
    <w:abstractNumId w:val="1"/>
    <w:lvlOverride w:ilvl="1">
      <w:startOverride w:val="2"/>
    </w:lvlOverride>
  </w:num>
  <w:num w:numId="13" w16cid:durableId="1796635344">
    <w:abstractNumId w:val="5"/>
  </w:num>
  <w:num w:numId="14" w16cid:durableId="1422675908">
    <w:abstractNumId w:val="0"/>
  </w:num>
  <w:num w:numId="15" w16cid:durableId="517308159">
    <w:abstractNumId w:val="1"/>
    <w:lvlOverride w:ilvl="0">
      <w:startOverride w:val="3"/>
    </w:lvlOverride>
  </w:num>
  <w:num w:numId="16" w16cid:durableId="1098528766">
    <w:abstractNumId w:val="9"/>
  </w:num>
  <w:num w:numId="17" w16cid:durableId="745960628">
    <w:abstractNumId w:val="2"/>
  </w:num>
  <w:num w:numId="18" w16cid:durableId="1333527481">
    <w:abstractNumId w:val="3"/>
  </w:num>
  <w:num w:numId="19" w16cid:durableId="1278102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FC"/>
    <w:rsid w:val="0004268F"/>
    <w:rsid w:val="00047D43"/>
    <w:rsid w:val="00056023"/>
    <w:rsid w:val="00095F5C"/>
    <w:rsid w:val="000B0A0D"/>
    <w:rsid w:val="000B22A1"/>
    <w:rsid w:val="000C1A93"/>
    <w:rsid w:val="000C21CA"/>
    <w:rsid w:val="00105D8B"/>
    <w:rsid w:val="00132A77"/>
    <w:rsid w:val="0014045E"/>
    <w:rsid w:val="00152248"/>
    <w:rsid w:val="001B169E"/>
    <w:rsid w:val="001B793F"/>
    <w:rsid w:val="00201442"/>
    <w:rsid w:val="00202F38"/>
    <w:rsid w:val="00247A64"/>
    <w:rsid w:val="0029272D"/>
    <w:rsid w:val="002C389E"/>
    <w:rsid w:val="00331079"/>
    <w:rsid w:val="0039259C"/>
    <w:rsid w:val="00427B11"/>
    <w:rsid w:val="00475C14"/>
    <w:rsid w:val="0048304C"/>
    <w:rsid w:val="00492D70"/>
    <w:rsid w:val="00495AD1"/>
    <w:rsid w:val="004C2289"/>
    <w:rsid w:val="004D33D0"/>
    <w:rsid w:val="00504D69"/>
    <w:rsid w:val="005A2136"/>
    <w:rsid w:val="006562CC"/>
    <w:rsid w:val="006C25BA"/>
    <w:rsid w:val="006D1037"/>
    <w:rsid w:val="007059E3"/>
    <w:rsid w:val="007200FC"/>
    <w:rsid w:val="00731CB0"/>
    <w:rsid w:val="0073524D"/>
    <w:rsid w:val="00747C2B"/>
    <w:rsid w:val="00853508"/>
    <w:rsid w:val="008C5A08"/>
    <w:rsid w:val="00934E02"/>
    <w:rsid w:val="009822A5"/>
    <w:rsid w:val="009E02D4"/>
    <w:rsid w:val="00A17D78"/>
    <w:rsid w:val="00A8725E"/>
    <w:rsid w:val="00AD6F49"/>
    <w:rsid w:val="00AF2469"/>
    <w:rsid w:val="00B12664"/>
    <w:rsid w:val="00B13332"/>
    <w:rsid w:val="00B501D7"/>
    <w:rsid w:val="00B81F6C"/>
    <w:rsid w:val="00B929CC"/>
    <w:rsid w:val="00BA5656"/>
    <w:rsid w:val="00BD057E"/>
    <w:rsid w:val="00C125FC"/>
    <w:rsid w:val="00C12B53"/>
    <w:rsid w:val="00C17220"/>
    <w:rsid w:val="00C616FD"/>
    <w:rsid w:val="00CD0A87"/>
    <w:rsid w:val="00D02B83"/>
    <w:rsid w:val="00D4459E"/>
    <w:rsid w:val="00DA0101"/>
    <w:rsid w:val="00DA7151"/>
    <w:rsid w:val="00DF31A2"/>
    <w:rsid w:val="00E1152D"/>
    <w:rsid w:val="00EB783D"/>
    <w:rsid w:val="00EC2430"/>
    <w:rsid w:val="00ED26CE"/>
    <w:rsid w:val="00ED5770"/>
    <w:rsid w:val="00F6614F"/>
    <w:rsid w:val="00F91AD2"/>
    <w:rsid w:val="00FB1A33"/>
    <w:rsid w:val="00FC5BDE"/>
    <w:rsid w:val="00FE3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E24B3"/>
  <w15:docId w15:val="{7F75A599-3F1F-4825-90F7-03CD256E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536"/>
        <w:tab w:val="right" w:pos="9072"/>
      </w:tabs>
    </w:pPr>
    <w:rPr>
      <w:rFonts w:ascii="Aptos" w:eastAsia="Aptos" w:hAnsi="Aptos" w:cs="Aptos"/>
      <w:color w:val="000000"/>
      <w:sz w:val="22"/>
      <w:szCs w:val="22"/>
      <w:u w:color="000000"/>
    </w:rPr>
  </w:style>
  <w:style w:type="paragraph" w:styleId="Pieddepage">
    <w:name w:val="footer"/>
    <w:pPr>
      <w:tabs>
        <w:tab w:val="center" w:pos="4536"/>
        <w:tab w:val="right" w:pos="9072"/>
      </w:tabs>
    </w:pPr>
    <w:rPr>
      <w:rFonts w:ascii="Aptos" w:eastAsia="Aptos" w:hAnsi="Aptos" w:cs="Aptos"/>
      <w:color w:val="000000"/>
      <w:sz w:val="22"/>
      <w:szCs w:val="22"/>
      <w:u w:color="000000"/>
    </w:rPr>
  </w:style>
  <w:style w:type="paragraph" w:customStyle="1" w:styleId="CorpsA">
    <w:name w:val="Corps A"/>
    <w:pPr>
      <w:spacing w:after="160" w:line="259" w:lineRule="auto"/>
    </w:pPr>
    <w:rPr>
      <w:rFonts w:ascii="Aptos" w:eastAsia="Aptos" w:hAnsi="Aptos" w:cs="Aptos"/>
      <w:color w:val="000000"/>
      <w:sz w:val="22"/>
      <w:szCs w:val="22"/>
      <w:u w:color="000000"/>
    </w:rPr>
  </w:style>
  <w:style w:type="paragraph" w:customStyle="1" w:styleId="Titrepartie">
    <w:name w:val="Titre partie"/>
    <w:pPr>
      <w:spacing w:after="160" w:line="259" w:lineRule="auto"/>
      <w:jc w:val="both"/>
    </w:pPr>
    <w:rPr>
      <w:rFonts w:ascii="Verdana" w:eastAsia="Verdana" w:hAnsi="Verdana" w:cs="Verdana"/>
      <w:b/>
      <w:bCs/>
      <w:color w:val="0070C0"/>
      <w:sz w:val="22"/>
      <w:szCs w:val="22"/>
      <w:u w:color="0070C0"/>
    </w:rPr>
  </w:style>
  <w:style w:type="numbering" w:customStyle="1" w:styleId="Style1import">
    <w:name w:val="Style 1 importé"/>
    <w:pPr>
      <w:numPr>
        <w:numId w:val="1"/>
      </w:numPr>
    </w:pPr>
  </w:style>
  <w:style w:type="paragraph" w:styleId="Paragraphedeliste">
    <w:name w:val="List Paragraph"/>
    <w:pPr>
      <w:spacing w:after="160" w:line="259" w:lineRule="auto"/>
      <w:ind w:left="720"/>
    </w:pPr>
    <w:rPr>
      <w:rFonts w:ascii="Aptos" w:eastAsia="Aptos" w:hAnsi="Aptos" w:cs="Aptos"/>
      <w:color w:val="000000"/>
      <w:sz w:val="22"/>
      <w:szCs w:val="22"/>
      <w:u w:color="000000"/>
    </w:r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paragraph" w:customStyle="1" w:styleId="Paragraphe">
    <w:name w:val="Paragraphe"/>
    <w:link w:val="ParagrapheCar"/>
    <w:qFormat/>
    <w:pPr>
      <w:spacing w:after="160" w:line="259" w:lineRule="auto"/>
      <w:jc w:val="both"/>
    </w:pPr>
    <w:rPr>
      <w:rFonts w:ascii="Verdana" w:hAnsi="Verdana" w:cs="Arial Unicode MS"/>
      <w:color w:val="000000"/>
      <w:u w:color="000000"/>
    </w:rPr>
  </w:style>
  <w:style w:type="numbering" w:customStyle="1" w:styleId="Style7import">
    <w:name w:val="Style 7 importé"/>
    <w:pPr>
      <w:numPr>
        <w:numId w:val="10"/>
      </w:numPr>
    </w:pPr>
  </w:style>
  <w:style w:type="character" w:customStyle="1" w:styleId="Aucun">
    <w:name w:val="Aucun"/>
  </w:style>
  <w:style w:type="character" w:customStyle="1" w:styleId="Hyperlink0">
    <w:name w:val="Hyperlink.0"/>
    <w:basedOn w:val="Aucun"/>
    <w:rPr>
      <w:color w:val="467886"/>
      <w:u w:val="single" w:color="467886"/>
    </w:rPr>
  </w:style>
  <w:style w:type="character" w:customStyle="1" w:styleId="Hyperlink1">
    <w:name w:val="Hyperlink.1"/>
    <w:basedOn w:val="Lienhypertexte"/>
    <w:rPr>
      <w:color w:val="0000FF"/>
      <w:u w:val="single" w:color="0000FF"/>
    </w:rPr>
  </w:style>
  <w:style w:type="paragraph" w:customStyle="1" w:styleId="Sous-partie2">
    <w:name w:val="Sous-partie 2"/>
    <w:pPr>
      <w:spacing w:after="160" w:line="259" w:lineRule="auto"/>
      <w:jc w:val="both"/>
    </w:pPr>
    <w:rPr>
      <w:rFonts w:ascii="Verdana" w:hAnsi="Verdana" w:cs="Arial Unicode MS"/>
      <w:color w:val="0070C0"/>
      <w:u w:color="0070C0"/>
    </w:rPr>
  </w:style>
  <w:style w:type="numbering" w:customStyle="1" w:styleId="Style8import">
    <w:name w:val="Style 8 importé"/>
    <w:pPr>
      <w:numPr>
        <w:numId w:val="13"/>
      </w:numPr>
    </w:pPr>
  </w:style>
  <w:style w:type="numbering" w:customStyle="1" w:styleId="Style9import">
    <w:name w:val="Style 9 importé"/>
    <w:pPr>
      <w:numPr>
        <w:numId w:val="16"/>
      </w:numPr>
    </w:pPr>
  </w:style>
  <w:style w:type="character" w:customStyle="1" w:styleId="ParagrapheCar">
    <w:name w:val="Paragraphe Car"/>
    <w:basedOn w:val="Policepardfaut"/>
    <w:link w:val="Paragraphe"/>
    <w:rsid w:val="0048304C"/>
    <w:rPr>
      <w:rFonts w:ascii="Verdana" w:hAnsi="Verdana" w:cs="Arial Unicode MS"/>
      <w:color w:val="000000"/>
      <w:u w:color="000000"/>
    </w:rPr>
  </w:style>
  <w:style w:type="paragraph" w:styleId="Rvision">
    <w:name w:val="Revision"/>
    <w:hidden/>
    <w:uiPriority w:val="99"/>
    <w:semiHidden/>
    <w:rsid w:val="00934E0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arquedecommentaire">
    <w:name w:val="annotation reference"/>
    <w:basedOn w:val="Policepardfaut"/>
    <w:uiPriority w:val="99"/>
    <w:semiHidden/>
    <w:unhideWhenUsed/>
    <w:rsid w:val="00FC5BDE"/>
    <w:rPr>
      <w:sz w:val="16"/>
      <w:szCs w:val="16"/>
    </w:rPr>
  </w:style>
  <w:style w:type="paragraph" w:styleId="Commentaire">
    <w:name w:val="annotation text"/>
    <w:basedOn w:val="Normal"/>
    <w:link w:val="CommentaireCar"/>
    <w:uiPriority w:val="99"/>
    <w:unhideWhenUsed/>
    <w:rsid w:val="00FC5BDE"/>
    <w:rPr>
      <w:sz w:val="20"/>
      <w:szCs w:val="20"/>
    </w:rPr>
  </w:style>
  <w:style w:type="character" w:customStyle="1" w:styleId="CommentaireCar">
    <w:name w:val="Commentaire Car"/>
    <w:basedOn w:val="Policepardfaut"/>
    <w:link w:val="Commentaire"/>
    <w:uiPriority w:val="99"/>
    <w:rsid w:val="00FC5BDE"/>
    <w:rPr>
      <w:lang w:val="en-US" w:eastAsia="en-US"/>
    </w:rPr>
  </w:style>
  <w:style w:type="paragraph" w:styleId="Objetducommentaire">
    <w:name w:val="annotation subject"/>
    <w:basedOn w:val="Commentaire"/>
    <w:next w:val="Commentaire"/>
    <w:link w:val="ObjetducommentaireCar"/>
    <w:uiPriority w:val="99"/>
    <w:semiHidden/>
    <w:unhideWhenUsed/>
    <w:rsid w:val="00FC5BDE"/>
    <w:rPr>
      <w:b/>
      <w:bCs/>
    </w:rPr>
  </w:style>
  <w:style w:type="character" w:customStyle="1" w:styleId="ObjetducommentaireCar">
    <w:name w:val="Objet du commentaire Car"/>
    <w:basedOn w:val="CommentaireCar"/>
    <w:link w:val="Objetducommentaire"/>
    <w:uiPriority w:val="99"/>
    <w:semiHidden/>
    <w:rsid w:val="00FC5BD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ORI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RIC.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1208</Words>
  <Characters>6647</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Anfani MSOILI</dc:creator>
  <cp:lastModifiedBy>Shirley LAW</cp:lastModifiedBy>
  <cp:revision>7</cp:revision>
  <dcterms:created xsi:type="dcterms:W3CDTF">2025-10-22T05:11:00Z</dcterms:created>
  <dcterms:modified xsi:type="dcterms:W3CDTF">2025-11-11T10:00:00Z</dcterms:modified>
</cp:coreProperties>
</file>