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2485A738" w:rsidR="00C12C93" w:rsidRPr="008821CD" w:rsidRDefault="00B22DE0" w:rsidP="008821CD">
      <w:pPr>
        <w:spacing w:after="0" w:line="240" w:lineRule="auto"/>
        <w:jc w:val="center"/>
        <w:rPr>
          <w:rFonts w:ascii="Verdana" w:hAnsi="Verdana"/>
          <w:b/>
          <w:bCs/>
          <w:sz w:val="2"/>
          <w:szCs w:val="2"/>
        </w:rPr>
      </w:pPr>
      <w:r w:rsidRPr="008821CD">
        <w:rPr>
          <w:rFonts w:ascii="Verdana" w:hAnsi="Verdana"/>
          <w:b/>
          <w:bCs/>
          <w:sz w:val="2"/>
          <w:szCs w:val="2"/>
        </w:rPr>
        <w:t>Cf</w:t>
      </w:r>
      <w:r w:rsidR="00A5332A" w:rsidRPr="008821CD">
        <w:rPr>
          <w:rFonts w:ascii="Verdana" w:hAnsi="Verdana"/>
          <w:b/>
          <w:bCs/>
          <w:sz w:val="2"/>
          <w:szCs w:val="2"/>
        </w:rPr>
        <w:t xml:space="preserve">  </w:t>
      </w:r>
    </w:p>
    <w:tbl>
      <w:tblPr>
        <w:tblStyle w:val="Grilledutableau"/>
        <w:tblW w:w="0" w:type="auto"/>
        <w:tblLook w:val="04A0" w:firstRow="1" w:lastRow="0" w:firstColumn="1" w:lastColumn="0" w:noHBand="0" w:noVBand="1"/>
      </w:tblPr>
      <w:tblGrid>
        <w:gridCol w:w="7225"/>
        <w:gridCol w:w="1837"/>
      </w:tblGrid>
      <w:tr w:rsidR="00EC22CC" w:rsidRPr="008821CD" w14:paraId="51109D41" w14:textId="77777777" w:rsidTr="000E2E1E">
        <w:tc>
          <w:tcPr>
            <w:tcW w:w="9062" w:type="dxa"/>
            <w:gridSpan w:val="2"/>
          </w:tcPr>
          <w:p w14:paraId="6FC76F95" w14:textId="001505CE" w:rsidR="00EC22CC" w:rsidRPr="008821CD" w:rsidRDefault="00607C3E" w:rsidP="008821CD">
            <w:pPr>
              <w:jc w:val="center"/>
              <w:rPr>
                <w:rFonts w:ascii="Verdana" w:hAnsi="Verdana"/>
                <w:b/>
                <w:bCs/>
                <w:sz w:val="20"/>
                <w:szCs w:val="20"/>
              </w:rPr>
            </w:pPr>
            <w:r w:rsidRPr="008821CD">
              <w:rPr>
                <w:rFonts w:ascii="Verdana" w:eastAsia="Times New Roman" w:hAnsi="Verdana"/>
                <w:b/>
                <w:bCs/>
                <w:color w:val="000000" w:themeColor="text1"/>
                <w:sz w:val="20"/>
                <w:szCs w:val="20"/>
              </w:rPr>
              <w:t xml:space="preserve">Reduction des risques des </w:t>
            </w:r>
            <w:r w:rsidR="005D62DF" w:rsidRPr="008821CD">
              <w:rPr>
                <w:rFonts w:ascii="Verdana" w:eastAsia="Times New Roman" w:hAnsi="Verdana"/>
                <w:b/>
                <w:bCs/>
                <w:color w:val="000000" w:themeColor="text1"/>
                <w:sz w:val="20"/>
                <w:szCs w:val="20"/>
              </w:rPr>
              <w:t>catastrophes</w:t>
            </w:r>
          </w:p>
        </w:tc>
      </w:tr>
      <w:tr w:rsidR="00EC22CC" w:rsidRPr="008821CD" w14:paraId="7F1B63D2" w14:textId="77777777" w:rsidTr="002A0933">
        <w:tc>
          <w:tcPr>
            <w:tcW w:w="7225" w:type="dxa"/>
          </w:tcPr>
          <w:p w14:paraId="056D9B10" w14:textId="5A755864" w:rsidR="00EC22CC" w:rsidRPr="008821CD" w:rsidRDefault="004607F7" w:rsidP="008821CD">
            <w:pPr>
              <w:rPr>
                <w:rFonts w:ascii="Verdana" w:hAnsi="Verdana"/>
                <w:sz w:val="20"/>
                <w:szCs w:val="20"/>
              </w:rPr>
            </w:pPr>
            <w:r w:rsidRPr="008821CD">
              <w:rPr>
                <w:rFonts w:ascii="Verdana" w:hAnsi="Verdana"/>
                <w:sz w:val="20"/>
                <w:szCs w:val="20"/>
              </w:rPr>
              <w:t>[</w:t>
            </w:r>
            <w:r w:rsidR="002E5AA4" w:rsidRPr="008821CD">
              <w:rPr>
                <w:rFonts w:ascii="Verdana" w:hAnsi="Verdana"/>
                <w:sz w:val="20"/>
                <w:szCs w:val="20"/>
              </w:rPr>
              <w:t>COPL</w:t>
            </w:r>
            <w:r w:rsidR="00607C3E" w:rsidRPr="008821CD">
              <w:rPr>
                <w:rFonts w:ascii="Verdana" w:hAnsi="Verdana"/>
                <w:sz w:val="20"/>
                <w:szCs w:val="20"/>
              </w:rPr>
              <w:t>2</w:t>
            </w:r>
            <w:r w:rsidR="002E5AA4" w:rsidRPr="008821CD">
              <w:rPr>
                <w:rFonts w:ascii="Verdana" w:hAnsi="Verdana"/>
                <w:sz w:val="20"/>
                <w:szCs w:val="20"/>
              </w:rPr>
              <w:t>/2</w:t>
            </w:r>
            <w:r w:rsidR="00F859DE" w:rsidRPr="008821CD">
              <w:rPr>
                <w:rFonts w:ascii="Verdana" w:hAnsi="Verdana"/>
                <w:sz w:val="20"/>
                <w:szCs w:val="20"/>
              </w:rPr>
              <w:t>5</w:t>
            </w:r>
            <w:r w:rsidR="00F877B2" w:rsidRPr="008821CD">
              <w:rPr>
                <w:rFonts w:ascii="Verdana" w:hAnsi="Verdana"/>
                <w:sz w:val="20"/>
                <w:szCs w:val="20"/>
              </w:rPr>
              <w:t xml:space="preserve"> -</w:t>
            </w:r>
            <w:r w:rsidRPr="008821CD">
              <w:rPr>
                <w:rFonts w:ascii="Verdana" w:hAnsi="Verdana"/>
                <w:sz w:val="20"/>
                <w:szCs w:val="20"/>
              </w:rPr>
              <w:t xml:space="preserve"> </w:t>
            </w:r>
            <w:r w:rsidR="002E5AA4" w:rsidRPr="008821CD">
              <w:rPr>
                <w:rFonts w:ascii="Verdana" w:hAnsi="Verdana"/>
                <w:sz w:val="20"/>
                <w:szCs w:val="20"/>
              </w:rPr>
              <w:t xml:space="preserve">Ebene </w:t>
            </w:r>
            <w:r w:rsidR="005B3A54" w:rsidRPr="008821CD">
              <w:rPr>
                <w:rFonts w:ascii="Verdana" w:hAnsi="Verdana"/>
                <w:sz w:val="20"/>
                <w:szCs w:val="20"/>
              </w:rPr>
              <w:t>Maurice,</w:t>
            </w:r>
            <w:r w:rsidRPr="008821CD">
              <w:rPr>
                <w:rFonts w:ascii="Verdana" w:hAnsi="Verdana"/>
                <w:sz w:val="20"/>
                <w:szCs w:val="20"/>
              </w:rPr>
              <w:t xml:space="preserve"> </w:t>
            </w:r>
            <w:r w:rsidR="00EB2E9F" w:rsidRPr="008821CD">
              <w:rPr>
                <w:rFonts w:ascii="Verdana" w:hAnsi="Verdana"/>
                <w:sz w:val="20"/>
                <w:szCs w:val="20"/>
              </w:rPr>
              <w:t>11-</w:t>
            </w:r>
            <w:r w:rsidR="002E5AA4" w:rsidRPr="008821CD">
              <w:rPr>
                <w:rFonts w:ascii="Verdana" w:hAnsi="Verdana"/>
                <w:sz w:val="20"/>
                <w:szCs w:val="20"/>
              </w:rPr>
              <w:t xml:space="preserve"> </w:t>
            </w:r>
            <w:r w:rsidR="00F859DE" w:rsidRPr="008821CD">
              <w:rPr>
                <w:rFonts w:ascii="Verdana" w:hAnsi="Verdana"/>
                <w:sz w:val="20"/>
                <w:szCs w:val="20"/>
              </w:rPr>
              <w:t>1</w:t>
            </w:r>
            <w:r w:rsidR="00607C3E" w:rsidRPr="008821CD">
              <w:rPr>
                <w:rFonts w:ascii="Verdana" w:hAnsi="Verdana"/>
                <w:sz w:val="20"/>
                <w:szCs w:val="20"/>
              </w:rPr>
              <w:t>3</w:t>
            </w:r>
            <w:r w:rsidR="00F877B2" w:rsidRPr="008821CD">
              <w:rPr>
                <w:rFonts w:ascii="Verdana" w:hAnsi="Verdana"/>
                <w:sz w:val="20"/>
                <w:szCs w:val="20"/>
              </w:rPr>
              <w:t xml:space="preserve"> </w:t>
            </w:r>
            <w:r w:rsidR="00607C3E" w:rsidRPr="008821CD">
              <w:rPr>
                <w:rFonts w:ascii="Verdana" w:hAnsi="Verdana"/>
                <w:sz w:val="20"/>
                <w:szCs w:val="20"/>
              </w:rPr>
              <w:t>novembre</w:t>
            </w:r>
          </w:p>
        </w:tc>
        <w:tc>
          <w:tcPr>
            <w:tcW w:w="1837" w:type="dxa"/>
          </w:tcPr>
          <w:p w14:paraId="58E25D1F" w14:textId="3F89D6F0" w:rsidR="00EC22CC" w:rsidRPr="008821CD" w:rsidRDefault="002A096E" w:rsidP="008821CD">
            <w:pPr>
              <w:jc w:val="center"/>
              <w:rPr>
                <w:rFonts w:ascii="Verdana" w:hAnsi="Verdana"/>
                <w:sz w:val="20"/>
                <w:szCs w:val="20"/>
              </w:rPr>
            </w:pPr>
            <w:r w:rsidRPr="008821CD">
              <w:rPr>
                <w:rFonts w:ascii="Verdana" w:hAnsi="Verdana"/>
                <w:sz w:val="20"/>
                <w:szCs w:val="20"/>
              </w:rPr>
              <w:t xml:space="preserve">Point </w:t>
            </w:r>
            <w:r w:rsidR="005B3A54" w:rsidRPr="008821CD">
              <w:rPr>
                <w:rFonts w:ascii="Verdana" w:hAnsi="Verdana"/>
                <w:sz w:val="20"/>
                <w:szCs w:val="20"/>
              </w:rPr>
              <w:t>2</w:t>
            </w:r>
            <w:r w:rsidR="0018252D" w:rsidRPr="008821CD">
              <w:rPr>
                <w:rFonts w:ascii="Verdana" w:hAnsi="Verdana"/>
                <w:sz w:val="20"/>
                <w:szCs w:val="20"/>
              </w:rPr>
              <w:t>.</w:t>
            </w:r>
            <w:r w:rsidR="005B3A54" w:rsidRPr="008821CD">
              <w:rPr>
                <w:rFonts w:ascii="Verdana" w:hAnsi="Verdana"/>
                <w:sz w:val="20"/>
                <w:szCs w:val="20"/>
              </w:rPr>
              <w:t>1</w:t>
            </w:r>
            <w:r w:rsidR="00F877B2" w:rsidRPr="008821CD">
              <w:rPr>
                <w:rFonts w:ascii="Verdana" w:hAnsi="Verdana"/>
                <w:sz w:val="20"/>
                <w:szCs w:val="20"/>
              </w:rPr>
              <w:t>3</w:t>
            </w:r>
          </w:p>
        </w:tc>
      </w:tr>
      <w:tr w:rsidR="00EC22CC" w:rsidRPr="008821CD" w14:paraId="537D1DE5" w14:textId="77777777" w:rsidTr="002A0933">
        <w:tc>
          <w:tcPr>
            <w:tcW w:w="7225" w:type="dxa"/>
          </w:tcPr>
          <w:p w14:paraId="43DEF09E" w14:textId="21F8F754" w:rsidR="00EC22CC" w:rsidRPr="008821CD" w:rsidRDefault="00A148A1" w:rsidP="008821CD">
            <w:pPr>
              <w:rPr>
                <w:rFonts w:ascii="Verdana" w:hAnsi="Verdana"/>
                <w:sz w:val="20"/>
                <w:szCs w:val="20"/>
              </w:rPr>
            </w:pPr>
            <w:r w:rsidRPr="008821CD">
              <w:rPr>
                <w:rFonts w:ascii="Verdana" w:hAnsi="Verdana"/>
                <w:i/>
                <w:iCs/>
                <w:sz w:val="20"/>
                <w:szCs w:val="20"/>
              </w:rPr>
              <w:t>Dossier suivi par :</w:t>
            </w:r>
            <w:r w:rsidR="00EC22CC" w:rsidRPr="008821CD">
              <w:rPr>
                <w:rFonts w:ascii="Verdana" w:hAnsi="Verdana"/>
                <w:sz w:val="20"/>
                <w:szCs w:val="20"/>
              </w:rPr>
              <w:t xml:space="preserve"> </w:t>
            </w:r>
            <w:r w:rsidR="002E5AA4" w:rsidRPr="008821CD">
              <w:rPr>
                <w:rFonts w:ascii="Verdana" w:hAnsi="Verdana"/>
                <w:sz w:val="20"/>
                <w:szCs w:val="20"/>
              </w:rPr>
              <w:t xml:space="preserve">Gina </w:t>
            </w:r>
            <w:r w:rsidR="005B3A54" w:rsidRPr="008821CD">
              <w:rPr>
                <w:rFonts w:ascii="Verdana" w:hAnsi="Verdana"/>
                <w:sz w:val="20"/>
                <w:szCs w:val="20"/>
              </w:rPr>
              <w:t>BONNE, Chargée de mission</w:t>
            </w:r>
          </w:p>
        </w:tc>
        <w:tc>
          <w:tcPr>
            <w:tcW w:w="1837" w:type="dxa"/>
          </w:tcPr>
          <w:p w14:paraId="5AC1AFAB" w14:textId="698BA371" w:rsidR="00EC22CC" w:rsidRPr="008821CD" w:rsidRDefault="00BB0861" w:rsidP="008821CD">
            <w:pPr>
              <w:jc w:val="center"/>
              <w:rPr>
                <w:rFonts w:ascii="Verdana" w:hAnsi="Verdana"/>
                <w:sz w:val="20"/>
                <w:szCs w:val="20"/>
              </w:rPr>
            </w:pPr>
            <w:r w:rsidRPr="008821CD">
              <w:rPr>
                <w:rFonts w:ascii="Verdana" w:hAnsi="Verdana"/>
                <w:sz w:val="20"/>
                <w:szCs w:val="20"/>
              </w:rPr>
              <w:t>D</w:t>
            </w:r>
            <w:r w:rsidR="004607F7" w:rsidRPr="008821CD">
              <w:rPr>
                <w:rFonts w:ascii="Verdana" w:hAnsi="Verdana"/>
                <w:sz w:val="20"/>
                <w:szCs w:val="20"/>
              </w:rPr>
              <w:t xml:space="preserve">écision </w:t>
            </w:r>
          </w:p>
        </w:tc>
      </w:tr>
      <w:tr w:rsidR="00A90305" w:rsidRPr="008821CD" w14:paraId="6896DB30" w14:textId="77777777" w:rsidTr="009F5233">
        <w:tc>
          <w:tcPr>
            <w:tcW w:w="9062" w:type="dxa"/>
            <w:gridSpan w:val="2"/>
          </w:tcPr>
          <w:p w14:paraId="0495241B" w14:textId="0E7D5B57" w:rsidR="00A90305" w:rsidRPr="008821CD" w:rsidRDefault="00A90305" w:rsidP="008821CD">
            <w:pPr>
              <w:rPr>
                <w:rFonts w:ascii="Verdana" w:hAnsi="Verdana"/>
                <w:sz w:val="20"/>
                <w:szCs w:val="20"/>
              </w:rPr>
            </w:pPr>
            <w:r w:rsidRPr="008821CD">
              <w:rPr>
                <w:rFonts w:ascii="Verdana" w:hAnsi="Verdana"/>
                <w:i/>
                <w:iCs/>
                <w:sz w:val="20"/>
                <w:szCs w:val="20"/>
              </w:rPr>
              <w:t xml:space="preserve">Version du </w:t>
            </w:r>
            <w:r w:rsidR="00607C3E" w:rsidRPr="008821CD">
              <w:rPr>
                <w:rFonts w:ascii="Verdana" w:hAnsi="Verdana"/>
                <w:i/>
                <w:iCs/>
                <w:sz w:val="20"/>
                <w:szCs w:val="20"/>
              </w:rPr>
              <w:t xml:space="preserve">26 octobre </w:t>
            </w:r>
            <w:r w:rsidR="00F859DE" w:rsidRPr="008821CD">
              <w:rPr>
                <w:rFonts w:ascii="Verdana" w:hAnsi="Verdana"/>
                <w:i/>
                <w:iCs/>
                <w:sz w:val="20"/>
                <w:szCs w:val="20"/>
              </w:rPr>
              <w:t>2025</w:t>
            </w:r>
            <w:r w:rsidRPr="008821CD">
              <w:rPr>
                <w:rFonts w:ascii="Verdana" w:hAnsi="Verdana"/>
                <w:i/>
                <w:iCs/>
                <w:sz w:val="20"/>
                <w:szCs w:val="20"/>
              </w:rPr>
              <w:t xml:space="preserve">  </w:t>
            </w:r>
          </w:p>
        </w:tc>
      </w:tr>
    </w:tbl>
    <w:p w14:paraId="1611BCC4" w14:textId="77777777" w:rsidR="00854EEA" w:rsidRPr="008821CD" w:rsidRDefault="00854EEA" w:rsidP="008821CD">
      <w:pPr>
        <w:pStyle w:val="Paragraphe"/>
        <w:spacing w:after="0" w:line="240" w:lineRule="auto"/>
      </w:pPr>
      <w:bookmarkStart w:id="0" w:name="_Hlk24535240"/>
    </w:p>
    <w:p w14:paraId="678F0DFC" w14:textId="3923B394" w:rsidR="00854EEA" w:rsidRPr="008821CD" w:rsidRDefault="00955BB3" w:rsidP="008821CD">
      <w:pPr>
        <w:pStyle w:val="Titrepartie"/>
        <w:spacing w:after="0" w:line="240" w:lineRule="auto"/>
        <w:ind w:left="0" w:firstLine="0"/>
        <w:contextualSpacing w:val="0"/>
        <w:rPr>
          <w:sz w:val="20"/>
        </w:rPr>
      </w:pPr>
      <w:r w:rsidRPr="008821CD">
        <w:rPr>
          <w:sz w:val="20"/>
        </w:rPr>
        <w:t>Résumé</w:t>
      </w:r>
    </w:p>
    <w:p w14:paraId="78E13577" w14:textId="77777777" w:rsidR="00D35109" w:rsidRPr="008821CD" w:rsidRDefault="00D35109" w:rsidP="008821CD">
      <w:pPr>
        <w:pStyle w:val="Titrepartie"/>
        <w:numPr>
          <w:ilvl w:val="0"/>
          <w:numId w:val="0"/>
        </w:numPr>
        <w:spacing w:after="0" w:line="240" w:lineRule="auto"/>
        <w:contextualSpacing w:val="0"/>
        <w:rPr>
          <w:sz w:val="20"/>
        </w:rPr>
      </w:pPr>
    </w:p>
    <w:p w14:paraId="22D21676" w14:textId="57E4EC35" w:rsidR="00A47559" w:rsidRPr="008821CD" w:rsidRDefault="00EB31DF" w:rsidP="008821CD">
      <w:pPr>
        <w:pStyle w:val="Titrepartie"/>
        <w:numPr>
          <w:ilvl w:val="0"/>
          <w:numId w:val="0"/>
        </w:numPr>
        <w:spacing w:after="0" w:line="240" w:lineRule="auto"/>
        <w:contextualSpacing w:val="0"/>
        <w:rPr>
          <w:b w:val="0"/>
          <w:bCs w:val="0"/>
          <w:color w:val="auto"/>
          <w:sz w:val="20"/>
        </w:rPr>
      </w:pPr>
      <w:r w:rsidRPr="008821CD">
        <w:rPr>
          <w:b w:val="0"/>
          <w:bCs w:val="0"/>
          <w:color w:val="auto"/>
          <w:sz w:val="20"/>
        </w:rPr>
        <w:t xml:space="preserve">Le cadre </w:t>
      </w:r>
      <w:r w:rsidR="000B39B3" w:rsidRPr="008821CD">
        <w:rPr>
          <w:b w:val="0"/>
          <w:bCs w:val="0"/>
          <w:color w:val="auto"/>
          <w:sz w:val="20"/>
        </w:rPr>
        <w:t xml:space="preserve">d’action de </w:t>
      </w:r>
      <w:r w:rsidRPr="008821CD">
        <w:rPr>
          <w:b w:val="0"/>
          <w:bCs w:val="0"/>
          <w:color w:val="auto"/>
          <w:sz w:val="20"/>
        </w:rPr>
        <w:t xml:space="preserve">Sendai </w:t>
      </w:r>
      <w:r w:rsidR="00604088" w:rsidRPr="008821CD">
        <w:rPr>
          <w:b w:val="0"/>
          <w:bCs w:val="0"/>
          <w:color w:val="auto"/>
          <w:sz w:val="20"/>
        </w:rPr>
        <w:t>pour la réduction des risques de catastrophe</w:t>
      </w:r>
      <w:r w:rsidR="00DB01BA" w:rsidRPr="008821CD">
        <w:rPr>
          <w:b w:val="0"/>
          <w:bCs w:val="0"/>
          <w:color w:val="auto"/>
          <w:sz w:val="20"/>
        </w:rPr>
        <w:t xml:space="preserve"> a</w:t>
      </w:r>
      <w:r w:rsidR="000B39B3" w:rsidRPr="008821CD">
        <w:rPr>
          <w:b w:val="0"/>
          <w:bCs w:val="0"/>
          <w:color w:val="auto"/>
          <w:sz w:val="20"/>
        </w:rPr>
        <w:t xml:space="preserve"> été adopté </w:t>
      </w:r>
      <w:r w:rsidR="001137C4" w:rsidRPr="008821CD">
        <w:rPr>
          <w:b w:val="0"/>
          <w:bCs w:val="0"/>
          <w:color w:val="auto"/>
          <w:sz w:val="20"/>
        </w:rPr>
        <w:t xml:space="preserve">à </w:t>
      </w:r>
      <w:r w:rsidR="000B39B3" w:rsidRPr="008821CD">
        <w:rPr>
          <w:b w:val="0"/>
          <w:bCs w:val="0"/>
          <w:color w:val="auto"/>
          <w:sz w:val="20"/>
        </w:rPr>
        <w:t>Sendai</w:t>
      </w:r>
      <w:r w:rsidR="00E54C35" w:rsidRPr="008821CD">
        <w:rPr>
          <w:b w:val="0"/>
          <w:bCs w:val="0"/>
          <w:color w:val="auto"/>
          <w:sz w:val="20"/>
        </w:rPr>
        <w:t>,</w:t>
      </w:r>
      <w:r w:rsidR="00C432AC" w:rsidRPr="008821CD">
        <w:rPr>
          <w:b w:val="0"/>
          <w:bCs w:val="0"/>
          <w:color w:val="auto"/>
          <w:sz w:val="20"/>
        </w:rPr>
        <w:t xml:space="preserve"> Japon </w:t>
      </w:r>
      <w:r w:rsidR="00604088" w:rsidRPr="008821CD">
        <w:rPr>
          <w:b w:val="0"/>
          <w:bCs w:val="0"/>
          <w:color w:val="auto"/>
          <w:sz w:val="20"/>
        </w:rPr>
        <w:t xml:space="preserve">en </w:t>
      </w:r>
      <w:r w:rsidR="00E54C35" w:rsidRPr="008821CD">
        <w:rPr>
          <w:b w:val="0"/>
          <w:bCs w:val="0"/>
          <w:color w:val="auto"/>
          <w:sz w:val="20"/>
        </w:rPr>
        <w:t>2015</w:t>
      </w:r>
      <w:r w:rsidR="000B39B3" w:rsidRPr="008821CD">
        <w:rPr>
          <w:b w:val="0"/>
          <w:bCs w:val="0"/>
          <w:color w:val="auto"/>
          <w:sz w:val="20"/>
        </w:rPr>
        <w:t>. Ce cadre met l’accent sur la prévention, la gestion</w:t>
      </w:r>
      <w:r w:rsidR="00DB01BA" w:rsidRPr="008821CD">
        <w:rPr>
          <w:b w:val="0"/>
          <w:bCs w:val="0"/>
          <w:color w:val="auto"/>
          <w:sz w:val="20"/>
        </w:rPr>
        <w:t xml:space="preserve"> proactive</w:t>
      </w:r>
      <w:r w:rsidR="000B39B3" w:rsidRPr="008821CD">
        <w:rPr>
          <w:b w:val="0"/>
          <w:bCs w:val="0"/>
          <w:color w:val="auto"/>
          <w:sz w:val="20"/>
        </w:rPr>
        <w:t xml:space="preserve"> et la réduction des risques de catastrophe plutôt que sur la</w:t>
      </w:r>
      <w:r w:rsidR="00DB01BA" w:rsidRPr="008821CD">
        <w:rPr>
          <w:b w:val="0"/>
          <w:bCs w:val="0"/>
          <w:color w:val="auto"/>
          <w:sz w:val="20"/>
        </w:rPr>
        <w:t xml:space="preserve"> seule</w:t>
      </w:r>
      <w:r w:rsidR="000B39B3" w:rsidRPr="008821CD">
        <w:rPr>
          <w:b w:val="0"/>
          <w:bCs w:val="0"/>
          <w:color w:val="auto"/>
          <w:sz w:val="20"/>
        </w:rPr>
        <w:t xml:space="preserve"> gestion des catastrophes</w:t>
      </w:r>
      <w:r w:rsidR="00DB01BA" w:rsidRPr="008821CD">
        <w:rPr>
          <w:b w:val="0"/>
          <w:bCs w:val="0"/>
          <w:color w:val="auto"/>
          <w:sz w:val="20"/>
        </w:rPr>
        <w:t xml:space="preserve"> une fois qu’elles surviennent</w:t>
      </w:r>
      <w:r w:rsidR="000B39B3" w:rsidRPr="008821CD">
        <w:rPr>
          <w:b w:val="0"/>
          <w:bCs w:val="0"/>
          <w:color w:val="auto"/>
          <w:sz w:val="20"/>
        </w:rPr>
        <w:t xml:space="preserve">. </w:t>
      </w:r>
      <w:r w:rsidR="009B5AF6" w:rsidRPr="008821CD">
        <w:rPr>
          <w:b w:val="0"/>
          <w:bCs w:val="0"/>
          <w:color w:val="auto"/>
          <w:sz w:val="20"/>
        </w:rPr>
        <w:t xml:space="preserve">Ce cadre d’action </w:t>
      </w:r>
      <w:r w:rsidR="007B768B" w:rsidRPr="008821CD">
        <w:rPr>
          <w:b w:val="0"/>
          <w:bCs w:val="0"/>
          <w:color w:val="auto"/>
          <w:sz w:val="20"/>
        </w:rPr>
        <w:t xml:space="preserve">englobe l’ensemble </w:t>
      </w:r>
      <w:r w:rsidR="00D35109" w:rsidRPr="008821CD">
        <w:rPr>
          <w:b w:val="0"/>
          <w:bCs w:val="0"/>
          <w:color w:val="auto"/>
          <w:sz w:val="20"/>
        </w:rPr>
        <w:t>des</w:t>
      </w:r>
      <w:r w:rsidR="00D35109" w:rsidRPr="008821CD" w:rsidDel="007B768B">
        <w:rPr>
          <w:color w:val="auto"/>
          <w:sz w:val="20"/>
        </w:rPr>
        <w:t xml:space="preserve"> </w:t>
      </w:r>
      <w:r w:rsidR="00D35109" w:rsidRPr="008821CD">
        <w:rPr>
          <w:b w:val="0"/>
          <w:bCs w:val="0"/>
          <w:color w:val="auto"/>
          <w:sz w:val="20"/>
        </w:rPr>
        <w:t>types</w:t>
      </w:r>
      <w:r w:rsidR="009B5AF6" w:rsidRPr="008821CD">
        <w:rPr>
          <w:b w:val="0"/>
          <w:bCs w:val="0"/>
          <w:color w:val="auto"/>
          <w:sz w:val="20"/>
        </w:rPr>
        <w:t xml:space="preserve"> de risque</w:t>
      </w:r>
      <w:r w:rsidR="007B768B" w:rsidRPr="008821CD">
        <w:rPr>
          <w:b w:val="0"/>
          <w:bCs w:val="0"/>
          <w:color w:val="auto"/>
          <w:sz w:val="20"/>
        </w:rPr>
        <w:t>s,</w:t>
      </w:r>
      <w:r w:rsidR="009B5AF6" w:rsidRPr="008821CD">
        <w:rPr>
          <w:b w:val="0"/>
          <w:bCs w:val="0"/>
          <w:color w:val="auto"/>
          <w:sz w:val="20"/>
        </w:rPr>
        <w:t xml:space="preserve"> </w:t>
      </w:r>
      <w:r w:rsidR="007B768B" w:rsidRPr="008821CD">
        <w:rPr>
          <w:b w:val="0"/>
          <w:bCs w:val="0"/>
          <w:color w:val="auto"/>
          <w:sz w:val="20"/>
        </w:rPr>
        <w:t>notamment</w:t>
      </w:r>
      <w:r w:rsidR="009B5AF6" w:rsidRPr="008821CD">
        <w:rPr>
          <w:b w:val="0"/>
          <w:bCs w:val="0"/>
          <w:color w:val="auto"/>
          <w:sz w:val="20"/>
        </w:rPr>
        <w:t xml:space="preserve"> biologique</w:t>
      </w:r>
      <w:r w:rsidR="007B768B" w:rsidRPr="008821CD">
        <w:rPr>
          <w:b w:val="0"/>
          <w:bCs w:val="0"/>
          <w:color w:val="auto"/>
          <w:sz w:val="20"/>
        </w:rPr>
        <w:t>s</w:t>
      </w:r>
      <w:r w:rsidR="009B5AF6" w:rsidRPr="008821CD">
        <w:rPr>
          <w:b w:val="0"/>
          <w:bCs w:val="0"/>
          <w:color w:val="auto"/>
          <w:sz w:val="20"/>
        </w:rPr>
        <w:t>, géologique</w:t>
      </w:r>
      <w:r w:rsidR="007B768B" w:rsidRPr="008821CD">
        <w:rPr>
          <w:b w:val="0"/>
          <w:bCs w:val="0"/>
          <w:color w:val="auto"/>
          <w:sz w:val="20"/>
        </w:rPr>
        <w:t>s</w:t>
      </w:r>
      <w:r w:rsidR="009B5AF6" w:rsidRPr="008821CD">
        <w:rPr>
          <w:b w:val="0"/>
          <w:bCs w:val="0"/>
          <w:color w:val="auto"/>
          <w:sz w:val="20"/>
        </w:rPr>
        <w:t>, chimique</w:t>
      </w:r>
      <w:r w:rsidR="007B768B" w:rsidRPr="008821CD">
        <w:rPr>
          <w:b w:val="0"/>
          <w:bCs w:val="0"/>
          <w:color w:val="auto"/>
          <w:sz w:val="20"/>
        </w:rPr>
        <w:t>s,</w:t>
      </w:r>
      <w:r w:rsidR="009B5AF6" w:rsidRPr="008821CD">
        <w:rPr>
          <w:b w:val="0"/>
          <w:bCs w:val="0"/>
          <w:color w:val="auto"/>
          <w:sz w:val="20"/>
        </w:rPr>
        <w:t xml:space="preserve"> </w:t>
      </w:r>
      <w:r w:rsidR="007B768B" w:rsidRPr="008821CD">
        <w:rPr>
          <w:b w:val="0"/>
          <w:bCs w:val="0"/>
          <w:color w:val="auto"/>
          <w:sz w:val="20"/>
        </w:rPr>
        <w:t>en plus</w:t>
      </w:r>
      <w:r w:rsidR="009B5AF6" w:rsidRPr="008821CD">
        <w:rPr>
          <w:b w:val="0"/>
          <w:bCs w:val="0"/>
          <w:color w:val="auto"/>
          <w:sz w:val="20"/>
        </w:rPr>
        <w:t xml:space="preserve"> des risques climatiques. </w:t>
      </w:r>
      <w:r w:rsidR="00F932EB" w:rsidRPr="008821CD">
        <w:rPr>
          <w:b w:val="0"/>
          <w:bCs w:val="0"/>
          <w:color w:val="auto"/>
          <w:sz w:val="20"/>
        </w:rPr>
        <w:t xml:space="preserve">Pour les pays de la zone </w:t>
      </w:r>
      <w:r w:rsidR="00E54C35" w:rsidRPr="008821CD">
        <w:rPr>
          <w:b w:val="0"/>
          <w:bCs w:val="0"/>
          <w:color w:val="auto"/>
          <w:sz w:val="20"/>
        </w:rPr>
        <w:t>océan</w:t>
      </w:r>
      <w:r w:rsidR="00F932EB" w:rsidRPr="008821CD">
        <w:rPr>
          <w:b w:val="0"/>
          <w:bCs w:val="0"/>
          <w:color w:val="auto"/>
          <w:sz w:val="20"/>
        </w:rPr>
        <w:t xml:space="preserve"> </w:t>
      </w:r>
      <w:r w:rsidR="001137C4" w:rsidRPr="008821CD">
        <w:rPr>
          <w:b w:val="0"/>
          <w:bCs w:val="0"/>
          <w:color w:val="auto"/>
          <w:sz w:val="20"/>
        </w:rPr>
        <w:t>I</w:t>
      </w:r>
      <w:r w:rsidR="00E54C35" w:rsidRPr="008821CD">
        <w:rPr>
          <w:b w:val="0"/>
          <w:bCs w:val="0"/>
          <w:color w:val="auto"/>
          <w:sz w:val="20"/>
        </w:rPr>
        <w:t>ndien,</w:t>
      </w:r>
      <w:r w:rsidR="00F932EB" w:rsidRPr="008821CD">
        <w:rPr>
          <w:b w:val="0"/>
          <w:bCs w:val="0"/>
          <w:color w:val="auto"/>
          <w:sz w:val="20"/>
        </w:rPr>
        <w:t xml:space="preserve"> </w:t>
      </w:r>
      <w:r w:rsidR="009B5AF6" w:rsidRPr="008821CD">
        <w:rPr>
          <w:b w:val="0"/>
          <w:bCs w:val="0"/>
          <w:color w:val="auto"/>
          <w:sz w:val="20"/>
        </w:rPr>
        <w:t>le</w:t>
      </w:r>
      <w:r w:rsidR="007B768B" w:rsidRPr="008821CD">
        <w:rPr>
          <w:b w:val="0"/>
          <w:bCs w:val="0"/>
          <w:color w:val="auto"/>
          <w:sz w:val="20"/>
        </w:rPr>
        <w:t>s</w:t>
      </w:r>
      <w:r w:rsidR="009B5AF6" w:rsidRPr="008821CD">
        <w:rPr>
          <w:b w:val="0"/>
          <w:bCs w:val="0"/>
          <w:color w:val="auto"/>
          <w:sz w:val="20"/>
        </w:rPr>
        <w:t xml:space="preserve"> risque</w:t>
      </w:r>
      <w:r w:rsidR="007B768B" w:rsidRPr="008821CD">
        <w:rPr>
          <w:b w:val="0"/>
          <w:bCs w:val="0"/>
          <w:color w:val="auto"/>
          <w:sz w:val="20"/>
        </w:rPr>
        <w:t>s</w:t>
      </w:r>
      <w:r w:rsidR="00F932EB" w:rsidRPr="008821CD">
        <w:rPr>
          <w:b w:val="0"/>
          <w:bCs w:val="0"/>
          <w:color w:val="auto"/>
          <w:sz w:val="20"/>
        </w:rPr>
        <w:t xml:space="preserve"> les plus récurrents sont li</w:t>
      </w:r>
      <w:r w:rsidR="007B768B" w:rsidRPr="008821CD">
        <w:rPr>
          <w:b w:val="0"/>
          <w:bCs w:val="0"/>
          <w:color w:val="auto"/>
          <w:sz w:val="20"/>
        </w:rPr>
        <w:t>é</w:t>
      </w:r>
      <w:r w:rsidR="00F932EB" w:rsidRPr="008821CD">
        <w:rPr>
          <w:b w:val="0"/>
          <w:bCs w:val="0"/>
          <w:color w:val="auto"/>
          <w:sz w:val="20"/>
        </w:rPr>
        <w:t xml:space="preserve">s </w:t>
      </w:r>
      <w:r w:rsidR="00E54C35" w:rsidRPr="008821CD">
        <w:rPr>
          <w:b w:val="0"/>
          <w:bCs w:val="0"/>
          <w:color w:val="auto"/>
          <w:sz w:val="20"/>
        </w:rPr>
        <w:t>aux aléas climatiques</w:t>
      </w:r>
      <w:r w:rsidR="00F932EB" w:rsidRPr="008821CD">
        <w:rPr>
          <w:b w:val="0"/>
          <w:bCs w:val="0"/>
          <w:color w:val="auto"/>
          <w:sz w:val="20"/>
        </w:rPr>
        <w:t xml:space="preserve">. </w:t>
      </w:r>
      <w:r w:rsidR="0030399A" w:rsidRPr="008821CD">
        <w:rPr>
          <w:b w:val="0"/>
          <w:bCs w:val="0"/>
          <w:color w:val="auto"/>
          <w:sz w:val="20"/>
        </w:rPr>
        <w:t xml:space="preserve">Le bassin sud-ouest </w:t>
      </w:r>
      <w:r w:rsidR="00E54C35" w:rsidRPr="008821CD">
        <w:rPr>
          <w:b w:val="0"/>
          <w:bCs w:val="0"/>
          <w:color w:val="auto"/>
          <w:sz w:val="20"/>
        </w:rPr>
        <w:t>de l’océan</w:t>
      </w:r>
      <w:r w:rsidR="0030399A" w:rsidRPr="008821CD">
        <w:rPr>
          <w:b w:val="0"/>
          <w:bCs w:val="0"/>
          <w:color w:val="auto"/>
          <w:sz w:val="20"/>
        </w:rPr>
        <w:t xml:space="preserve"> Indien est une des </w:t>
      </w:r>
      <w:r w:rsidRPr="008821CD">
        <w:rPr>
          <w:b w:val="0"/>
          <w:bCs w:val="0"/>
          <w:color w:val="auto"/>
          <w:sz w:val="20"/>
        </w:rPr>
        <w:t>régions</w:t>
      </w:r>
      <w:r w:rsidR="0030399A" w:rsidRPr="008821CD">
        <w:rPr>
          <w:b w:val="0"/>
          <w:bCs w:val="0"/>
          <w:color w:val="auto"/>
          <w:sz w:val="20"/>
        </w:rPr>
        <w:t xml:space="preserve"> le</w:t>
      </w:r>
      <w:r w:rsidR="007B768B" w:rsidRPr="008821CD">
        <w:rPr>
          <w:b w:val="0"/>
          <w:bCs w:val="0"/>
          <w:color w:val="auto"/>
          <w:sz w:val="20"/>
        </w:rPr>
        <w:t>s</w:t>
      </w:r>
      <w:r w:rsidR="0030399A" w:rsidRPr="008821CD">
        <w:rPr>
          <w:b w:val="0"/>
          <w:bCs w:val="0"/>
          <w:color w:val="auto"/>
          <w:sz w:val="20"/>
        </w:rPr>
        <w:t xml:space="preserve"> plus touch</w:t>
      </w:r>
      <w:r w:rsidR="009B5AF6" w:rsidRPr="008821CD">
        <w:rPr>
          <w:b w:val="0"/>
          <w:bCs w:val="0"/>
          <w:color w:val="auto"/>
          <w:sz w:val="20"/>
        </w:rPr>
        <w:t>é</w:t>
      </w:r>
      <w:r w:rsidR="007B768B" w:rsidRPr="008821CD">
        <w:rPr>
          <w:b w:val="0"/>
          <w:bCs w:val="0"/>
          <w:color w:val="auto"/>
          <w:sz w:val="20"/>
        </w:rPr>
        <w:t>es</w:t>
      </w:r>
      <w:r w:rsidR="0030399A" w:rsidRPr="008821CD">
        <w:rPr>
          <w:b w:val="0"/>
          <w:bCs w:val="0"/>
          <w:color w:val="auto"/>
          <w:sz w:val="20"/>
        </w:rPr>
        <w:t xml:space="preserve"> par </w:t>
      </w:r>
      <w:r w:rsidR="009D61F3" w:rsidRPr="008821CD">
        <w:rPr>
          <w:b w:val="0"/>
          <w:bCs w:val="0"/>
          <w:color w:val="auto"/>
          <w:sz w:val="20"/>
        </w:rPr>
        <w:t>les évènements climatiques</w:t>
      </w:r>
      <w:r w:rsidR="00850915" w:rsidRPr="008821CD">
        <w:rPr>
          <w:b w:val="0"/>
          <w:bCs w:val="0"/>
          <w:color w:val="auto"/>
          <w:sz w:val="20"/>
        </w:rPr>
        <w:t xml:space="preserve">, avec une intensification et </w:t>
      </w:r>
      <w:r w:rsidR="00583688" w:rsidRPr="008821CD">
        <w:rPr>
          <w:b w:val="0"/>
          <w:bCs w:val="0"/>
          <w:color w:val="auto"/>
          <w:sz w:val="20"/>
        </w:rPr>
        <w:t>une fréquence accrue</w:t>
      </w:r>
      <w:r w:rsidR="00850915" w:rsidRPr="008821CD">
        <w:rPr>
          <w:b w:val="0"/>
          <w:bCs w:val="0"/>
          <w:color w:val="auto"/>
          <w:sz w:val="20"/>
        </w:rPr>
        <w:t xml:space="preserve"> des phénomènes </w:t>
      </w:r>
      <w:r w:rsidR="00D35109" w:rsidRPr="008821CD">
        <w:rPr>
          <w:b w:val="0"/>
          <w:bCs w:val="0"/>
          <w:color w:val="auto"/>
          <w:sz w:val="20"/>
        </w:rPr>
        <w:t>extrêmes, notamment</w:t>
      </w:r>
      <w:r w:rsidR="00850915" w:rsidRPr="008821CD">
        <w:rPr>
          <w:b w:val="0"/>
          <w:bCs w:val="0"/>
          <w:color w:val="auto"/>
          <w:sz w:val="20"/>
        </w:rPr>
        <w:t xml:space="preserve"> une </w:t>
      </w:r>
      <w:r w:rsidR="008A7F20" w:rsidRPr="008821CD">
        <w:rPr>
          <w:b w:val="0"/>
          <w:bCs w:val="0"/>
          <w:color w:val="auto"/>
          <w:sz w:val="20"/>
        </w:rPr>
        <w:t>moyen</w:t>
      </w:r>
      <w:r w:rsidR="00850915" w:rsidRPr="008821CD">
        <w:rPr>
          <w:b w:val="0"/>
          <w:bCs w:val="0"/>
          <w:color w:val="auto"/>
          <w:sz w:val="20"/>
        </w:rPr>
        <w:t>ne d’environ</w:t>
      </w:r>
      <w:r w:rsidR="008A7F20" w:rsidRPr="008821CD">
        <w:rPr>
          <w:b w:val="0"/>
          <w:bCs w:val="0"/>
          <w:color w:val="auto"/>
          <w:sz w:val="20"/>
        </w:rPr>
        <w:t xml:space="preserve"> 8 cyclones tropicaux par an. </w:t>
      </w:r>
      <w:r w:rsidR="00850915" w:rsidRPr="008821CD">
        <w:rPr>
          <w:b w:val="0"/>
          <w:bCs w:val="0"/>
          <w:color w:val="auto"/>
          <w:sz w:val="20"/>
        </w:rPr>
        <w:t>Bien que</w:t>
      </w:r>
      <w:r w:rsidR="008A7F20" w:rsidRPr="008821CD">
        <w:rPr>
          <w:b w:val="0"/>
          <w:bCs w:val="0"/>
          <w:color w:val="auto"/>
          <w:sz w:val="20"/>
        </w:rPr>
        <w:t xml:space="preserve"> </w:t>
      </w:r>
      <w:r w:rsidR="0093795A" w:rsidRPr="008821CD">
        <w:rPr>
          <w:b w:val="0"/>
          <w:bCs w:val="0"/>
          <w:color w:val="auto"/>
          <w:sz w:val="20"/>
        </w:rPr>
        <w:t>les pertes humaines</w:t>
      </w:r>
      <w:r w:rsidR="008A7F20" w:rsidRPr="008821CD">
        <w:rPr>
          <w:b w:val="0"/>
          <w:bCs w:val="0"/>
          <w:color w:val="auto"/>
          <w:sz w:val="20"/>
        </w:rPr>
        <w:t xml:space="preserve"> </w:t>
      </w:r>
      <w:r w:rsidR="00850915" w:rsidRPr="008821CD">
        <w:rPr>
          <w:b w:val="0"/>
          <w:bCs w:val="0"/>
          <w:color w:val="auto"/>
          <w:sz w:val="20"/>
        </w:rPr>
        <w:t xml:space="preserve">aient </w:t>
      </w:r>
      <w:r w:rsidR="00395456">
        <w:rPr>
          <w:b w:val="0"/>
          <w:bCs w:val="0"/>
          <w:color w:val="auto"/>
          <w:sz w:val="20"/>
        </w:rPr>
        <w:t>diminué</w:t>
      </w:r>
      <w:r w:rsidR="00FD457F" w:rsidRPr="008821CD">
        <w:rPr>
          <w:b w:val="0"/>
          <w:bCs w:val="0"/>
          <w:color w:val="auto"/>
          <w:sz w:val="20"/>
        </w:rPr>
        <w:t>, les</w:t>
      </w:r>
      <w:r w:rsidR="0093795A" w:rsidRPr="008821CD">
        <w:rPr>
          <w:b w:val="0"/>
          <w:bCs w:val="0"/>
          <w:color w:val="auto"/>
          <w:sz w:val="20"/>
        </w:rPr>
        <w:t xml:space="preserve"> dégâts </w:t>
      </w:r>
      <w:r w:rsidR="00395456">
        <w:rPr>
          <w:b w:val="0"/>
          <w:bCs w:val="0"/>
          <w:color w:val="auto"/>
          <w:sz w:val="20"/>
        </w:rPr>
        <w:t xml:space="preserve">matériels </w:t>
      </w:r>
      <w:r w:rsidR="0093795A" w:rsidRPr="008821CD">
        <w:rPr>
          <w:b w:val="0"/>
          <w:bCs w:val="0"/>
          <w:color w:val="auto"/>
          <w:sz w:val="20"/>
        </w:rPr>
        <w:t xml:space="preserve">et </w:t>
      </w:r>
      <w:r w:rsidR="00850915" w:rsidRPr="008821CD">
        <w:rPr>
          <w:b w:val="0"/>
          <w:bCs w:val="0"/>
          <w:color w:val="auto"/>
          <w:sz w:val="20"/>
        </w:rPr>
        <w:t xml:space="preserve">les </w:t>
      </w:r>
      <w:r w:rsidR="0093795A" w:rsidRPr="008821CD">
        <w:rPr>
          <w:b w:val="0"/>
          <w:bCs w:val="0"/>
          <w:color w:val="auto"/>
          <w:sz w:val="20"/>
        </w:rPr>
        <w:t xml:space="preserve">perturbations des </w:t>
      </w:r>
      <w:r w:rsidR="00850915" w:rsidRPr="008821CD">
        <w:rPr>
          <w:b w:val="0"/>
          <w:bCs w:val="0"/>
          <w:color w:val="auto"/>
          <w:sz w:val="20"/>
        </w:rPr>
        <w:t>activités</w:t>
      </w:r>
      <w:r w:rsidR="00850915" w:rsidRPr="008821CD">
        <w:rPr>
          <w:color w:val="auto"/>
          <w:sz w:val="20"/>
        </w:rPr>
        <w:t xml:space="preserve"> </w:t>
      </w:r>
      <w:r w:rsidR="007045D6" w:rsidRPr="008821CD">
        <w:rPr>
          <w:b w:val="0"/>
          <w:bCs w:val="0"/>
          <w:color w:val="auto"/>
          <w:sz w:val="20"/>
        </w:rPr>
        <w:t>quotidien</w:t>
      </w:r>
      <w:r w:rsidR="00850915" w:rsidRPr="008821CD">
        <w:rPr>
          <w:b w:val="0"/>
          <w:bCs w:val="0"/>
          <w:color w:val="auto"/>
          <w:sz w:val="20"/>
        </w:rPr>
        <w:t>ne</w:t>
      </w:r>
      <w:r w:rsidR="007045D6" w:rsidRPr="008821CD">
        <w:rPr>
          <w:b w:val="0"/>
          <w:bCs w:val="0"/>
          <w:color w:val="auto"/>
          <w:sz w:val="20"/>
        </w:rPr>
        <w:t>s</w:t>
      </w:r>
      <w:r w:rsidR="00D64C78" w:rsidRPr="008821CD">
        <w:rPr>
          <w:b w:val="0"/>
          <w:bCs w:val="0"/>
          <w:color w:val="auto"/>
          <w:sz w:val="20"/>
        </w:rPr>
        <w:t xml:space="preserve"> des populations de la </w:t>
      </w:r>
      <w:r w:rsidR="007045D6" w:rsidRPr="008821CD">
        <w:rPr>
          <w:b w:val="0"/>
          <w:bCs w:val="0"/>
          <w:color w:val="auto"/>
          <w:sz w:val="20"/>
        </w:rPr>
        <w:t>région</w:t>
      </w:r>
      <w:r w:rsidR="00D64C78" w:rsidRPr="008821CD">
        <w:rPr>
          <w:b w:val="0"/>
          <w:bCs w:val="0"/>
          <w:color w:val="auto"/>
          <w:sz w:val="20"/>
        </w:rPr>
        <w:t xml:space="preserve"> </w:t>
      </w:r>
      <w:r w:rsidR="002F78BC" w:rsidRPr="008821CD">
        <w:rPr>
          <w:b w:val="0"/>
          <w:bCs w:val="0"/>
          <w:color w:val="auto"/>
          <w:sz w:val="20"/>
        </w:rPr>
        <w:t>ne sui</w:t>
      </w:r>
      <w:r w:rsidR="00433D47" w:rsidRPr="008821CD">
        <w:rPr>
          <w:b w:val="0"/>
          <w:bCs w:val="0"/>
          <w:color w:val="auto"/>
          <w:sz w:val="20"/>
        </w:rPr>
        <w:t>ven</w:t>
      </w:r>
      <w:r w:rsidR="002F78BC" w:rsidRPr="008821CD">
        <w:rPr>
          <w:b w:val="0"/>
          <w:bCs w:val="0"/>
          <w:color w:val="auto"/>
          <w:sz w:val="20"/>
        </w:rPr>
        <w:t xml:space="preserve">t pas </w:t>
      </w:r>
      <w:r w:rsidR="00433D47" w:rsidRPr="008821CD">
        <w:rPr>
          <w:b w:val="0"/>
          <w:bCs w:val="0"/>
          <w:color w:val="auto"/>
          <w:sz w:val="20"/>
        </w:rPr>
        <w:t>cette</w:t>
      </w:r>
      <w:r w:rsidR="002F78BC" w:rsidRPr="008821CD">
        <w:rPr>
          <w:b w:val="0"/>
          <w:bCs w:val="0"/>
          <w:color w:val="auto"/>
          <w:sz w:val="20"/>
        </w:rPr>
        <w:t xml:space="preserve"> tendance</w:t>
      </w:r>
      <w:r w:rsidR="00433D47" w:rsidRPr="008821CD">
        <w:rPr>
          <w:b w:val="0"/>
          <w:bCs w:val="0"/>
          <w:color w:val="auto"/>
          <w:sz w:val="20"/>
        </w:rPr>
        <w:t xml:space="preserve"> et </w:t>
      </w:r>
      <w:r w:rsidR="00395456">
        <w:rPr>
          <w:b w:val="0"/>
          <w:bCs w:val="0"/>
          <w:color w:val="auto"/>
          <w:sz w:val="20"/>
        </w:rPr>
        <w:t>demeurent</w:t>
      </w:r>
      <w:r w:rsidR="00433D47" w:rsidRPr="008821CD">
        <w:rPr>
          <w:b w:val="0"/>
          <w:bCs w:val="0"/>
          <w:color w:val="auto"/>
          <w:sz w:val="20"/>
        </w:rPr>
        <w:t xml:space="preserve"> significatifs</w:t>
      </w:r>
      <w:r w:rsidR="002F78BC" w:rsidRPr="008821CD">
        <w:rPr>
          <w:b w:val="0"/>
          <w:bCs w:val="0"/>
          <w:color w:val="auto"/>
          <w:sz w:val="20"/>
        </w:rPr>
        <w:t xml:space="preserve">. </w:t>
      </w:r>
      <w:r w:rsidR="00FD457F" w:rsidRPr="008821CD">
        <w:rPr>
          <w:b w:val="0"/>
          <w:bCs w:val="0"/>
          <w:color w:val="auto"/>
          <w:sz w:val="20"/>
        </w:rPr>
        <w:t>Des maisons</w:t>
      </w:r>
      <w:r w:rsidR="00F52EC4" w:rsidRPr="008821CD">
        <w:rPr>
          <w:b w:val="0"/>
          <w:bCs w:val="0"/>
          <w:color w:val="auto"/>
          <w:sz w:val="20"/>
        </w:rPr>
        <w:t xml:space="preserve"> et des routes </w:t>
      </w:r>
      <w:r w:rsidR="00FD457F" w:rsidRPr="008821CD">
        <w:rPr>
          <w:b w:val="0"/>
          <w:bCs w:val="0"/>
          <w:color w:val="auto"/>
          <w:sz w:val="20"/>
        </w:rPr>
        <w:t>inondées</w:t>
      </w:r>
      <w:r w:rsidR="00F52EC4" w:rsidRPr="008821CD">
        <w:rPr>
          <w:b w:val="0"/>
          <w:bCs w:val="0"/>
          <w:color w:val="auto"/>
          <w:sz w:val="20"/>
        </w:rPr>
        <w:t>, l</w:t>
      </w:r>
      <w:r w:rsidR="00395456">
        <w:rPr>
          <w:b w:val="0"/>
          <w:bCs w:val="0"/>
          <w:color w:val="auto"/>
          <w:sz w:val="20"/>
        </w:rPr>
        <w:t xml:space="preserve">a </w:t>
      </w:r>
      <w:r w:rsidR="00F52EC4" w:rsidRPr="008821CD">
        <w:rPr>
          <w:b w:val="0"/>
          <w:bCs w:val="0"/>
          <w:color w:val="auto"/>
          <w:sz w:val="20"/>
        </w:rPr>
        <w:t>dégradation de</w:t>
      </w:r>
      <w:r w:rsidR="00FD457F" w:rsidRPr="008821CD">
        <w:rPr>
          <w:b w:val="0"/>
          <w:bCs w:val="0"/>
          <w:color w:val="auto"/>
          <w:sz w:val="20"/>
        </w:rPr>
        <w:t xml:space="preserve">s zones </w:t>
      </w:r>
      <w:r w:rsidR="007D4F09" w:rsidRPr="008821CD">
        <w:rPr>
          <w:b w:val="0"/>
          <w:bCs w:val="0"/>
          <w:color w:val="auto"/>
          <w:sz w:val="20"/>
        </w:rPr>
        <w:t>côtières, la perte de biodiversité et</w:t>
      </w:r>
      <w:r w:rsidR="00CF7DC6" w:rsidRPr="008821CD">
        <w:rPr>
          <w:b w:val="0"/>
          <w:bCs w:val="0"/>
          <w:color w:val="auto"/>
          <w:sz w:val="20"/>
        </w:rPr>
        <w:t xml:space="preserve"> </w:t>
      </w:r>
      <w:r w:rsidR="005645E2" w:rsidRPr="008821CD">
        <w:rPr>
          <w:b w:val="0"/>
          <w:bCs w:val="0"/>
          <w:color w:val="auto"/>
          <w:sz w:val="20"/>
        </w:rPr>
        <w:t>la perturbation</w:t>
      </w:r>
      <w:r w:rsidR="00CF7DC6" w:rsidRPr="008821CD">
        <w:rPr>
          <w:b w:val="0"/>
          <w:bCs w:val="0"/>
          <w:color w:val="auto"/>
          <w:sz w:val="20"/>
        </w:rPr>
        <w:t xml:space="preserve"> des activités </w:t>
      </w:r>
      <w:r w:rsidR="00392930" w:rsidRPr="008821CD">
        <w:rPr>
          <w:b w:val="0"/>
          <w:bCs w:val="0"/>
          <w:color w:val="auto"/>
          <w:sz w:val="20"/>
        </w:rPr>
        <w:t>économiques</w:t>
      </w:r>
      <w:r w:rsidR="00CF7DC6" w:rsidRPr="008821CD">
        <w:rPr>
          <w:b w:val="0"/>
          <w:bCs w:val="0"/>
          <w:color w:val="auto"/>
          <w:sz w:val="20"/>
        </w:rPr>
        <w:t xml:space="preserve"> </w:t>
      </w:r>
      <w:r w:rsidR="00392930" w:rsidRPr="008821CD">
        <w:rPr>
          <w:b w:val="0"/>
          <w:bCs w:val="0"/>
          <w:color w:val="auto"/>
          <w:sz w:val="20"/>
        </w:rPr>
        <w:t xml:space="preserve">pèsent </w:t>
      </w:r>
      <w:r w:rsidR="00395456">
        <w:rPr>
          <w:b w:val="0"/>
          <w:bCs w:val="0"/>
          <w:color w:val="auto"/>
          <w:sz w:val="20"/>
        </w:rPr>
        <w:t>également</w:t>
      </w:r>
      <w:r w:rsidR="009B5AF6" w:rsidRPr="008821CD">
        <w:rPr>
          <w:b w:val="0"/>
          <w:bCs w:val="0"/>
          <w:color w:val="auto"/>
          <w:sz w:val="20"/>
        </w:rPr>
        <w:t xml:space="preserve"> </w:t>
      </w:r>
      <w:r w:rsidR="00392930" w:rsidRPr="008821CD">
        <w:rPr>
          <w:b w:val="0"/>
          <w:bCs w:val="0"/>
          <w:color w:val="auto"/>
          <w:sz w:val="20"/>
        </w:rPr>
        <w:t xml:space="preserve">sur les </w:t>
      </w:r>
      <w:r w:rsidR="00431E73" w:rsidRPr="008821CD">
        <w:rPr>
          <w:b w:val="0"/>
          <w:bCs w:val="0"/>
          <w:color w:val="auto"/>
          <w:sz w:val="20"/>
        </w:rPr>
        <w:t xml:space="preserve">économies des pays. </w:t>
      </w:r>
      <w:r w:rsidR="005645E2" w:rsidRPr="008821CD">
        <w:rPr>
          <w:b w:val="0"/>
          <w:bCs w:val="0"/>
          <w:color w:val="auto"/>
          <w:sz w:val="20"/>
        </w:rPr>
        <w:t xml:space="preserve">Au-delà </w:t>
      </w:r>
      <w:r w:rsidR="008C0EEC" w:rsidRPr="008821CD">
        <w:rPr>
          <w:b w:val="0"/>
          <w:bCs w:val="0"/>
          <w:color w:val="auto"/>
          <w:sz w:val="20"/>
        </w:rPr>
        <w:t xml:space="preserve">des aléas </w:t>
      </w:r>
      <w:r w:rsidR="00C314A3" w:rsidRPr="008821CD">
        <w:rPr>
          <w:b w:val="0"/>
          <w:bCs w:val="0"/>
          <w:color w:val="auto"/>
          <w:sz w:val="20"/>
        </w:rPr>
        <w:t xml:space="preserve">climatiques, </w:t>
      </w:r>
      <w:r w:rsidR="006C3E95" w:rsidRPr="008821CD">
        <w:rPr>
          <w:b w:val="0"/>
          <w:bCs w:val="0"/>
          <w:color w:val="auto"/>
          <w:sz w:val="20"/>
        </w:rPr>
        <w:t xml:space="preserve">d’autres types </w:t>
      </w:r>
      <w:r w:rsidR="00395456">
        <w:rPr>
          <w:b w:val="0"/>
          <w:bCs w:val="0"/>
          <w:color w:val="auto"/>
          <w:sz w:val="20"/>
        </w:rPr>
        <w:t>de menaces, notamment celles</w:t>
      </w:r>
      <w:r w:rsidR="006C3E95" w:rsidRPr="008821CD">
        <w:rPr>
          <w:b w:val="0"/>
          <w:bCs w:val="0"/>
          <w:color w:val="auto"/>
          <w:sz w:val="20"/>
        </w:rPr>
        <w:t xml:space="preserve"> qui</w:t>
      </w:r>
      <w:r w:rsidR="008B1DD5" w:rsidRPr="008821CD">
        <w:rPr>
          <w:b w:val="0"/>
          <w:bCs w:val="0"/>
          <w:color w:val="auto"/>
          <w:sz w:val="20"/>
        </w:rPr>
        <w:t xml:space="preserve"> entraine</w:t>
      </w:r>
      <w:r w:rsidR="00433D47" w:rsidRPr="008821CD">
        <w:rPr>
          <w:b w:val="0"/>
          <w:bCs w:val="0"/>
          <w:color w:val="auto"/>
          <w:sz w:val="20"/>
        </w:rPr>
        <w:t>nt</w:t>
      </w:r>
      <w:r w:rsidR="008B1DD5" w:rsidRPr="008821CD">
        <w:rPr>
          <w:b w:val="0"/>
          <w:bCs w:val="0"/>
          <w:color w:val="auto"/>
          <w:sz w:val="20"/>
        </w:rPr>
        <w:t xml:space="preserve"> des </w:t>
      </w:r>
      <w:r w:rsidR="00C314A3" w:rsidRPr="008821CD">
        <w:rPr>
          <w:b w:val="0"/>
          <w:bCs w:val="0"/>
          <w:color w:val="auto"/>
          <w:sz w:val="20"/>
        </w:rPr>
        <w:t xml:space="preserve">risques </w:t>
      </w:r>
      <w:r w:rsidR="00D35109" w:rsidRPr="008821CD">
        <w:rPr>
          <w:b w:val="0"/>
          <w:bCs w:val="0"/>
          <w:color w:val="auto"/>
          <w:sz w:val="20"/>
        </w:rPr>
        <w:t>sanitaires sont</w:t>
      </w:r>
      <w:r w:rsidR="008B1DD5" w:rsidRPr="008821CD">
        <w:rPr>
          <w:b w:val="0"/>
          <w:bCs w:val="0"/>
          <w:color w:val="auto"/>
          <w:sz w:val="20"/>
        </w:rPr>
        <w:t xml:space="preserve"> </w:t>
      </w:r>
      <w:r w:rsidR="00395456">
        <w:rPr>
          <w:b w:val="0"/>
          <w:bCs w:val="0"/>
          <w:color w:val="auto"/>
          <w:sz w:val="20"/>
        </w:rPr>
        <w:t>en augmentation</w:t>
      </w:r>
      <w:r w:rsidR="00433D47" w:rsidRPr="008821CD">
        <w:rPr>
          <w:b w:val="0"/>
          <w:bCs w:val="0"/>
          <w:color w:val="auto"/>
          <w:sz w:val="20"/>
        </w:rPr>
        <w:t xml:space="preserve">. On constate également une hausse des </w:t>
      </w:r>
      <w:r w:rsidR="00DC2DE7" w:rsidRPr="008821CD">
        <w:rPr>
          <w:b w:val="0"/>
          <w:bCs w:val="0"/>
          <w:color w:val="auto"/>
          <w:sz w:val="20"/>
        </w:rPr>
        <w:t>risques</w:t>
      </w:r>
      <w:r w:rsidR="007227A1" w:rsidRPr="008821CD">
        <w:rPr>
          <w:b w:val="0"/>
          <w:bCs w:val="0"/>
          <w:color w:val="auto"/>
          <w:sz w:val="20"/>
        </w:rPr>
        <w:t xml:space="preserve"> </w:t>
      </w:r>
      <w:r w:rsidR="0054164B" w:rsidRPr="008821CD">
        <w:rPr>
          <w:b w:val="0"/>
          <w:bCs w:val="0"/>
          <w:color w:val="auto"/>
          <w:sz w:val="20"/>
        </w:rPr>
        <w:t>d’incendies</w:t>
      </w:r>
      <w:r w:rsidR="00433D47" w:rsidRPr="008821CD">
        <w:rPr>
          <w:b w:val="0"/>
          <w:bCs w:val="0"/>
          <w:color w:val="auto"/>
          <w:sz w:val="20"/>
        </w:rPr>
        <w:t xml:space="preserve">, se manifestant </w:t>
      </w:r>
      <w:r w:rsidR="00F21CD8" w:rsidRPr="008821CD">
        <w:rPr>
          <w:b w:val="0"/>
          <w:bCs w:val="0"/>
          <w:color w:val="auto"/>
          <w:sz w:val="20"/>
        </w:rPr>
        <w:t xml:space="preserve">par </w:t>
      </w:r>
      <w:r w:rsidR="00395456">
        <w:rPr>
          <w:b w:val="0"/>
          <w:bCs w:val="0"/>
          <w:color w:val="auto"/>
          <w:sz w:val="20"/>
        </w:rPr>
        <w:t>d</w:t>
      </w:r>
      <w:r w:rsidR="002358B9" w:rsidRPr="008821CD">
        <w:rPr>
          <w:b w:val="0"/>
          <w:bCs w:val="0"/>
          <w:color w:val="auto"/>
          <w:sz w:val="20"/>
        </w:rPr>
        <w:t>es feux</w:t>
      </w:r>
      <w:r w:rsidR="007227A1" w:rsidRPr="008821CD">
        <w:rPr>
          <w:b w:val="0"/>
          <w:bCs w:val="0"/>
          <w:color w:val="auto"/>
          <w:sz w:val="20"/>
        </w:rPr>
        <w:t xml:space="preserve"> </w:t>
      </w:r>
      <w:r w:rsidR="002358B9" w:rsidRPr="008821CD">
        <w:rPr>
          <w:b w:val="0"/>
          <w:bCs w:val="0"/>
          <w:color w:val="auto"/>
          <w:sz w:val="20"/>
        </w:rPr>
        <w:t>de brousse</w:t>
      </w:r>
      <w:r w:rsidR="008E6EC8" w:rsidRPr="008821CD">
        <w:rPr>
          <w:b w:val="0"/>
          <w:bCs w:val="0"/>
          <w:color w:val="auto"/>
          <w:sz w:val="20"/>
        </w:rPr>
        <w:t xml:space="preserve">, </w:t>
      </w:r>
      <w:r w:rsidR="00433D47" w:rsidRPr="008821CD">
        <w:rPr>
          <w:b w:val="0"/>
          <w:bCs w:val="0"/>
          <w:color w:val="auto"/>
          <w:sz w:val="20"/>
        </w:rPr>
        <w:t xml:space="preserve">des </w:t>
      </w:r>
      <w:r w:rsidR="008E6EC8" w:rsidRPr="008821CD">
        <w:rPr>
          <w:b w:val="0"/>
          <w:bCs w:val="0"/>
          <w:color w:val="auto"/>
          <w:sz w:val="20"/>
        </w:rPr>
        <w:t>incendie</w:t>
      </w:r>
      <w:r w:rsidR="00395456">
        <w:rPr>
          <w:b w:val="0"/>
          <w:bCs w:val="0"/>
          <w:color w:val="auto"/>
          <w:sz w:val="20"/>
        </w:rPr>
        <w:t>s</w:t>
      </w:r>
      <w:r w:rsidR="00276492" w:rsidRPr="008821CD">
        <w:rPr>
          <w:b w:val="0"/>
          <w:bCs w:val="0"/>
          <w:color w:val="auto"/>
          <w:sz w:val="20"/>
        </w:rPr>
        <w:t xml:space="preserve"> domestiques</w:t>
      </w:r>
      <w:r w:rsidR="008E6EC8" w:rsidRPr="008821CD">
        <w:rPr>
          <w:b w:val="0"/>
          <w:bCs w:val="0"/>
          <w:color w:val="auto"/>
          <w:sz w:val="20"/>
        </w:rPr>
        <w:t xml:space="preserve"> </w:t>
      </w:r>
      <w:r w:rsidR="00D35109" w:rsidRPr="008821CD">
        <w:rPr>
          <w:b w:val="0"/>
          <w:bCs w:val="0"/>
          <w:color w:val="auto"/>
          <w:sz w:val="20"/>
        </w:rPr>
        <w:t>et d’immeubles</w:t>
      </w:r>
      <w:r w:rsidR="00276492" w:rsidRPr="008821CD">
        <w:rPr>
          <w:b w:val="0"/>
          <w:bCs w:val="0"/>
          <w:color w:val="auto"/>
          <w:sz w:val="20"/>
        </w:rPr>
        <w:t>,</w:t>
      </w:r>
      <w:r w:rsidR="000E10FA" w:rsidRPr="008821CD">
        <w:rPr>
          <w:b w:val="0"/>
          <w:bCs w:val="0"/>
          <w:color w:val="auto"/>
          <w:sz w:val="20"/>
        </w:rPr>
        <w:t xml:space="preserve"> </w:t>
      </w:r>
      <w:r w:rsidR="00276492" w:rsidRPr="008821CD">
        <w:rPr>
          <w:b w:val="0"/>
          <w:bCs w:val="0"/>
          <w:color w:val="auto"/>
          <w:sz w:val="20"/>
        </w:rPr>
        <w:t>ainsi que d</w:t>
      </w:r>
      <w:r w:rsidR="005F155D" w:rsidRPr="008821CD">
        <w:rPr>
          <w:b w:val="0"/>
          <w:bCs w:val="0"/>
          <w:color w:val="auto"/>
          <w:sz w:val="20"/>
        </w:rPr>
        <w:t>es incendie</w:t>
      </w:r>
      <w:r w:rsidR="00EB2E9F" w:rsidRPr="008821CD">
        <w:rPr>
          <w:b w:val="0"/>
          <w:bCs w:val="0"/>
          <w:color w:val="auto"/>
          <w:sz w:val="20"/>
        </w:rPr>
        <w:t>s</w:t>
      </w:r>
      <w:r w:rsidR="005F155D" w:rsidRPr="008821CD">
        <w:rPr>
          <w:b w:val="0"/>
          <w:bCs w:val="0"/>
          <w:color w:val="auto"/>
          <w:sz w:val="20"/>
        </w:rPr>
        <w:t xml:space="preserve"> dans les dépôt</w:t>
      </w:r>
      <w:r w:rsidR="00284BF4" w:rsidRPr="008821CD">
        <w:rPr>
          <w:b w:val="0"/>
          <w:bCs w:val="0"/>
          <w:color w:val="auto"/>
          <w:sz w:val="20"/>
        </w:rPr>
        <w:t>s</w:t>
      </w:r>
      <w:r w:rsidR="005F155D" w:rsidRPr="008821CD">
        <w:rPr>
          <w:b w:val="0"/>
          <w:bCs w:val="0"/>
          <w:color w:val="auto"/>
          <w:sz w:val="20"/>
        </w:rPr>
        <w:t xml:space="preserve"> de déchets</w:t>
      </w:r>
      <w:r w:rsidR="000E10FA" w:rsidRPr="008821CD">
        <w:rPr>
          <w:b w:val="0"/>
          <w:bCs w:val="0"/>
          <w:color w:val="auto"/>
          <w:sz w:val="20"/>
        </w:rPr>
        <w:t>.</w:t>
      </w:r>
      <w:r w:rsidR="009B5AF6" w:rsidRPr="008821CD">
        <w:rPr>
          <w:b w:val="0"/>
          <w:bCs w:val="0"/>
          <w:color w:val="auto"/>
          <w:sz w:val="20"/>
        </w:rPr>
        <w:t xml:space="preserve"> </w:t>
      </w:r>
      <w:r w:rsidR="006C3E95" w:rsidRPr="008821CD">
        <w:rPr>
          <w:b w:val="0"/>
          <w:bCs w:val="0"/>
          <w:color w:val="auto"/>
          <w:sz w:val="20"/>
        </w:rPr>
        <w:t xml:space="preserve">Sur </w:t>
      </w:r>
      <w:r w:rsidR="00395456">
        <w:rPr>
          <w:b w:val="0"/>
          <w:bCs w:val="0"/>
          <w:color w:val="auto"/>
          <w:sz w:val="20"/>
        </w:rPr>
        <w:t>cette</w:t>
      </w:r>
      <w:r w:rsidR="006C3E95" w:rsidRPr="008821CD">
        <w:rPr>
          <w:b w:val="0"/>
          <w:bCs w:val="0"/>
          <w:color w:val="auto"/>
          <w:sz w:val="20"/>
        </w:rPr>
        <w:t xml:space="preserve"> </w:t>
      </w:r>
      <w:r w:rsidR="007D3946" w:rsidRPr="008821CD">
        <w:rPr>
          <w:b w:val="0"/>
          <w:bCs w:val="0"/>
          <w:color w:val="auto"/>
          <w:sz w:val="20"/>
        </w:rPr>
        <w:t>thématique,</w:t>
      </w:r>
      <w:r w:rsidR="006C3E95" w:rsidRPr="008821CD">
        <w:rPr>
          <w:b w:val="0"/>
          <w:bCs w:val="0"/>
          <w:color w:val="auto"/>
          <w:sz w:val="20"/>
        </w:rPr>
        <w:t xml:space="preserve"> la COI collabore avec plusieurs partenaires tel</w:t>
      </w:r>
      <w:r w:rsidR="00276492" w:rsidRPr="008821CD">
        <w:rPr>
          <w:b w:val="0"/>
          <w:bCs w:val="0"/>
          <w:color w:val="auto"/>
          <w:sz w:val="20"/>
        </w:rPr>
        <w:t>s</w:t>
      </w:r>
      <w:r w:rsidR="006C3E95" w:rsidRPr="008821CD">
        <w:rPr>
          <w:b w:val="0"/>
          <w:bCs w:val="0"/>
          <w:color w:val="auto"/>
          <w:sz w:val="20"/>
        </w:rPr>
        <w:t xml:space="preserve"> que la </w:t>
      </w:r>
      <w:r w:rsidR="007D3946" w:rsidRPr="008821CD">
        <w:rPr>
          <w:b w:val="0"/>
          <w:bCs w:val="0"/>
          <w:color w:val="auto"/>
          <w:sz w:val="20"/>
        </w:rPr>
        <w:t>Plateforme d’intervention</w:t>
      </w:r>
      <w:r w:rsidR="006C3E95" w:rsidRPr="008821CD">
        <w:rPr>
          <w:b w:val="0"/>
          <w:bCs w:val="0"/>
          <w:color w:val="auto"/>
          <w:sz w:val="20"/>
        </w:rPr>
        <w:t xml:space="preserve"> </w:t>
      </w:r>
      <w:r w:rsidR="007D3946" w:rsidRPr="008821CD">
        <w:rPr>
          <w:b w:val="0"/>
          <w:bCs w:val="0"/>
          <w:color w:val="auto"/>
          <w:sz w:val="20"/>
        </w:rPr>
        <w:t>régional</w:t>
      </w:r>
      <w:r w:rsidR="00276492" w:rsidRPr="008821CD">
        <w:rPr>
          <w:b w:val="0"/>
          <w:bCs w:val="0"/>
          <w:color w:val="auto"/>
          <w:sz w:val="20"/>
        </w:rPr>
        <w:t>e</w:t>
      </w:r>
      <w:r w:rsidR="007D3946" w:rsidRPr="008821CD">
        <w:rPr>
          <w:b w:val="0"/>
          <w:bCs w:val="0"/>
          <w:color w:val="auto"/>
          <w:sz w:val="20"/>
        </w:rPr>
        <w:t xml:space="preserve"> </w:t>
      </w:r>
      <w:r w:rsidR="006C3E95" w:rsidRPr="008821CD">
        <w:rPr>
          <w:b w:val="0"/>
          <w:bCs w:val="0"/>
          <w:color w:val="auto"/>
          <w:sz w:val="20"/>
        </w:rPr>
        <w:t xml:space="preserve">de </w:t>
      </w:r>
      <w:r w:rsidR="007D3946" w:rsidRPr="008821CD">
        <w:rPr>
          <w:b w:val="0"/>
          <w:bCs w:val="0"/>
          <w:color w:val="auto"/>
          <w:sz w:val="20"/>
        </w:rPr>
        <w:t>l’océan Indien</w:t>
      </w:r>
      <w:r w:rsidR="006C3E95" w:rsidRPr="008821CD">
        <w:rPr>
          <w:b w:val="0"/>
          <w:bCs w:val="0"/>
          <w:color w:val="auto"/>
          <w:sz w:val="20"/>
        </w:rPr>
        <w:t xml:space="preserve"> (PIROI), le</w:t>
      </w:r>
      <w:r w:rsidR="002358B9" w:rsidRPr="008821CD">
        <w:rPr>
          <w:b w:val="0"/>
          <w:bCs w:val="0"/>
          <w:color w:val="auto"/>
          <w:sz w:val="20"/>
        </w:rPr>
        <w:t xml:space="preserve"> bureau des Nations Unies </w:t>
      </w:r>
      <w:r w:rsidR="008E0628" w:rsidRPr="008821CD">
        <w:rPr>
          <w:b w:val="0"/>
          <w:bCs w:val="0"/>
          <w:color w:val="auto"/>
          <w:sz w:val="20"/>
        </w:rPr>
        <w:t xml:space="preserve">pour la réduction des risques de catastrophe </w:t>
      </w:r>
      <w:r w:rsidR="00DC2DE7" w:rsidRPr="008821CD">
        <w:rPr>
          <w:b w:val="0"/>
          <w:bCs w:val="0"/>
          <w:color w:val="auto"/>
          <w:sz w:val="20"/>
        </w:rPr>
        <w:t>(</w:t>
      </w:r>
      <w:r w:rsidR="002358B9" w:rsidRPr="008821CD">
        <w:rPr>
          <w:b w:val="0"/>
          <w:bCs w:val="0"/>
          <w:color w:val="auto"/>
          <w:sz w:val="20"/>
        </w:rPr>
        <w:t>UNDRR</w:t>
      </w:r>
      <w:r w:rsidR="007D3946" w:rsidRPr="008821CD">
        <w:rPr>
          <w:b w:val="0"/>
          <w:bCs w:val="0"/>
          <w:color w:val="auto"/>
          <w:sz w:val="20"/>
        </w:rPr>
        <w:t xml:space="preserve">), la fédération internationale de </w:t>
      </w:r>
      <w:r w:rsidR="007D4F09" w:rsidRPr="008821CD">
        <w:rPr>
          <w:b w:val="0"/>
          <w:bCs w:val="0"/>
          <w:color w:val="auto"/>
          <w:sz w:val="20"/>
        </w:rPr>
        <w:t xml:space="preserve">la </w:t>
      </w:r>
      <w:r w:rsidR="00395456">
        <w:rPr>
          <w:b w:val="0"/>
          <w:bCs w:val="0"/>
          <w:color w:val="auto"/>
          <w:sz w:val="20"/>
        </w:rPr>
        <w:t>C</w:t>
      </w:r>
      <w:r w:rsidR="007D3946" w:rsidRPr="008821CD">
        <w:rPr>
          <w:b w:val="0"/>
          <w:bCs w:val="0"/>
          <w:color w:val="auto"/>
          <w:sz w:val="20"/>
        </w:rPr>
        <w:t>roi</w:t>
      </w:r>
      <w:r w:rsidR="007D4F09" w:rsidRPr="008821CD">
        <w:rPr>
          <w:b w:val="0"/>
          <w:bCs w:val="0"/>
          <w:color w:val="auto"/>
          <w:sz w:val="20"/>
        </w:rPr>
        <w:t>x</w:t>
      </w:r>
      <w:r w:rsidR="007D3946" w:rsidRPr="008821CD">
        <w:rPr>
          <w:b w:val="0"/>
          <w:bCs w:val="0"/>
          <w:color w:val="auto"/>
          <w:sz w:val="20"/>
        </w:rPr>
        <w:t xml:space="preserve"> rouge et </w:t>
      </w:r>
      <w:r w:rsidR="00395456">
        <w:rPr>
          <w:b w:val="0"/>
          <w:bCs w:val="0"/>
          <w:color w:val="auto"/>
          <w:sz w:val="20"/>
        </w:rPr>
        <w:t>C</w:t>
      </w:r>
      <w:r w:rsidR="007D3946" w:rsidRPr="008821CD">
        <w:rPr>
          <w:b w:val="0"/>
          <w:bCs w:val="0"/>
          <w:color w:val="auto"/>
          <w:sz w:val="20"/>
        </w:rPr>
        <w:t>roissant rouge (FICR) et entretien</w:t>
      </w:r>
      <w:r w:rsidR="00276492" w:rsidRPr="008821CD">
        <w:rPr>
          <w:b w:val="0"/>
          <w:bCs w:val="0"/>
          <w:color w:val="auto"/>
          <w:sz w:val="20"/>
        </w:rPr>
        <w:t>t</w:t>
      </w:r>
      <w:r w:rsidR="007D3946" w:rsidRPr="008821CD">
        <w:rPr>
          <w:b w:val="0"/>
          <w:bCs w:val="0"/>
          <w:color w:val="auto"/>
          <w:sz w:val="20"/>
        </w:rPr>
        <w:t xml:space="preserve"> </w:t>
      </w:r>
      <w:r w:rsidR="00395456">
        <w:rPr>
          <w:b w:val="0"/>
          <w:bCs w:val="0"/>
          <w:color w:val="auto"/>
          <w:sz w:val="20"/>
        </w:rPr>
        <w:t xml:space="preserve">également </w:t>
      </w:r>
      <w:r w:rsidR="007D3946" w:rsidRPr="008821CD">
        <w:rPr>
          <w:b w:val="0"/>
          <w:bCs w:val="0"/>
          <w:color w:val="auto"/>
          <w:sz w:val="20"/>
        </w:rPr>
        <w:t xml:space="preserve">des échanges </w:t>
      </w:r>
      <w:r w:rsidR="00D35109" w:rsidRPr="008821CD">
        <w:rPr>
          <w:b w:val="0"/>
          <w:bCs w:val="0"/>
          <w:color w:val="auto"/>
          <w:sz w:val="20"/>
        </w:rPr>
        <w:t>avec UN</w:t>
      </w:r>
      <w:r w:rsidR="00395456">
        <w:rPr>
          <w:b w:val="0"/>
          <w:bCs w:val="0"/>
          <w:color w:val="auto"/>
          <w:sz w:val="20"/>
        </w:rPr>
        <w:t>-</w:t>
      </w:r>
      <w:r w:rsidR="007D3946" w:rsidRPr="008821CD">
        <w:rPr>
          <w:b w:val="0"/>
          <w:bCs w:val="0"/>
          <w:color w:val="auto"/>
          <w:sz w:val="20"/>
        </w:rPr>
        <w:t>Habitat. La COI a également bénéficié d’un soutien d</w:t>
      </w:r>
      <w:r w:rsidR="00276492" w:rsidRPr="008821CD">
        <w:rPr>
          <w:b w:val="0"/>
          <w:bCs w:val="0"/>
          <w:color w:val="auto"/>
          <w:sz w:val="20"/>
        </w:rPr>
        <w:t>e l</w:t>
      </w:r>
      <w:r w:rsidR="007D3946" w:rsidRPr="008821CD">
        <w:rPr>
          <w:b w:val="0"/>
          <w:bCs w:val="0"/>
          <w:color w:val="auto"/>
          <w:sz w:val="20"/>
        </w:rPr>
        <w:t xml:space="preserve">’Australie à travers REDR Australie qui </w:t>
      </w:r>
      <w:r w:rsidR="007D4F09" w:rsidRPr="008821CD">
        <w:rPr>
          <w:b w:val="0"/>
          <w:bCs w:val="0"/>
          <w:color w:val="auto"/>
          <w:sz w:val="20"/>
        </w:rPr>
        <w:t xml:space="preserve">a permis d’ouvrir </w:t>
      </w:r>
      <w:r w:rsidR="00395456">
        <w:rPr>
          <w:b w:val="0"/>
          <w:bCs w:val="0"/>
          <w:color w:val="auto"/>
          <w:sz w:val="20"/>
        </w:rPr>
        <w:t>d</w:t>
      </w:r>
      <w:r w:rsidR="007D4F09" w:rsidRPr="008821CD">
        <w:rPr>
          <w:b w:val="0"/>
          <w:bCs w:val="0"/>
          <w:color w:val="auto"/>
          <w:sz w:val="20"/>
        </w:rPr>
        <w:t>es</w:t>
      </w:r>
      <w:r w:rsidR="007D3946" w:rsidRPr="008821CD">
        <w:rPr>
          <w:b w:val="0"/>
          <w:bCs w:val="0"/>
          <w:color w:val="auto"/>
          <w:sz w:val="20"/>
        </w:rPr>
        <w:t xml:space="preserve"> opportunités pour </w:t>
      </w:r>
      <w:r w:rsidR="00395456">
        <w:rPr>
          <w:b w:val="0"/>
          <w:bCs w:val="0"/>
          <w:color w:val="auto"/>
          <w:sz w:val="20"/>
        </w:rPr>
        <w:t>le renforcement de la coopération</w:t>
      </w:r>
      <w:r w:rsidR="007D3946" w:rsidRPr="008821CD">
        <w:rPr>
          <w:b w:val="0"/>
          <w:bCs w:val="0"/>
          <w:color w:val="auto"/>
          <w:sz w:val="20"/>
        </w:rPr>
        <w:t xml:space="preserve"> avec </w:t>
      </w:r>
      <w:r w:rsidR="00276492" w:rsidRPr="008821CD">
        <w:rPr>
          <w:b w:val="0"/>
          <w:bCs w:val="0"/>
          <w:color w:val="auto"/>
          <w:sz w:val="20"/>
        </w:rPr>
        <w:t>l’</w:t>
      </w:r>
      <w:r w:rsidR="007D3946" w:rsidRPr="008821CD">
        <w:rPr>
          <w:b w:val="0"/>
          <w:bCs w:val="0"/>
          <w:color w:val="auto"/>
          <w:sz w:val="20"/>
        </w:rPr>
        <w:t xml:space="preserve">Australie </w:t>
      </w:r>
      <w:r w:rsidR="00395456">
        <w:rPr>
          <w:b w:val="0"/>
          <w:bCs w:val="0"/>
          <w:color w:val="auto"/>
          <w:sz w:val="20"/>
        </w:rPr>
        <w:t>notamment par le biais de</w:t>
      </w:r>
      <w:r w:rsidR="007D3946" w:rsidRPr="008821CD">
        <w:rPr>
          <w:b w:val="0"/>
          <w:bCs w:val="0"/>
          <w:color w:val="auto"/>
          <w:sz w:val="20"/>
        </w:rPr>
        <w:t xml:space="preserve"> la Société Tetra Tec</w:t>
      </w:r>
      <w:r w:rsidR="007D4F09" w:rsidRPr="008821CD">
        <w:rPr>
          <w:b w:val="0"/>
          <w:bCs w:val="0"/>
          <w:color w:val="auto"/>
          <w:sz w:val="20"/>
        </w:rPr>
        <w:t>.</w:t>
      </w:r>
      <w:r w:rsidR="007D3946" w:rsidRPr="008821CD">
        <w:rPr>
          <w:b w:val="0"/>
          <w:bCs w:val="0"/>
          <w:color w:val="auto"/>
          <w:sz w:val="20"/>
        </w:rPr>
        <w:t xml:space="preserve">    </w:t>
      </w:r>
    </w:p>
    <w:p w14:paraId="06640C4B" w14:textId="77777777" w:rsidR="00A47559" w:rsidRPr="008821CD" w:rsidRDefault="00A47559" w:rsidP="008821CD">
      <w:pPr>
        <w:pStyle w:val="Titrepartie"/>
        <w:numPr>
          <w:ilvl w:val="0"/>
          <w:numId w:val="0"/>
        </w:numPr>
        <w:spacing w:after="0" w:line="240" w:lineRule="auto"/>
        <w:contextualSpacing w:val="0"/>
        <w:rPr>
          <w:b w:val="0"/>
          <w:bCs w:val="0"/>
          <w:color w:val="auto"/>
          <w:sz w:val="20"/>
        </w:rPr>
      </w:pPr>
    </w:p>
    <w:p w14:paraId="379313F7" w14:textId="7CEA7B0F" w:rsidR="0054164B" w:rsidRPr="008821CD" w:rsidRDefault="00A47559" w:rsidP="008821CD">
      <w:pPr>
        <w:pStyle w:val="Titrepartie"/>
        <w:numPr>
          <w:ilvl w:val="0"/>
          <w:numId w:val="0"/>
        </w:numPr>
        <w:spacing w:after="0" w:line="240" w:lineRule="auto"/>
        <w:contextualSpacing w:val="0"/>
        <w:rPr>
          <w:b w:val="0"/>
          <w:bCs w:val="0"/>
          <w:color w:val="auto"/>
          <w:sz w:val="20"/>
        </w:rPr>
      </w:pPr>
      <w:r w:rsidRPr="008821CD">
        <w:rPr>
          <w:b w:val="0"/>
          <w:bCs w:val="0"/>
          <w:color w:val="auto"/>
          <w:sz w:val="20"/>
        </w:rPr>
        <w:t xml:space="preserve">Cette </w:t>
      </w:r>
      <w:r w:rsidR="00EB2E9F" w:rsidRPr="008821CD">
        <w:rPr>
          <w:b w:val="0"/>
          <w:bCs w:val="0"/>
          <w:color w:val="auto"/>
          <w:sz w:val="20"/>
        </w:rPr>
        <w:t xml:space="preserve">fiche </w:t>
      </w:r>
      <w:r w:rsidR="00A261BB" w:rsidRPr="008821CD">
        <w:rPr>
          <w:b w:val="0"/>
          <w:bCs w:val="0"/>
          <w:color w:val="auto"/>
          <w:sz w:val="20"/>
        </w:rPr>
        <w:t>porte sur le projet</w:t>
      </w:r>
      <w:r w:rsidR="00386C3E" w:rsidRPr="008821CD">
        <w:rPr>
          <w:b w:val="0"/>
          <w:bCs w:val="0"/>
          <w:color w:val="auto"/>
          <w:sz w:val="20"/>
        </w:rPr>
        <w:t xml:space="preserve"> </w:t>
      </w:r>
      <w:r w:rsidR="00A261BB" w:rsidRPr="008821CD">
        <w:rPr>
          <w:b w:val="0"/>
          <w:bCs w:val="0"/>
          <w:color w:val="auto"/>
          <w:sz w:val="20"/>
        </w:rPr>
        <w:t>de renforcement de la résilience et gestion de la réponse aux catastrophes (RDRM-IO)</w:t>
      </w:r>
      <w:r w:rsidR="00A261BB" w:rsidRPr="008821CD">
        <w:rPr>
          <w:color w:val="auto"/>
          <w:sz w:val="20"/>
        </w:rPr>
        <w:t xml:space="preserve"> </w:t>
      </w:r>
      <w:r w:rsidR="00386C3E" w:rsidRPr="008821CD">
        <w:rPr>
          <w:b w:val="0"/>
          <w:bCs w:val="0"/>
          <w:color w:val="auto"/>
          <w:sz w:val="20"/>
        </w:rPr>
        <w:t>soutenu par l’</w:t>
      </w:r>
      <w:r w:rsidR="00BD77AA">
        <w:rPr>
          <w:b w:val="0"/>
          <w:bCs w:val="0"/>
          <w:color w:val="auto"/>
          <w:sz w:val="20"/>
        </w:rPr>
        <w:t>U</w:t>
      </w:r>
      <w:r w:rsidR="00386C3E" w:rsidRPr="008821CD">
        <w:rPr>
          <w:b w:val="0"/>
          <w:bCs w:val="0"/>
          <w:color w:val="auto"/>
          <w:sz w:val="20"/>
        </w:rPr>
        <w:t xml:space="preserve">nion </w:t>
      </w:r>
      <w:r w:rsidR="00EB2E9F" w:rsidRPr="008821CD">
        <w:rPr>
          <w:b w:val="0"/>
          <w:bCs w:val="0"/>
          <w:color w:val="auto"/>
          <w:sz w:val="20"/>
        </w:rPr>
        <w:t>européen</w:t>
      </w:r>
      <w:r w:rsidR="00276492" w:rsidRPr="008821CD">
        <w:rPr>
          <w:b w:val="0"/>
          <w:bCs w:val="0"/>
          <w:color w:val="auto"/>
          <w:sz w:val="20"/>
        </w:rPr>
        <w:t>ne</w:t>
      </w:r>
      <w:r w:rsidR="006C3E95" w:rsidRPr="008821CD">
        <w:rPr>
          <w:b w:val="0"/>
          <w:bCs w:val="0"/>
          <w:color w:val="auto"/>
          <w:sz w:val="20"/>
        </w:rPr>
        <w:t>, les</w:t>
      </w:r>
      <w:r w:rsidR="007766BF" w:rsidRPr="008821CD">
        <w:rPr>
          <w:b w:val="0"/>
          <w:bCs w:val="0"/>
          <w:color w:val="auto"/>
          <w:sz w:val="20"/>
        </w:rPr>
        <w:t xml:space="preserve"> partenariat</w:t>
      </w:r>
      <w:r w:rsidR="00EB2E9F" w:rsidRPr="008821CD">
        <w:rPr>
          <w:b w:val="0"/>
          <w:bCs w:val="0"/>
          <w:color w:val="auto"/>
          <w:sz w:val="20"/>
        </w:rPr>
        <w:t>s</w:t>
      </w:r>
      <w:r w:rsidR="007766BF" w:rsidRPr="008821CD">
        <w:rPr>
          <w:b w:val="0"/>
          <w:bCs w:val="0"/>
          <w:color w:val="auto"/>
          <w:sz w:val="20"/>
        </w:rPr>
        <w:t xml:space="preserve"> </w:t>
      </w:r>
      <w:r w:rsidR="00A261BB" w:rsidRPr="008821CD">
        <w:rPr>
          <w:b w:val="0"/>
          <w:bCs w:val="0"/>
          <w:color w:val="auto"/>
          <w:sz w:val="20"/>
        </w:rPr>
        <w:t>existants</w:t>
      </w:r>
      <w:r w:rsidR="006C3E95" w:rsidRPr="008821CD">
        <w:rPr>
          <w:b w:val="0"/>
          <w:bCs w:val="0"/>
          <w:color w:val="auto"/>
          <w:sz w:val="20"/>
        </w:rPr>
        <w:t xml:space="preserve"> </w:t>
      </w:r>
      <w:r w:rsidR="00BD77AA">
        <w:rPr>
          <w:b w:val="0"/>
          <w:bCs w:val="0"/>
          <w:color w:val="auto"/>
          <w:sz w:val="20"/>
        </w:rPr>
        <w:t>ainsi que l</w:t>
      </w:r>
      <w:r w:rsidR="00CB43D4" w:rsidRPr="008821CD">
        <w:rPr>
          <w:b w:val="0"/>
          <w:bCs w:val="0"/>
          <w:color w:val="auto"/>
          <w:sz w:val="20"/>
        </w:rPr>
        <w:t>es perspective</w:t>
      </w:r>
      <w:r w:rsidR="00EB2E9F" w:rsidRPr="008821CD">
        <w:rPr>
          <w:b w:val="0"/>
          <w:bCs w:val="0"/>
          <w:color w:val="auto"/>
          <w:sz w:val="20"/>
        </w:rPr>
        <w:t>s</w:t>
      </w:r>
      <w:r w:rsidR="00CB43D4" w:rsidRPr="008821CD">
        <w:rPr>
          <w:b w:val="0"/>
          <w:bCs w:val="0"/>
          <w:color w:val="auto"/>
          <w:sz w:val="20"/>
        </w:rPr>
        <w:t xml:space="preserve"> </w:t>
      </w:r>
      <w:r w:rsidR="00BD77AA">
        <w:rPr>
          <w:b w:val="0"/>
          <w:bCs w:val="0"/>
          <w:color w:val="auto"/>
          <w:sz w:val="20"/>
        </w:rPr>
        <w:t>de nouveaux</w:t>
      </w:r>
      <w:r w:rsidR="00A261BB" w:rsidRPr="008821CD">
        <w:rPr>
          <w:b w:val="0"/>
          <w:bCs w:val="0"/>
          <w:color w:val="auto"/>
          <w:sz w:val="20"/>
        </w:rPr>
        <w:t xml:space="preserve"> partenariats en vue de développer </w:t>
      </w:r>
      <w:r w:rsidR="00BD77AA">
        <w:rPr>
          <w:b w:val="0"/>
          <w:bCs w:val="0"/>
          <w:color w:val="auto"/>
          <w:sz w:val="20"/>
        </w:rPr>
        <w:t>d</w:t>
      </w:r>
      <w:r w:rsidR="00A261BB" w:rsidRPr="008821CD">
        <w:rPr>
          <w:b w:val="0"/>
          <w:bCs w:val="0"/>
          <w:color w:val="auto"/>
          <w:sz w:val="20"/>
        </w:rPr>
        <w:t>es programmes régionaux</w:t>
      </w:r>
      <w:r w:rsidR="00BD77AA">
        <w:rPr>
          <w:b w:val="0"/>
          <w:bCs w:val="0"/>
          <w:color w:val="auto"/>
          <w:sz w:val="20"/>
        </w:rPr>
        <w:t xml:space="preserve"> conjoints</w:t>
      </w:r>
      <w:r w:rsidR="00A261BB" w:rsidRPr="008821CD">
        <w:rPr>
          <w:b w:val="0"/>
          <w:bCs w:val="0"/>
          <w:color w:val="auto"/>
          <w:sz w:val="20"/>
        </w:rPr>
        <w:t>. Un point est fait également sur le MoU proposé avec UN</w:t>
      </w:r>
      <w:r w:rsidR="00276492" w:rsidRPr="008821CD">
        <w:rPr>
          <w:b w:val="0"/>
          <w:bCs w:val="0"/>
          <w:color w:val="auto"/>
          <w:sz w:val="20"/>
        </w:rPr>
        <w:t xml:space="preserve"> </w:t>
      </w:r>
      <w:r w:rsidR="00A261BB" w:rsidRPr="008821CD">
        <w:rPr>
          <w:b w:val="0"/>
          <w:bCs w:val="0"/>
          <w:color w:val="auto"/>
          <w:sz w:val="20"/>
        </w:rPr>
        <w:t>HABITAT</w:t>
      </w:r>
      <w:r w:rsidR="00CB43D4" w:rsidRPr="008821CD">
        <w:rPr>
          <w:b w:val="0"/>
          <w:bCs w:val="0"/>
          <w:color w:val="auto"/>
          <w:sz w:val="20"/>
        </w:rPr>
        <w:t xml:space="preserve"> </w:t>
      </w:r>
      <w:r w:rsidR="007D4F09" w:rsidRPr="008821CD">
        <w:rPr>
          <w:b w:val="0"/>
          <w:bCs w:val="0"/>
          <w:color w:val="auto"/>
          <w:sz w:val="20"/>
        </w:rPr>
        <w:t>et Tetra Tec</w:t>
      </w:r>
      <w:r w:rsidR="00BD77AA">
        <w:rPr>
          <w:b w:val="0"/>
          <w:bCs w:val="0"/>
          <w:color w:val="auto"/>
          <w:sz w:val="20"/>
        </w:rPr>
        <w:t xml:space="preserve">, pour lequel </w:t>
      </w:r>
      <w:r w:rsidR="00A261BB" w:rsidRPr="008821CD">
        <w:rPr>
          <w:b w:val="0"/>
          <w:bCs w:val="0"/>
          <w:color w:val="auto"/>
          <w:sz w:val="20"/>
        </w:rPr>
        <w:t>l</w:t>
      </w:r>
      <w:r w:rsidR="007D3946" w:rsidRPr="008821CD">
        <w:rPr>
          <w:b w:val="0"/>
          <w:bCs w:val="0"/>
          <w:color w:val="auto"/>
          <w:sz w:val="20"/>
        </w:rPr>
        <w:t xml:space="preserve">’accord des </w:t>
      </w:r>
      <w:r w:rsidR="00FC783B">
        <w:rPr>
          <w:b w:val="0"/>
          <w:bCs w:val="0"/>
          <w:color w:val="auto"/>
          <w:sz w:val="20"/>
        </w:rPr>
        <w:t>É</w:t>
      </w:r>
      <w:r w:rsidR="00FC783B" w:rsidRPr="008821CD">
        <w:rPr>
          <w:b w:val="0"/>
          <w:bCs w:val="0"/>
          <w:color w:val="auto"/>
          <w:sz w:val="20"/>
        </w:rPr>
        <w:t>tats</w:t>
      </w:r>
      <w:r w:rsidR="007D3946" w:rsidRPr="008821CD">
        <w:rPr>
          <w:b w:val="0"/>
          <w:bCs w:val="0"/>
          <w:color w:val="auto"/>
          <w:sz w:val="20"/>
        </w:rPr>
        <w:t xml:space="preserve"> membre</w:t>
      </w:r>
      <w:r w:rsidR="00BD77AA">
        <w:rPr>
          <w:b w:val="0"/>
          <w:bCs w:val="0"/>
          <w:color w:val="auto"/>
          <w:sz w:val="20"/>
        </w:rPr>
        <w:t>s</w:t>
      </w:r>
      <w:r w:rsidR="007D3946" w:rsidRPr="008821CD">
        <w:rPr>
          <w:b w:val="0"/>
          <w:bCs w:val="0"/>
          <w:color w:val="auto"/>
          <w:sz w:val="20"/>
        </w:rPr>
        <w:t xml:space="preserve"> est</w:t>
      </w:r>
      <w:r w:rsidR="00583688" w:rsidRPr="008821CD">
        <w:rPr>
          <w:b w:val="0"/>
          <w:bCs w:val="0"/>
          <w:color w:val="auto"/>
          <w:sz w:val="20"/>
        </w:rPr>
        <w:t xml:space="preserve"> </w:t>
      </w:r>
      <w:r w:rsidR="00F61170" w:rsidRPr="008821CD">
        <w:rPr>
          <w:b w:val="0"/>
          <w:bCs w:val="0"/>
          <w:color w:val="auto"/>
          <w:sz w:val="20"/>
        </w:rPr>
        <w:t>sollicit</w:t>
      </w:r>
      <w:r w:rsidR="007D3946" w:rsidRPr="008821CD">
        <w:rPr>
          <w:b w:val="0"/>
          <w:bCs w:val="0"/>
          <w:color w:val="auto"/>
          <w:sz w:val="20"/>
        </w:rPr>
        <w:t xml:space="preserve">é.   </w:t>
      </w:r>
    </w:p>
    <w:p w14:paraId="7F2AB683" w14:textId="77777777" w:rsidR="005B0E6B" w:rsidRPr="008821CD" w:rsidRDefault="005B0E6B" w:rsidP="008821CD">
      <w:pPr>
        <w:pStyle w:val="Paragraphe"/>
        <w:spacing w:after="0" w:line="240" w:lineRule="auto"/>
      </w:pPr>
    </w:p>
    <w:p w14:paraId="68009DDB" w14:textId="06AAE9C2" w:rsidR="0008468B" w:rsidRDefault="00955BB3" w:rsidP="008821CD">
      <w:pPr>
        <w:pStyle w:val="Titrepartie"/>
        <w:spacing w:after="0" w:line="240" w:lineRule="auto"/>
        <w:ind w:left="0" w:firstLine="0"/>
        <w:contextualSpacing w:val="0"/>
        <w:rPr>
          <w:sz w:val="20"/>
        </w:rPr>
      </w:pPr>
      <w:r w:rsidRPr="008821CD">
        <w:rPr>
          <w:sz w:val="20"/>
        </w:rPr>
        <w:t>Etat d’avancement</w:t>
      </w:r>
    </w:p>
    <w:p w14:paraId="4B49B7BD" w14:textId="77777777" w:rsidR="008821CD" w:rsidRPr="008821CD" w:rsidRDefault="008821CD" w:rsidP="008821CD">
      <w:pPr>
        <w:pStyle w:val="Titrepartie"/>
        <w:numPr>
          <w:ilvl w:val="0"/>
          <w:numId w:val="0"/>
        </w:numPr>
        <w:spacing w:after="0" w:line="240" w:lineRule="auto"/>
        <w:contextualSpacing w:val="0"/>
        <w:rPr>
          <w:sz w:val="20"/>
        </w:rPr>
      </w:pPr>
    </w:p>
    <w:p w14:paraId="3F8359F4" w14:textId="77777777" w:rsidR="005B3A54" w:rsidRPr="008821CD" w:rsidRDefault="005B3A54" w:rsidP="008821CD">
      <w:pPr>
        <w:pStyle w:val="Sous-partie2"/>
        <w:spacing w:after="0" w:line="240" w:lineRule="auto"/>
        <w:ind w:left="0" w:firstLine="0"/>
        <w:contextualSpacing w:val="0"/>
      </w:pPr>
      <w:bookmarkStart w:id="1" w:name="_heading=h.30j0zll" w:colFirst="0" w:colLast="0"/>
      <w:bookmarkEnd w:id="1"/>
      <w:r w:rsidRPr="008821CD">
        <w:t>Projet RDRM - IO</w:t>
      </w:r>
    </w:p>
    <w:p w14:paraId="2AF144A2" w14:textId="77777777" w:rsidR="008821CD" w:rsidRDefault="008821CD" w:rsidP="008821CD">
      <w:pPr>
        <w:spacing w:after="0" w:line="240" w:lineRule="auto"/>
        <w:jc w:val="both"/>
        <w:rPr>
          <w:rFonts w:ascii="Verdana" w:hAnsi="Verdana"/>
          <w:sz w:val="20"/>
          <w:szCs w:val="20"/>
        </w:rPr>
      </w:pPr>
      <w:bookmarkStart w:id="2" w:name="_Hlk212637784"/>
    </w:p>
    <w:p w14:paraId="431F6CF7" w14:textId="79D06BDA" w:rsidR="00A04BEB" w:rsidRDefault="005B3A54" w:rsidP="008821CD">
      <w:pPr>
        <w:spacing w:after="0" w:line="240" w:lineRule="auto"/>
        <w:jc w:val="both"/>
        <w:rPr>
          <w:rFonts w:ascii="Verdana" w:hAnsi="Verdana"/>
          <w:sz w:val="20"/>
          <w:szCs w:val="20"/>
        </w:rPr>
      </w:pPr>
      <w:r w:rsidRPr="008821CD">
        <w:rPr>
          <w:rFonts w:ascii="Verdana" w:hAnsi="Verdana"/>
          <w:sz w:val="20"/>
          <w:szCs w:val="20"/>
        </w:rPr>
        <w:t xml:space="preserve">Le projet de renforcement de la résilience et gestion de la réponse aux catastrophes (RDRM-IO) </w:t>
      </w:r>
      <w:bookmarkEnd w:id="2"/>
      <w:r w:rsidRPr="008821CD">
        <w:rPr>
          <w:rFonts w:ascii="Verdana" w:hAnsi="Verdana"/>
          <w:sz w:val="20"/>
          <w:szCs w:val="20"/>
        </w:rPr>
        <w:t>dont la Convention de financement a été signée entre la COI et l’Union européenne en décembre 2020</w:t>
      </w:r>
      <w:r w:rsidR="00F61170" w:rsidRPr="008821CD">
        <w:rPr>
          <w:rFonts w:ascii="Verdana" w:hAnsi="Verdana"/>
          <w:sz w:val="20"/>
          <w:szCs w:val="20"/>
        </w:rPr>
        <w:t xml:space="preserve"> a été formellement lancé en février 2022</w:t>
      </w:r>
      <w:r w:rsidR="00A261BB" w:rsidRPr="008821CD">
        <w:rPr>
          <w:rFonts w:ascii="Verdana" w:hAnsi="Verdana"/>
          <w:sz w:val="20"/>
          <w:szCs w:val="20"/>
        </w:rPr>
        <w:t>. Les activités sont en cours et</w:t>
      </w:r>
      <w:r w:rsidR="00326460" w:rsidRPr="008821CD">
        <w:rPr>
          <w:rFonts w:ascii="Verdana" w:hAnsi="Verdana"/>
          <w:sz w:val="20"/>
          <w:szCs w:val="20"/>
        </w:rPr>
        <w:t xml:space="preserve"> la date de fin de la période de mise en œuvre est </w:t>
      </w:r>
      <w:r w:rsidR="003C766F">
        <w:rPr>
          <w:rFonts w:ascii="Verdana" w:hAnsi="Verdana"/>
          <w:sz w:val="20"/>
          <w:szCs w:val="20"/>
        </w:rPr>
        <w:t>fixée au</w:t>
      </w:r>
      <w:r w:rsidR="00A261BB" w:rsidRPr="008821CD">
        <w:rPr>
          <w:rFonts w:ascii="Verdana" w:hAnsi="Verdana"/>
          <w:sz w:val="20"/>
          <w:szCs w:val="20"/>
        </w:rPr>
        <w:t xml:space="preserve"> 14 </w:t>
      </w:r>
      <w:r w:rsidR="00326460" w:rsidRPr="008821CD">
        <w:rPr>
          <w:rFonts w:ascii="Verdana" w:hAnsi="Verdana"/>
          <w:sz w:val="20"/>
          <w:szCs w:val="20"/>
        </w:rPr>
        <w:t xml:space="preserve">décembre 2025. </w:t>
      </w:r>
      <w:r w:rsidR="00134E98" w:rsidRPr="008821CD">
        <w:rPr>
          <w:rFonts w:ascii="Verdana" w:hAnsi="Verdana"/>
          <w:sz w:val="20"/>
          <w:szCs w:val="20"/>
        </w:rPr>
        <w:t xml:space="preserve">Depuis la tenue du </w:t>
      </w:r>
      <w:r w:rsidR="00CF71AC" w:rsidRPr="008821CD">
        <w:rPr>
          <w:rFonts w:ascii="Verdana" w:hAnsi="Verdana"/>
          <w:sz w:val="20"/>
          <w:szCs w:val="20"/>
        </w:rPr>
        <w:t>3</w:t>
      </w:r>
      <w:r w:rsidR="008E6D93" w:rsidRPr="003C766F">
        <w:rPr>
          <w:rFonts w:ascii="Verdana" w:hAnsi="Verdana"/>
          <w:sz w:val="20"/>
          <w:szCs w:val="20"/>
          <w:vertAlign w:val="superscript"/>
        </w:rPr>
        <w:t>e</w:t>
      </w:r>
      <w:r w:rsidR="008E6D93" w:rsidRPr="008821CD">
        <w:rPr>
          <w:rFonts w:ascii="Verdana" w:hAnsi="Verdana"/>
          <w:sz w:val="20"/>
          <w:szCs w:val="20"/>
        </w:rPr>
        <w:t xml:space="preserve"> </w:t>
      </w:r>
      <w:r w:rsidR="007D4F09" w:rsidRPr="008821CD">
        <w:rPr>
          <w:rFonts w:ascii="Verdana" w:hAnsi="Verdana"/>
          <w:sz w:val="20"/>
          <w:szCs w:val="20"/>
        </w:rPr>
        <w:t xml:space="preserve">Comité </w:t>
      </w:r>
      <w:r w:rsidR="008E6D93" w:rsidRPr="008821CD">
        <w:rPr>
          <w:rFonts w:ascii="Verdana" w:hAnsi="Verdana"/>
          <w:sz w:val="20"/>
          <w:szCs w:val="20"/>
        </w:rPr>
        <w:t>de</w:t>
      </w:r>
      <w:r w:rsidR="00134E98" w:rsidRPr="008821CD">
        <w:rPr>
          <w:rFonts w:ascii="Verdana" w:hAnsi="Verdana"/>
          <w:sz w:val="20"/>
          <w:szCs w:val="20"/>
        </w:rPr>
        <w:t xml:space="preserve"> </w:t>
      </w:r>
      <w:r w:rsidR="008E6D93" w:rsidRPr="008821CD">
        <w:rPr>
          <w:rFonts w:ascii="Verdana" w:hAnsi="Verdana"/>
          <w:sz w:val="20"/>
          <w:szCs w:val="20"/>
        </w:rPr>
        <w:t>Pilotage,</w:t>
      </w:r>
      <w:r w:rsidR="00CF71AC" w:rsidRPr="008821CD">
        <w:rPr>
          <w:rFonts w:ascii="Verdana" w:hAnsi="Verdana"/>
          <w:sz w:val="20"/>
          <w:szCs w:val="20"/>
        </w:rPr>
        <w:t xml:space="preserve"> les activités </w:t>
      </w:r>
      <w:r w:rsidR="008E6D93" w:rsidRPr="008821CD">
        <w:rPr>
          <w:rFonts w:ascii="Verdana" w:hAnsi="Verdana"/>
          <w:sz w:val="20"/>
          <w:szCs w:val="20"/>
        </w:rPr>
        <w:t>du projet</w:t>
      </w:r>
      <w:r w:rsidR="00CF71AC" w:rsidRPr="008821CD">
        <w:rPr>
          <w:rFonts w:ascii="Verdana" w:hAnsi="Verdana"/>
          <w:sz w:val="20"/>
          <w:szCs w:val="20"/>
        </w:rPr>
        <w:t xml:space="preserve"> </w:t>
      </w:r>
      <w:r w:rsidR="008E6D93" w:rsidRPr="008821CD">
        <w:rPr>
          <w:rFonts w:ascii="Verdana" w:hAnsi="Verdana"/>
          <w:sz w:val="20"/>
          <w:szCs w:val="20"/>
        </w:rPr>
        <w:t xml:space="preserve">ont bien </w:t>
      </w:r>
      <w:r w:rsidR="00A261BB" w:rsidRPr="008821CD">
        <w:rPr>
          <w:rFonts w:ascii="Verdana" w:hAnsi="Verdana"/>
          <w:sz w:val="20"/>
          <w:szCs w:val="20"/>
        </w:rPr>
        <w:t>avancé</w:t>
      </w:r>
      <w:r w:rsidR="008E6D93" w:rsidRPr="008821CD">
        <w:rPr>
          <w:rFonts w:ascii="Verdana" w:hAnsi="Verdana"/>
          <w:sz w:val="20"/>
          <w:szCs w:val="20"/>
        </w:rPr>
        <w:t xml:space="preserve">. Le taux de </w:t>
      </w:r>
      <w:r w:rsidR="00DC0E85" w:rsidRPr="008821CD">
        <w:rPr>
          <w:rFonts w:ascii="Verdana" w:hAnsi="Verdana"/>
          <w:sz w:val="20"/>
          <w:szCs w:val="20"/>
        </w:rPr>
        <w:t>décaissement</w:t>
      </w:r>
      <w:r w:rsidR="008E6D93" w:rsidRPr="008821CD">
        <w:rPr>
          <w:rFonts w:ascii="Verdana" w:hAnsi="Verdana"/>
          <w:sz w:val="20"/>
          <w:szCs w:val="20"/>
        </w:rPr>
        <w:t xml:space="preserve"> sur</w:t>
      </w:r>
      <w:r w:rsidR="00DC0E85" w:rsidRPr="008821CD">
        <w:rPr>
          <w:rFonts w:ascii="Verdana" w:hAnsi="Verdana"/>
          <w:sz w:val="20"/>
          <w:szCs w:val="20"/>
        </w:rPr>
        <w:t xml:space="preserve"> la Convention de financement est </w:t>
      </w:r>
      <w:r w:rsidR="007D4F09" w:rsidRPr="008821CD">
        <w:rPr>
          <w:rFonts w:ascii="Verdana" w:hAnsi="Verdana"/>
          <w:sz w:val="20"/>
          <w:szCs w:val="20"/>
        </w:rPr>
        <w:t>d’environ 90</w:t>
      </w:r>
      <w:r w:rsidR="00DC0E85" w:rsidRPr="008821CD">
        <w:rPr>
          <w:rFonts w:ascii="Verdana" w:hAnsi="Verdana"/>
          <w:sz w:val="20"/>
          <w:szCs w:val="20"/>
        </w:rPr>
        <w:t>%</w:t>
      </w:r>
      <w:r w:rsidR="003C766F">
        <w:rPr>
          <w:rFonts w:ascii="Verdana" w:hAnsi="Verdana"/>
          <w:sz w:val="20"/>
          <w:szCs w:val="20"/>
        </w:rPr>
        <w:t>. Ce chiffre tient</w:t>
      </w:r>
      <w:r w:rsidR="00BB6E74" w:rsidRPr="008821CD">
        <w:rPr>
          <w:rFonts w:ascii="Verdana" w:hAnsi="Verdana"/>
          <w:sz w:val="20"/>
          <w:szCs w:val="20"/>
        </w:rPr>
        <w:t xml:space="preserve"> compte </w:t>
      </w:r>
      <w:r w:rsidR="003C766F">
        <w:rPr>
          <w:rFonts w:ascii="Verdana" w:hAnsi="Verdana"/>
          <w:sz w:val="20"/>
          <w:szCs w:val="20"/>
        </w:rPr>
        <w:t>du c</w:t>
      </w:r>
      <w:r w:rsidR="00BB6E74" w:rsidRPr="008821CD">
        <w:rPr>
          <w:rFonts w:ascii="Verdana" w:hAnsi="Verdana"/>
          <w:sz w:val="20"/>
          <w:szCs w:val="20"/>
        </w:rPr>
        <w:t xml:space="preserve">ontrat de Subvention </w:t>
      </w:r>
      <w:r w:rsidR="007D4F09" w:rsidRPr="008821CD">
        <w:rPr>
          <w:rFonts w:ascii="Verdana" w:hAnsi="Verdana"/>
          <w:sz w:val="20"/>
          <w:szCs w:val="20"/>
        </w:rPr>
        <w:t>sign</w:t>
      </w:r>
      <w:r w:rsidR="00F61170" w:rsidRPr="008821CD">
        <w:rPr>
          <w:rFonts w:ascii="Verdana" w:hAnsi="Verdana"/>
          <w:sz w:val="20"/>
          <w:szCs w:val="20"/>
        </w:rPr>
        <w:t>é</w:t>
      </w:r>
      <w:r w:rsidR="007D4F09" w:rsidRPr="008821CD">
        <w:rPr>
          <w:rFonts w:ascii="Verdana" w:hAnsi="Verdana"/>
          <w:sz w:val="20"/>
          <w:szCs w:val="20"/>
        </w:rPr>
        <w:t xml:space="preserve"> entre l’UE et </w:t>
      </w:r>
      <w:r w:rsidR="00BB6E74" w:rsidRPr="008821CD">
        <w:rPr>
          <w:rFonts w:ascii="Verdana" w:hAnsi="Verdana"/>
          <w:sz w:val="20"/>
          <w:szCs w:val="20"/>
        </w:rPr>
        <w:t>la PIROI</w:t>
      </w:r>
      <w:r w:rsidR="003C766F">
        <w:rPr>
          <w:rFonts w:ascii="Verdana" w:hAnsi="Verdana"/>
          <w:sz w:val="20"/>
          <w:szCs w:val="20"/>
        </w:rPr>
        <w:t xml:space="preserve">, </w:t>
      </w:r>
      <w:r w:rsidR="00A261BB" w:rsidRPr="008821CD">
        <w:rPr>
          <w:rFonts w:ascii="Verdana" w:hAnsi="Verdana"/>
          <w:sz w:val="20"/>
          <w:szCs w:val="20"/>
        </w:rPr>
        <w:t xml:space="preserve">arrivé à </w:t>
      </w:r>
      <w:r w:rsidR="002A2288" w:rsidRPr="008821CD">
        <w:rPr>
          <w:rFonts w:ascii="Verdana" w:hAnsi="Verdana"/>
          <w:sz w:val="20"/>
          <w:szCs w:val="20"/>
        </w:rPr>
        <w:t>terme durant</w:t>
      </w:r>
      <w:r w:rsidR="009140B2" w:rsidRPr="008821CD">
        <w:rPr>
          <w:rFonts w:ascii="Verdana" w:hAnsi="Verdana"/>
          <w:sz w:val="20"/>
          <w:szCs w:val="20"/>
        </w:rPr>
        <w:t xml:space="preserve"> le </w:t>
      </w:r>
      <w:r w:rsidR="008722FB" w:rsidRPr="008821CD">
        <w:rPr>
          <w:rFonts w:ascii="Verdana" w:hAnsi="Verdana"/>
          <w:sz w:val="20"/>
          <w:szCs w:val="20"/>
        </w:rPr>
        <w:t>premier semestre de 2025</w:t>
      </w:r>
      <w:r w:rsidR="00064264" w:rsidRPr="008821CD">
        <w:rPr>
          <w:rFonts w:ascii="Verdana" w:hAnsi="Verdana"/>
          <w:sz w:val="20"/>
          <w:szCs w:val="20"/>
        </w:rPr>
        <w:t xml:space="preserve"> ; </w:t>
      </w:r>
      <w:r w:rsidR="003C766F">
        <w:rPr>
          <w:rFonts w:ascii="Verdana" w:hAnsi="Verdana"/>
          <w:sz w:val="20"/>
          <w:szCs w:val="20"/>
        </w:rPr>
        <w:t>du</w:t>
      </w:r>
      <w:r w:rsidR="00827B59" w:rsidRPr="008821CD">
        <w:rPr>
          <w:rFonts w:ascii="Verdana" w:hAnsi="Verdana"/>
          <w:sz w:val="20"/>
          <w:szCs w:val="20"/>
        </w:rPr>
        <w:t xml:space="preserve"> contrat avec UNDRR </w:t>
      </w:r>
      <w:r w:rsidR="003C766F">
        <w:rPr>
          <w:rFonts w:ascii="Verdana" w:hAnsi="Verdana"/>
          <w:sz w:val="20"/>
          <w:szCs w:val="20"/>
        </w:rPr>
        <w:t>actuellement</w:t>
      </w:r>
      <w:r w:rsidR="002A2288" w:rsidRPr="008821CD">
        <w:rPr>
          <w:rFonts w:ascii="Verdana" w:hAnsi="Verdana"/>
          <w:sz w:val="20"/>
          <w:szCs w:val="20"/>
        </w:rPr>
        <w:t xml:space="preserve"> en cours </w:t>
      </w:r>
      <w:r w:rsidR="00827B59" w:rsidRPr="008821CD">
        <w:rPr>
          <w:rFonts w:ascii="Verdana" w:hAnsi="Verdana"/>
          <w:sz w:val="20"/>
          <w:szCs w:val="20"/>
        </w:rPr>
        <w:t xml:space="preserve">et </w:t>
      </w:r>
      <w:r w:rsidR="003C766F">
        <w:rPr>
          <w:rFonts w:ascii="Verdana" w:hAnsi="Verdana"/>
          <w:sz w:val="20"/>
          <w:szCs w:val="20"/>
        </w:rPr>
        <w:t>du</w:t>
      </w:r>
      <w:r w:rsidR="00827B59" w:rsidRPr="008821CD">
        <w:rPr>
          <w:rFonts w:ascii="Verdana" w:hAnsi="Verdana"/>
          <w:sz w:val="20"/>
          <w:szCs w:val="20"/>
        </w:rPr>
        <w:t xml:space="preserve"> D</w:t>
      </w:r>
      <w:r w:rsidR="009104D2" w:rsidRPr="008821CD">
        <w:rPr>
          <w:rFonts w:ascii="Verdana" w:hAnsi="Verdana"/>
          <w:sz w:val="20"/>
          <w:szCs w:val="20"/>
        </w:rPr>
        <w:t>evis Programme mis</w:t>
      </w:r>
      <w:r w:rsidR="00D35109" w:rsidRPr="008821CD">
        <w:rPr>
          <w:rFonts w:ascii="Verdana" w:hAnsi="Verdana"/>
          <w:sz w:val="20"/>
          <w:szCs w:val="20"/>
        </w:rPr>
        <w:t xml:space="preserve"> </w:t>
      </w:r>
      <w:r w:rsidR="009104D2" w:rsidRPr="008821CD">
        <w:rPr>
          <w:rFonts w:ascii="Verdana" w:hAnsi="Verdana"/>
          <w:sz w:val="20"/>
          <w:szCs w:val="20"/>
        </w:rPr>
        <w:t xml:space="preserve">en </w:t>
      </w:r>
      <w:r w:rsidR="006A541A" w:rsidRPr="008821CD">
        <w:rPr>
          <w:rFonts w:ascii="Verdana" w:hAnsi="Verdana"/>
          <w:sz w:val="20"/>
          <w:szCs w:val="20"/>
        </w:rPr>
        <w:t>œuvre par</w:t>
      </w:r>
      <w:r w:rsidR="009104D2" w:rsidRPr="008821CD">
        <w:rPr>
          <w:rFonts w:ascii="Verdana" w:hAnsi="Verdana"/>
          <w:sz w:val="20"/>
          <w:szCs w:val="20"/>
        </w:rPr>
        <w:t xml:space="preserve"> la COI</w:t>
      </w:r>
      <w:r w:rsidR="002A2288" w:rsidRPr="008821CD">
        <w:rPr>
          <w:rFonts w:ascii="Verdana" w:hAnsi="Verdana"/>
          <w:sz w:val="20"/>
          <w:szCs w:val="20"/>
        </w:rPr>
        <w:t>. Le contrat de UNDRR et le DP de la COI s’achèveront</w:t>
      </w:r>
      <w:r w:rsidR="00827B59" w:rsidRPr="008821CD">
        <w:rPr>
          <w:rFonts w:ascii="Verdana" w:hAnsi="Verdana"/>
          <w:sz w:val="20"/>
          <w:szCs w:val="20"/>
        </w:rPr>
        <w:t xml:space="preserve"> </w:t>
      </w:r>
      <w:r w:rsidR="002A2288" w:rsidRPr="008821CD">
        <w:rPr>
          <w:rFonts w:ascii="Verdana" w:hAnsi="Verdana"/>
          <w:sz w:val="20"/>
          <w:szCs w:val="20"/>
        </w:rPr>
        <w:t>le 14</w:t>
      </w:r>
      <w:r w:rsidR="00827B59" w:rsidRPr="008821CD">
        <w:rPr>
          <w:rFonts w:ascii="Verdana" w:hAnsi="Verdana"/>
          <w:sz w:val="20"/>
          <w:szCs w:val="20"/>
        </w:rPr>
        <w:t xml:space="preserve"> </w:t>
      </w:r>
      <w:r w:rsidR="00E15B35" w:rsidRPr="008821CD">
        <w:rPr>
          <w:rFonts w:ascii="Verdana" w:hAnsi="Verdana"/>
          <w:sz w:val="20"/>
          <w:szCs w:val="20"/>
        </w:rPr>
        <w:t>décembre</w:t>
      </w:r>
      <w:r w:rsidR="00827B59" w:rsidRPr="008821CD">
        <w:rPr>
          <w:rFonts w:ascii="Verdana" w:hAnsi="Verdana"/>
          <w:sz w:val="20"/>
          <w:szCs w:val="20"/>
        </w:rPr>
        <w:t xml:space="preserve"> 2025</w:t>
      </w:r>
      <w:r w:rsidR="00E15B35" w:rsidRPr="008821CD">
        <w:rPr>
          <w:rFonts w:ascii="Verdana" w:hAnsi="Verdana"/>
          <w:sz w:val="20"/>
          <w:szCs w:val="20"/>
        </w:rPr>
        <w:t>.</w:t>
      </w:r>
    </w:p>
    <w:p w14:paraId="0CE3DD87" w14:textId="77777777" w:rsidR="008821CD" w:rsidRPr="008821CD" w:rsidRDefault="008821CD" w:rsidP="008821CD">
      <w:pPr>
        <w:spacing w:after="0" w:line="240" w:lineRule="auto"/>
        <w:jc w:val="both"/>
        <w:rPr>
          <w:rFonts w:ascii="Verdana" w:hAnsi="Verdana"/>
          <w:sz w:val="20"/>
          <w:szCs w:val="20"/>
        </w:rPr>
      </w:pPr>
    </w:p>
    <w:p w14:paraId="67CD94A8" w14:textId="6B9D07C9" w:rsidR="007B023D" w:rsidRDefault="007B023D" w:rsidP="008821CD">
      <w:pPr>
        <w:spacing w:after="0" w:line="240" w:lineRule="auto"/>
        <w:jc w:val="both"/>
        <w:rPr>
          <w:rFonts w:ascii="Verdana" w:hAnsi="Verdana"/>
          <w:sz w:val="20"/>
          <w:szCs w:val="20"/>
        </w:rPr>
      </w:pPr>
      <w:r w:rsidRPr="008821CD">
        <w:rPr>
          <w:rFonts w:ascii="Verdana" w:hAnsi="Verdana"/>
          <w:sz w:val="20"/>
          <w:szCs w:val="20"/>
        </w:rPr>
        <w:t xml:space="preserve">Bien que la subvention octroyée à la Plateforme d’intervention régionale de l’océan Indien (PIROI), </w:t>
      </w:r>
      <w:r w:rsidR="003C766F">
        <w:rPr>
          <w:rFonts w:ascii="Verdana" w:hAnsi="Verdana"/>
          <w:sz w:val="20"/>
          <w:szCs w:val="20"/>
        </w:rPr>
        <w:t>soit</w:t>
      </w:r>
      <w:r w:rsidRPr="008821CD">
        <w:rPr>
          <w:rFonts w:ascii="Verdana" w:hAnsi="Verdana"/>
          <w:sz w:val="20"/>
          <w:szCs w:val="20"/>
        </w:rPr>
        <w:t xml:space="preserve"> arrivé</w:t>
      </w:r>
      <w:r w:rsidR="003C766F">
        <w:rPr>
          <w:rFonts w:ascii="Verdana" w:hAnsi="Verdana"/>
          <w:sz w:val="20"/>
          <w:szCs w:val="20"/>
        </w:rPr>
        <w:t>e</w:t>
      </w:r>
      <w:r w:rsidRPr="008821CD">
        <w:rPr>
          <w:rFonts w:ascii="Verdana" w:hAnsi="Verdana"/>
          <w:sz w:val="20"/>
          <w:szCs w:val="20"/>
        </w:rPr>
        <w:t xml:space="preserve"> à terme, la collaboration avec </w:t>
      </w:r>
      <w:r w:rsidR="003C766F">
        <w:rPr>
          <w:rFonts w:ascii="Verdana" w:hAnsi="Verdana"/>
          <w:sz w:val="20"/>
          <w:szCs w:val="20"/>
        </w:rPr>
        <w:t>cette dernière se poursuit sur plusieurs activités, notamment en matière de</w:t>
      </w:r>
      <w:r w:rsidRPr="008821CD">
        <w:rPr>
          <w:rFonts w:ascii="Verdana" w:hAnsi="Verdana"/>
          <w:sz w:val="20"/>
          <w:szCs w:val="20"/>
        </w:rPr>
        <w:t xml:space="preserve"> formation. </w:t>
      </w:r>
    </w:p>
    <w:p w14:paraId="1714E8A0" w14:textId="77777777" w:rsidR="008821CD" w:rsidRDefault="008821CD" w:rsidP="008821CD">
      <w:pPr>
        <w:spacing w:after="0" w:line="240" w:lineRule="auto"/>
        <w:jc w:val="both"/>
        <w:rPr>
          <w:rFonts w:ascii="Verdana" w:hAnsi="Verdana"/>
          <w:sz w:val="20"/>
          <w:szCs w:val="20"/>
        </w:rPr>
      </w:pPr>
    </w:p>
    <w:p w14:paraId="1BFF754C" w14:textId="77777777" w:rsidR="00FC783B" w:rsidRPr="008821CD" w:rsidRDefault="00FC783B" w:rsidP="008821CD">
      <w:pPr>
        <w:spacing w:after="0" w:line="240" w:lineRule="auto"/>
        <w:jc w:val="both"/>
        <w:rPr>
          <w:rFonts w:ascii="Verdana" w:hAnsi="Verdana"/>
          <w:sz w:val="20"/>
          <w:szCs w:val="20"/>
        </w:rPr>
      </w:pPr>
    </w:p>
    <w:p w14:paraId="16202299" w14:textId="77777777" w:rsidR="00FC783B" w:rsidRDefault="007D4F09" w:rsidP="008821CD">
      <w:pPr>
        <w:spacing w:after="0" w:line="240" w:lineRule="auto"/>
        <w:jc w:val="both"/>
        <w:rPr>
          <w:rFonts w:ascii="Verdana" w:hAnsi="Verdana"/>
          <w:bCs/>
          <w:sz w:val="20"/>
          <w:szCs w:val="20"/>
        </w:rPr>
      </w:pPr>
      <w:r w:rsidRPr="008821CD">
        <w:rPr>
          <w:rFonts w:ascii="Verdana" w:hAnsi="Verdana"/>
          <w:sz w:val="20"/>
          <w:szCs w:val="20"/>
        </w:rPr>
        <w:t>Les activités mise</w:t>
      </w:r>
      <w:r w:rsidR="00F61170" w:rsidRPr="008821CD">
        <w:rPr>
          <w:rFonts w:ascii="Verdana" w:hAnsi="Verdana"/>
          <w:sz w:val="20"/>
          <w:szCs w:val="20"/>
        </w:rPr>
        <w:t>s</w:t>
      </w:r>
      <w:r w:rsidRPr="008821CD">
        <w:rPr>
          <w:rFonts w:ascii="Verdana" w:hAnsi="Verdana"/>
          <w:sz w:val="20"/>
          <w:szCs w:val="20"/>
        </w:rPr>
        <w:t xml:space="preserve"> en œuvre par UNDRR avancent bien </w:t>
      </w:r>
      <w:r w:rsidR="00FC783B" w:rsidRPr="00FC783B">
        <w:rPr>
          <w:rFonts w:ascii="Verdana" w:hAnsi="Verdana"/>
          <w:sz w:val="20"/>
          <w:szCs w:val="20"/>
        </w:rPr>
        <w:t xml:space="preserve">dans le cadre d’une collaboration </w:t>
      </w:r>
      <w:r w:rsidR="00FC783B">
        <w:rPr>
          <w:rFonts w:ascii="Verdana" w:hAnsi="Verdana"/>
          <w:sz w:val="20"/>
          <w:szCs w:val="20"/>
        </w:rPr>
        <w:t xml:space="preserve">très </w:t>
      </w:r>
      <w:r w:rsidR="00FC783B" w:rsidRPr="001137C4">
        <w:rPr>
          <w:rFonts w:ascii="Verdana" w:hAnsi="Verdana"/>
          <w:sz w:val="20"/>
          <w:szCs w:val="20"/>
        </w:rPr>
        <w:t xml:space="preserve">étroite avec la COI. </w:t>
      </w:r>
      <w:r w:rsidR="00FC783B" w:rsidRPr="00592676">
        <w:rPr>
          <w:rFonts w:ascii="Verdana" w:hAnsi="Verdana"/>
          <w:sz w:val="20"/>
          <w:szCs w:val="20"/>
        </w:rPr>
        <w:t xml:space="preserve">Les activités clés </w:t>
      </w:r>
      <w:r w:rsidR="00FC783B" w:rsidRPr="00FC783B">
        <w:rPr>
          <w:rFonts w:ascii="Verdana" w:hAnsi="Verdana"/>
          <w:sz w:val="20"/>
          <w:szCs w:val="20"/>
        </w:rPr>
        <w:t xml:space="preserve">concernent principalement les </w:t>
      </w:r>
      <w:r w:rsidR="00FC783B" w:rsidRPr="00FC783B">
        <w:rPr>
          <w:rFonts w:ascii="Verdana" w:hAnsi="Verdana"/>
          <w:bCs/>
          <w:sz w:val="20"/>
          <w:szCs w:val="20"/>
        </w:rPr>
        <w:t>cadres institutionnels</w:t>
      </w:r>
      <w:r w:rsidR="00FC783B" w:rsidRPr="00FC783B">
        <w:rPr>
          <w:rFonts w:ascii="Verdana" w:hAnsi="Verdana"/>
          <w:sz w:val="20"/>
          <w:szCs w:val="20"/>
        </w:rPr>
        <w:t xml:space="preserve">, la </w:t>
      </w:r>
      <w:r w:rsidR="00FC783B" w:rsidRPr="00FC783B">
        <w:rPr>
          <w:rFonts w:ascii="Verdana" w:hAnsi="Verdana"/>
          <w:bCs/>
          <w:sz w:val="20"/>
          <w:szCs w:val="20"/>
        </w:rPr>
        <w:t>compréhension et la gouvernance des risques</w:t>
      </w:r>
      <w:r w:rsidR="00FC783B" w:rsidRPr="00FC783B">
        <w:rPr>
          <w:rFonts w:ascii="Verdana" w:hAnsi="Verdana"/>
          <w:sz w:val="20"/>
          <w:szCs w:val="20"/>
        </w:rPr>
        <w:t xml:space="preserve">, le </w:t>
      </w:r>
      <w:r w:rsidR="00FC783B" w:rsidRPr="00FC783B">
        <w:rPr>
          <w:rFonts w:ascii="Verdana" w:hAnsi="Verdana"/>
          <w:bCs/>
          <w:sz w:val="20"/>
          <w:szCs w:val="20"/>
        </w:rPr>
        <w:t>financement de la réduction des risques de catastrophe</w:t>
      </w:r>
      <w:r w:rsidR="00FC783B" w:rsidRPr="00FC783B">
        <w:rPr>
          <w:rFonts w:ascii="Verdana" w:hAnsi="Verdana"/>
          <w:sz w:val="20"/>
          <w:szCs w:val="20"/>
        </w:rPr>
        <w:t xml:space="preserve">, ainsi que la </w:t>
      </w:r>
      <w:r w:rsidR="00FC783B" w:rsidRPr="00FC783B">
        <w:rPr>
          <w:rFonts w:ascii="Verdana" w:hAnsi="Verdana"/>
          <w:bCs/>
          <w:sz w:val="20"/>
          <w:szCs w:val="20"/>
        </w:rPr>
        <w:t>communication sur les risques.</w:t>
      </w:r>
      <w:r w:rsidR="00FC783B" w:rsidRPr="00FC783B">
        <w:rPr>
          <w:rFonts w:ascii="Verdana" w:hAnsi="Verdana"/>
          <w:sz w:val="20"/>
          <w:szCs w:val="20"/>
        </w:rPr>
        <w:br/>
        <w:t xml:space="preserve">L’UNDRR a également soutenu l’organisation d’un </w:t>
      </w:r>
      <w:r w:rsidR="00FC783B" w:rsidRPr="00FC783B">
        <w:rPr>
          <w:rFonts w:ascii="Verdana" w:hAnsi="Verdana"/>
          <w:bCs/>
          <w:sz w:val="20"/>
          <w:szCs w:val="20"/>
        </w:rPr>
        <w:t>atelier régional</w:t>
      </w:r>
      <w:r w:rsidR="00FC783B" w:rsidRPr="00FC783B">
        <w:rPr>
          <w:rFonts w:ascii="Verdana" w:hAnsi="Verdana"/>
          <w:sz w:val="20"/>
          <w:szCs w:val="20"/>
        </w:rPr>
        <w:t xml:space="preserve"> sous l’égide de l’</w:t>
      </w:r>
      <w:r w:rsidR="00FC783B" w:rsidRPr="00FC783B">
        <w:rPr>
          <w:rFonts w:ascii="Verdana" w:hAnsi="Verdana"/>
          <w:bCs/>
          <w:sz w:val="20"/>
          <w:szCs w:val="20"/>
        </w:rPr>
        <w:t>IORA</w:t>
      </w:r>
      <w:r w:rsidR="00FC783B" w:rsidRPr="00FC783B">
        <w:rPr>
          <w:rFonts w:ascii="Verdana" w:hAnsi="Verdana"/>
          <w:sz w:val="20"/>
          <w:szCs w:val="20"/>
        </w:rPr>
        <w:t xml:space="preserve">, en collaboration avec la </w:t>
      </w:r>
      <w:r w:rsidR="00FC783B" w:rsidRPr="00FC783B">
        <w:rPr>
          <w:rFonts w:ascii="Verdana" w:hAnsi="Verdana"/>
          <w:bCs/>
          <w:sz w:val="20"/>
          <w:szCs w:val="20"/>
        </w:rPr>
        <w:t>COI</w:t>
      </w:r>
      <w:r w:rsidR="00FC783B" w:rsidRPr="00FC783B">
        <w:rPr>
          <w:rFonts w:ascii="Verdana" w:hAnsi="Verdana"/>
          <w:sz w:val="20"/>
          <w:szCs w:val="20"/>
        </w:rPr>
        <w:t xml:space="preserve">, la </w:t>
      </w:r>
      <w:r w:rsidR="00FC783B" w:rsidRPr="00FC783B">
        <w:rPr>
          <w:rFonts w:ascii="Verdana" w:hAnsi="Verdana"/>
          <w:bCs/>
          <w:sz w:val="20"/>
          <w:szCs w:val="20"/>
        </w:rPr>
        <w:t>PIROI</w:t>
      </w:r>
      <w:r w:rsidR="00FC783B" w:rsidRPr="00FC783B">
        <w:rPr>
          <w:rFonts w:ascii="Verdana" w:hAnsi="Verdana"/>
          <w:sz w:val="20"/>
          <w:szCs w:val="20"/>
        </w:rPr>
        <w:t xml:space="preserve">, la </w:t>
      </w:r>
      <w:r w:rsidR="00FC783B" w:rsidRPr="00FC783B">
        <w:rPr>
          <w:rFonts w:ascii="Verdana" w:hAnsi="Verdana"/>
          <w:bCs/>
          <w:sz w:val="20"/>
          <w:szCs w:val="20"/>
        </w:rPr>
        <w:t>France</w:t>
      </w:r>
      <w:r w:rsidR="00FC783B" w:rsidRPr="00FC783B">
        <w:rPr>
          <w:rFonts w:ascii="Verdana" w:hAnsi="Verdana"/>
          <w:sz w:val="20"/>
          <w:szCs w:val="20"/>
        </w:rPr>
        <w:t xml:space="preserve"> et l’</w:t>
      </w:r>
      <w:r w:rsidR="00FC783B" w:rsidRPr="00FC783B">
        <w:rPr>
          <w:rFonts w:ascii="Verdana" w:hAnsi="Verdana"/>
          <w:bCs/>
          <w:sz w:val="20"/>
          <w:szCs w:val="20"/>
        </w:rPr>
        <w:t>Union européenne</w:t>
      </w:r>
      <w:r w:rsidR="00FC783B" w:rsidRPr="00FC783B">
        <w:rPr>
          <w:rFonts w:ascii="Verdana" w:hAnsi="Verdana"/>
          <w:sz w:val="20"/>
          <w:szCs w:val="20"/>
        </w:rPr>
        <w:t xml:space="preserve">, tenu à </w:t>
      </w:r>
      <w:r w:rsidR="00FC783B" w:rsidRPr="00FC783B">
        <w:rPr>
          <w:rFonts w:ascii="Verdana" w:hAnsi="Verdana"/>
          <w:bCs/>
          <w:sz w:val="20"/>
          <w:szCs w:val="20"/>
        </w:rPr>
        <w:t>La Réunion du 13 au 17 octobre 2025.</w:t>
      </w:r>
    </w:p>
    <w:p w14:paraId="716D760A" w14:textId="53BA48ED" w:rsidR="002A2288" w:rsidRDefault="00FC783B" w:rsidP="008821CD">
      <w:pPr>
        <w:spacing w:after="0" w:line="240" w:lineRule="auto"/>
        <w:jc w:val="both"/>
        <w:rPr>
          <w:rFonts w:ascii="Verdana" w:hAnsi="Verdana"/>
          <w:sz w:val="20"/>
          <w:szCs w:val="20"/>
        </w:rPr>
      </w:pPr>
      <w:r w:rsidRPr="00FC783B">
        <w:rPr>
          <w:rFonts w:ascii="Verdana" w:hAnsi="Verdana"/>
          <w:sz w:val="20"/>
          <w:szCs w:val="20"/>
        </w:rPr>
        <w:br/>
      </w:r>
      <w:r>
        <w:rPr>
          <w:rFonts w:ascii="Verdana" w:hAnsi="Verdana"/>
          <w:sz w:val="20"/>
          <w:szCs w:val="20"/>
        </w:rPr>
        <w:t>U</w:t>
      </w:r>
      <w:r w:rsidR="00447278" w:rsidRPr="008821CD">
        <w:rPr>
          <w:rFonts w:ascii="Verdana" w:hAnsi="Verdana"/>
          <w:sz w:val="20"/>
          <w:szCs w:val="20"/>
        </w:rPr>
        <w:t>n atelier régional</w:t>
      </w:r>
      <w:r w:rsidR="007B023D" w:rsidRPr="008821CD">
        <w:rPr>
          <w:rFonts w:ascii="Verdana" w:hAnsi="Verdana"/>
          <w:sz w:val="20"/>
          <w:szCs w:val="20"/>
        </w:rPr>
        <w:t xml:space="preserve"> </w:t>
      </w:r>
      <w:r w:rsidR="00447278" w:rsidRPr="008821CD">
        <w:rPr>
          <w:rFonts w:ascii="Verdana" w:hAnsi="Verdana"/>
          <w:sz w:val="20"/>
          <w:szCs w:val="20"/>
        </w:rPr>
        <w:t xml:space="preserve">de capitalisation </w:t>
      </w:r>
      <w:r w:rsidR="007B023D" w:rsidRPr="008821CD">
        <w:rPr>
          <w:rFonts w:ascii="Verdana" w:hAnsi="Verdana"/>
          <w:sz w:val="20"/>
          <w:szCs w:val="20"/>
        </w:rPr>
        <w:t xml:space="preserve">est </w:t>
      </w:r>
      <w:r w:rsidR="00D35109" w:rsidRPr="008821CD">
        <w:rPr>
          <w:rFonts w:ascii="Verdana" w:hAnsi="Verdana"/>
          <w:sz w:val="20"/>
          <w:szCs w:val="20"/>
        </w:rPr>
        <w:t>programmé du</w:t>
      </w:r>
      <w:r w:rsidR="00F61170" w:rsidRPr="008821CD">
        <w:rPr>
          <w:rFonts w:ascii="Verdana" w:hAnsi="Verdana"/>
          <w:sz w:val="20"/>
          <w:szCs w:val="20"/>
        </w:rPr>
        <w:t xml:space="preserve"> </w:t>
      </w:r>
      <w:r w:rsidR="007B023D" w:rsidRPr="008821CD">
        <w:rPr>
          <w:rFonts w:ascii="Verdana" w:hAnsi="Verdana"/>
          <w:sz w:val="20"/>
          <w:szCs w:val="20"/>
        </w:rPr>
        <w:t>2</w:t>
      </w:r>
      <w:r w:rsidR="00F61170" w:rsidRPr="008821CD">
        <w:rPr>
          <w:rFonts w:ascii="Verdana" w:hAnsi="Verdana"/>
          <w:sz w:val="20"/>
          <w:szCs w:val="20"/>
        </w:rPr>
        <w:t>5</w:t>
      </w:r>
      <w:r w:rsidR="007B023D" w:rsidRPr="008821CD">
        <w:rPr>
          <w:rFonts w:ascii="Verdana" w:hAnsi="Verdana"/>
          <w:sz w:val="20"/>
          <w:szCs w:val="20"/>
        </w:rPr>
        <w:t xml:space="preserve"> au 2</w:t>
      </w:r>
      <w:r w:rsidR="00D80E7B" w:rsidRPr="008821CD">
        <w:rPr>
          <w:rFonts w:ascii="Verdana" w:hAnsi="Verdana"/>
          <w:sz w:val="20"/>
          <w:szCs w:val="20"/>
        </w:rPr>
        <w:t>7</w:t>
      </w:r>
      <w:r w:rsidR="007B023D" w:rsidRPr="008821CD">
        <w:rPr>
          <w:rFonts w:ascii="Verdana" w:hAnsi="Verdana"/>
          <w:sz w:val="20"/>
          <w:szCs w:val="20"/>
        </w:rPr>
        <w:t xml:space="preserve"> novembre 2025</w:t>
      </w:r>
      <w:r w:rsidR="00B5267E" w:rsidRPr="008821CD">
        <w:rPr>
          <w:rFonts w:ascii="Verdana" w:hAnsi="Verdana"/>
          <w:sz w:val="20"/>
          <w:szCs w:val="20"/>
        </w:rPr>
        <w:t xml:space="preserve"> à Maurice</w:t>
      </w:r>
      <w:r w:rsidR="00D80E7B" w:rsidRPr="008821CD">
        <w:rPr>
          <w:rFonts w:ascii="Verdana" w:hAnsi="Verdana"/>
          <w:sz w:val="20"/>
          <w:szCs w:val="20"/>
        </w:rPr>
        <w:t xml:space="preserve"> </w:t>
      </w:r>
      <w:r w:rsidR="002344F1">
        <w:rPr>
          <w:rFonts w:ascii="Verdana" w:hAnsi="Verdana"/>
          <w:sz w:val="20"/>
          <w:szCs w:val="20"/>
        </w:rPr>
        <w:t>afin</w:t>
      </w:r>
      <w:r w:rsidR="00D80E7B" w:rsidRPr="008821CD">
        <w:rPr>
          <w:rFonts w:ascii="Verdana" w:hAnsi="Verdana"/>
          <w:sz w:val="20"/>
          <w:szCs w:val="20"/>
        </w:rPr>
        <w:t xml:space="preserve"> de renforcer le mécanisme de coopération régionale sur la </w:t>
      </w:r>
      <w:r>
        <w:rPr>
          <w:rFonts w:ascii="Verdana" w:hAnsi="Verdana"/>
          <w:sz w:val="20"/>
          <w:szCs w:val="20"/>
        </w:rPr>
        <w:t>ré</w:t>
      </w:r>
      <w:r w:rsidR="00D80E7B" w:rsidRPr="008821CD">
        <w:rPr>
          <w:rFonts w:ascii="Verdana" w:hAnsi="Verdana"/>
          <w:sz w:val="20"/>
          <w:szCs w:val="20"/>
        </w:rPr>
        <w:t xml:space="preserve">duction des </w:t>
      </w:r>
      <w:r>
        <w:rPr>
          <w:rFonts w:ascii="Verdana" w:hAnsi="Verdana"/>
          <w:sz w:val="20"/>
          <w:szCs w:val="20"/>
        </w:rPr>
        <w:t>r</w:t>
      </w:r>
      <w:r w:rsidR="00D80E7B" w:rsidRPr="008821CD">
        <w:rPr>
          <w:rFonts w:ascii="Verdana" w:hAnsi="Verdana"/>
          <w:sz w:val="20"/>
          <w:szCs w:val="20"/>
        </w:rPr>
        <w:t xml:space="preserve">isques de </w:t>
      </w:r>
      <w:r>
        <w:rPr>
          <w:rFonts w:ascii="Verdana" w:hAnsi="Verdana"/>
          <w:sz w:val="20"/>
          <w:szCs w:val="20"/>
        </w:rPr>
        <w:t>c</w:t>
      </w:r>
      <w:r w:rsidR="00D80E7B" w:rsidRPr="008821CD">
        <w:rPr>
          <w:rFonts w:ascii="Verdana" w:hAnsi="Verdana"/>
          <w:sz w:val="20"/>
          <w:szCs w:val="20"/>
        </w:rPr>
        <w:t>atastrophe</w:t>
      </w:r>
      <w:r w:rsidR="00B5267E" w:rsidRPr="008821CD">
        <w:rPr>
          <w:rFonts w:ascii="Verdana" w:hAnsi="Verdana"/>
          <w:sz w:val="20"/>
          <w:szCs w:val="20"/>
        </w:rPr>
        <w:t xml:space="preserve">. </w:t>
      </w:r>
      <w:r w:rsidR="00F52B10" w:rsidRPr="008821CD">
        <w:rPr>
          <w:rFonts w:ascii="Verdana" w:hAnsi="Verdana"/>
          <w:sz w:val="20"/>
          <w:szCs w:val="20"/>
        </w:rPr>
        <w:t xml:space="preserve">  </w:t>
      </w:r>
    </w:p>
    <w:p w14:paraId="140FB5FE" w14:textId="77777777" w:rsidR="008821CD" w:rsidRPr="008821CD" w:rsidRDefault="008821CD" w:rsidP="008821CD">
      <w:pPr>
        <w:spacing w:after="0" w:line="240" w:lineRule="auto"/>
        <w:jc w:val="both"/>
        <w:rPr>
          <w:rFonts w:ascii="Verdana" w:hAnsi="Verdana"/>
          <w:sz w:val="20"/>
          <w:szCs w:val="20"/>
        </w:rPr>
      </w:pPr>
    </w:p>
    <w:p w14:paraId="6641647B" w14:textId="461F61B2" w:rsidR="001F00E4" w:rsidRDefault="00FC783B" w:rsidP="008821CD">
      <w:pPr>
        <w:spacing w:after="0" w:line="240" w:lineRule="auto"/>
        <w:jc w:val="both"/>
        <w:rPr>
          <w:rFonts w:ascii="Verdana" w:hAnsi="Verdana"/>
          <w:sz w:val="20"/>
          <w:szCs w:val="20"/>
        </w:rPr>
      </w:pPr>
      <w:r>
        <w:rPr>
          <w:rFonts w:ascii="Verdana" w:hAnsi="Verdana"/>
          <w:sz w:val="20"/>
          <w:szCs w:val="20"/>
        </w:rPr>
        <w:t>Concernant</w:t>
      </w:r>
      <w:r w:rsidR="00F146FE" w:rsidRPr="008821CD">
        <w:rPr>
          <w:rFonts w:ascii="Verdana" w:hAnsi="Verdana"/>
          <w:sz w:val="20"/>
          <w:szCs w:val="20"/>
        </w:rPr>
        <w:t xml:space="preserve"> le Devis programme </w:t>
      </w:r>
      <w:r w:rsidR="00C2326C" w:rsidRPr="008821CD">
        <w:rPr>
          <w:rFonts w:ascii="Verdana" w:hAnsi="Verdana"/>
          <w:sz w:val="20"/>
          <w:szCs w:val="20"/>
        </w:rPr>
        <w:t xml:space="preserve">mis en </w:t>
      </w:r>
      <w:r w:rsidR="00F05495" w:rsidRPr="008821CD">
        <w:rPr>
          <w:rFonts w:ascii="Verdana" w:hAnsi="Verdana"/>
          <w:sz w:val="20"/>
          <w:szCs w:val="20"/>
        </w:rPr>
        <w:t>œuvre</w:t>
      </w:r>
      <w:r w:rsidR="00C2326C" w:rsidRPr="008821CD">
        <w:rPr>
          <w:rFonts w:ascii="Verdana" w:hAnsi="Verdana"/>
          <w:sz w:val="20"/>
          <w:szCs w:val="20"/>
        </w:rPr>
        <w:t xml:space="preserve"> par la COI, </w:t>
      </w:r>
      <w:r w:rsidR="00D80E7B" w:rsidRPr="008821CD">
        <w:rPr>
          <w:rFonts w:ascii="Verdana" w:hAnsi="Verdana"/>
          <w:sz w:val="20"/>
          <w:szCs w:val="20"/>
        </w:rPr>
        <w:t>d</w:t>
      </w:r>
      <w:r w:rsidR="00FA3812" w:rsidRPr="008821CD">
        <w:rPr>
          <w:rFonts w:ascii="Verdana" w:hAnsi="Verdana"/>
          <w:sz w:val="20"/>
          <w:szCs w:val="20"/>
        </w:rPr>
        <w:t>es avanc</w:t>
      </w:r>
      <w:r w:rsidR="00D80E7B" w:rsidRPr="008821CD">
        <w:rPr>
          <w:rFonts w:ascii="Verdana" w:hAnsi="Verdana"/>
          <w:sz w:val="20"/>
          <w:szCs w:val="20"/>
        </w:rPr>
        <w:t>é</w:t>
      </w:r>
      <w:r w:rsidR="00FA3812" w:rsidRPr="008821CD">
        <w:rPr>
          <w:rFonts w:ascii="Verdana" w:hAnsi="Verdana"/>
          <w:sz w:val="20"/>
          <w:szCs w:val="20"/>
        </w:rPr>
        <w:t>es significatives</w:t>
      </w:r>
      <w:r w:rsidR="00C2326C" w:rsidRPr="008821CD">
        <w:rPr>
          <w:rFonts w:ascii="Verdana" w:hAnsi="Verdana"/>
          <w:sz w:val="20"/>
          <w:szCs w:val="20"/>
        </w:rPr>
        <w:t xml:space="preserve"> ont été observés durant </w:t>
      </w:r>
      <w:r w:rsidR="00FA3812" w:rsidRPr="008821CD">
        <w:rPr>
          <w:rFonts w:ascii="Verdana" w:hAnsi="Verdana"/>
          <w:sz w:val="20"/>
          <w:szCs w:val="20"/>
        </w:rPr>
        <w:t>le deuxième trimestre de 2025</w:t>
      </w:r>
      <w:r w:rsidR="00B5267E" w:rsidRPr="008821CD">
        <w:rPr>
          <w:rFonts w:ascii="Verdana" w:hAnsi="Verdana"/>
          <w:sz w:val="20"/>
          <w:szCs w:val="20"/>
        </w:rPr>
        <w:t xml:space="preserve"> et la gestion financière est </w:t>
      </w:r>
      <w:r w:rsidR="002344F1">
        <w:rPr>
          <w:rFonts w:ascii="Verdana" w:hAnsi="Verdana"/>
          <w:sz w:val="20"/>
          <w:szCs w:val="20"/>
        </w:rPr>
        <w:t xml:space="preserve">jugée </w:t>
      </w:r>
      <w:r w:rsidR="00B5267E" w:rsidRPr="008821CD">
        <w:rPr>
          <w:rFonts w:ascii="Verdana" w:hAnsi="Verdana"/>
          <w:sz w:val="20"/>
          <w:szCs w:val="20"/>
        </w:rPr>
        <w:t>satisfaisante</w:t>
      </w:r>
      <w:r w:rsidR="00FA3812" w:rsidRPr="008821CD">
        <w:rPr>
          <w:rFonts w:ascii="Verdana" w:hAnsi="Verdana"/>
          <w:sz w:val="20"/>
          <w:szCs w:val="20"/>
        </w:rPr>
        <w:t>.</w:t>
      </w:r>
      <w:r w:rsidR="002A1892" w:rsidRPr="008821CD">
        <w:rPr>
          <w:rFonts w:ascii="Verdana" w:hAnsi="Verdana"/>
          <w:sz w:val="20"/>
          <w:szCs w:val="20"/>
        </w:rPr>
        <w:t xml:space="preserve"> </w:t>
      </w:r>
      <w:r w:rsidR="001F00E4" w:rsidRPr="008821CD">
        <w:rPr>
          <w:rFonts w:ascii="Verdana" w:hAnsi="Verdana"/>
          <w:sz w:val="20"/>
          <w:szCs w:val="20"/>
        </w:rPr>
        <w:t xml:space="preserve">L’audit annuel du projet a été </w:t>
      </w:r>
      <w:r w:rsidR="002344F1">
        <w:rPr>
          <w:rFonts w:ascii="Verdana" w:hAnsi="Verdana"/>
          <w:sz w:val="20"/>
          <w:szCs w:val="20"/>
        </w:rPr>
        <w:t>réalisé</w:t>
      </w:r>
      <w:r w:rsidR="001F00E4" w:rsidRPr="008821CD">
        <w:rPr>
          <w:rFonts w:ascii="Verdana" w:hAnsi="Verdana"/>
          <w:sz w:val="20"/>
          <w:szCs w:val="20"/>
        </w:rPr>
        <w:t xml:space="preserve"> et </w:t>
      </w:r>
      <w:r w:rsidR="00B5267E" w:rsidRPr="008821CD">
        <w:rPr>
          <w:rFonts w:ascii="Verdana" w:hAnsi="Verdana"/>
          <w:sz w:val="20"/>
          <w:szCs w:val="20"/>
        </w:rPr>
        <w:t>aucune inéligibilité</w:t>
      </w:r>
      <w:r w:rsidR="001F00E4" w:rsidRPr="008821CD">
        <w:rPr>
          <w:rFonts w:ascii="Verdana" w:hAnsi="Verdana"/>
          <w:sz w:val="20"/>
          <w:szCs w:val="20"/>
        </w:rPr>
        <w:t xml:space="preserve"> </w:t>
      </w:r>
      <w:r w:rsidR="00D80E7B" w:rsidRPr="008821CD">
        <w:rPr>
          <w:rFonts w:ascii="Verdana" w:hAnsi="Verdana"/>
          <w:sz w:val="20"/>
          <w:szCs w:val="20"/>
        </w:rPr>
        <w:t>n’</w:t>
      </w:r>
      <w:r w:rsidR="001F00E4" w:rsidRPr="008821CD">
        <w:rPr>
          <w:rFonts w:ascii="Verdana" w:hAnsi="Verdana"/>
          <w:sz w:val="20"/>
          <w:szCs w:val="20"/>
        </w:rPr>
        <w:t>a été signalé</w:t>
      </w:r>
      <w:r w:rsidR="002344F1">
        <w:rPr>
          <w:rFonts w:ascii="Verdana" w:hAnsi="Verdana"/>
          <w:sz w:val="20"/>
          <w:szCs w:val="20"/>
        </w:rPr>
        <w:t>e</w:t>
      </w:r>
      <w:r w:rsidR="001F00E4" w:rsidRPr="008821CD">
        <w:rPr>
          <w:rFonts w:ascii="Verdana" w:hAnsi="Verdana"/>
          <w:sz w:val="20"/>
          <w:szCs w:val="20"/>
        </w:rPr>
        <w:t xml:space="preserve">. </w:t>
      </w:r>
      <w:r w:rsidR="007C5F6F" w:rsidRPr="008821CD">
        <w:rPr>
          <w:rFonts w:ascii="Verdana" w:hAnsi="Verdana"/>
          <w:sz w:val="20"/>
          <w:szCs w:val="20"/>
        </w:rPr>
        <w:t>Un avenant sans co</w:t>
      </w:r>
      <w:r w:rsidR="00AF7DC4" w:rsidRPr="008821CD">
        <w:rPr>
          <w:rFonts w:ascii="Verdana" w:hAnsi="Verdana"/>
          <w:sz w:val="20"/>
          <w:szCs w:val="20"/>
        </w:rPr>
        <w:t>û</w:t>
      </w:r>
      <w:r w:rsidR="007C5F6F" w:rsidRPr="008821CD">
        <w:rPr>
          <w:rFonts w:ascii="Verdana" w:hAnsi="Verdana"/>
          <w:sz w:val="20"/>
          <w:szCs w:val="20"/>
        </w:rPr>
        <w:t xml:space="preserve">t additionnel </w:t>
      </w:r>
      <w:r w:rsidR="002344F1">
        <w:rPr>
          <w:rFonts w:ascii="Verdana" w:hAnsi="Verdana"/>
          <w:sz w:val="20"/>
          <w:szCs w:val="20"/>
        </w:rPr>
        <w:t>ainsi qu’</w:t>
      </w:r>
      <w:r w:rsidR="007C5F6F" w:rsidRPr="008821CD">
        <w:rPr>
          <w:rFonts w:ascii="Verdana" w:hAnsi="Verdana"/>
          <w:sz w:val="20"/>
          <w:szCs w:val="20"/>
        </w:rPr>
        <w:t xml:space="preserve">un réajustement des activités du DP </w:t>
      </w:r>
      <w:r w:rsidR="002344F1">
        <w:rPr>
          <w:rFonts w:ascii="Verdana" w:hAnsi="Verdana"/>
          <w:sz w:val="20"/>
          <w:szCs w:val="20"/>
        </w:rPr>
        <w:t>ont</w:t>
      </w:r>
      <w:r w:rsidR="007C5F6F" w:rsidRPr="008821CD">
        <w:rPr>
          <w:rFonts w:ascii="Verdana" w:hAnsi="Verdana"/>
          <w:sz w:val="20"/>
          <w:szCs w:val="20"/>
        </w:rPr>
        <w:t xml:space="preserve"> été approuvé</w:t>
      </w:r>
      <w:r w:rsidR="002344F1">
        <w:rPr>
          <w:rFonts w:ascii="Verdana" w:hAnsi="Verdana"/>
          <w:sz w:val="20"/>
          <w:szCs w:val="20"/>
        </w:rPr>
        <w:t>s</w:t>
      </w:r>
      <w:r w:rsidR="007C5F6F" w:rsidRPr="008821CD">
        <w:rPr>
          <w:rFonts w:ascii="Verdana" w:hAnsi="Verdana"/>
          <w:sz w:val="20"/>
          <w:szCs w:val="20"/>
        </w:rPr>
        <w:t xml:space="preserve"> par l’UE en septembre 2025. </w:t>
      </w:r>
      <w:r w:rsidR="002A1892" w:rsidRPr="008821CD">
        <w:rPr>
          <w:rFonts w:ascii="Verdana" w:hAnsi="Verdana"/>
          <w:sz w:val="20"/>
          <w:szCs w:val="20"/>
        </w:rPr>
        <w:t xml:space="preserve">Un taux de décaissement de plus de 80% </w:t>
      </w:r>
      <w:r w:rsidR="00E941B9" w:rsidRPr="008821CD">
        <w:rPr>
          <w:rFonts w:ascii="Verdana" w:hAnsi="Verdana"/>
          <w:sz w:val="20"/>
          <w:szCs w:val="20"/>
        </w:rPr>
        <w:t xml:space="preserve">est </w:t>
      </w:r>
      <w:r w:rsidR="00A207D0" w:rsidRPr="008821CD">
        <w:rPr>
          <w:rFonts w:ascii="Verdana" w:hAnsi="Verdana"/>
          <w:sz w:val="20"/>
          <w:szCs w:val="20"/>
        </w:rPr>
        <w:t>attendu sur</w:t>
      </w:r>
      <w:r w:rsidR="002A1892" w:rsidRPr="008821CD">
        <w:rPr>
          <w:rFonts w:ascii="Verdana" w:hAnsi="Verdana"/>
          <w:sz w:val="20"/>
          <w:szCs w:val="20"/>
        </w:rPr>
        <w:t xml:space="preserve"> le DP</w:t>
      </w:r>
      <w:r w:rsidR="00D80E7B" w:rsidRPr="008821CD">
        <w:rPr>
          <w:rFonts w:ascii="Verdana" w:hAnsi="Verdana"/>
          <w:sz w:val="20"/>
          <w:szCs w:val="20"/>
        </w:rPr>
        <w:t>,</w:t>
      </w:r>
      <w:r w:rsidR="007C5F6F" w:rsidRPr="008821CD">
        <w:rPr>
          <w:rFonts w:ascii="Verdana" w:hAnsi="Verdana"/>
          <w:sz w:val="20"/>
          <w:szCs w:val="20"/>
        </w:rPr>
        <w:t xml:space="preserve"> </w:t>
      </w:r>
      <w:r w:rsidR="00D80E7B" w:rsidRPr="008821CD">
        <w:rPr>
          <w:rFonts w:ascii="Verdana" w:hAnsi="Verdana"/>
          <w:sz w:val="20"/>
          <w:szCs w:val="20"/>
        </w:rPr>
        <w:t>principalement en</w:t>
      </w:r>
      <w:r w:rsidR="007C5F6F" w:rsidRPr="008821CD">
        <w:rPr>
          <w:rFonts w:ascii="Verdana" w:hAnsi="Verdana"/>
          <w:sz w:val="20"/>
          <w:szCs w:val="20"/>
        </w:rPr>
        <w:t xml:space="preserve"> lien avec les achats d</w:t>
      </w:r>
      <w:r w:rsidR="0090150E" w:rsidRPr="008821CD">
        <w:rPr>
          <w:rFonts w:ascii="Verdana" w:hAnsi="Verdana"/>
          <w:sz w:val="20"/>
          <w:szCs w:val="20"/>
        </w:rPr>
        <w:t>’</w:t>
      </w:r>
      <w:r w:rsidR="007C5F6F" w:rsidRPr="008821CD">
        <w:rPr>
          <w:rFonts w:ascii="Verdana" w:hAnsi="Verdana"/>
          <w:sz w:val="20"/>
          <w:szCs w:val="20"/>
        </w:rPr>
        <w:t xml:space="preserve">équipements </w:t>
      </w:r>
      <w:r w:rsidR="00D80E7B" w:rsidRPr="008821CD">
        <w:rPr>
          <w:rFonts w:ascii="Verdana" w:hAnsi="Verdana"/>
          <w:sz w:val="20"/>
          <w:szCs w:val="20"/>
        </w:rPr>
        <w:t>destin</w:t>
      </w:r>
      <w:r w:rsidR="0090150E" w:rsidRPr="008821CD">
        <w:rPr>
          <w:rFonts w:ascii="Verdana" w:hAnsi="Verdana"/>
          <w:sz w:val="20"/>
          <w:szCs w:val="20"/>
        </w:rPr>
        <w:t>é</w:t>
      </w:r>
      <w:r w:rsidR="00D80E7B" w:rsidRPr="008821CD">
        <w:rPr>
          <w:rFonts w:ascii="Verdana" w:hAnsi="Verdana"/>
          <w:sz w:val="20"/>
          <w:szCs w:val="20"/>
        </w:rPr>
        <w:t xml:space="preserve">s </w:t>
      </w:r>
      <w:r w:rsidR="0090150E" w:rsidRPr="008821CD">
        <w:rPr>
          <w:rFonts w:ascii="Verdana" w:hAnsi="Verdana"/>
          <w:sz w:val="20"/>
          <w:szCs w:val="20"/>
        </w:rPr>
        <w:t>à</w:t>
      </w:r>
      <w:r w:rsidR="00D80E7B" w:rsidRPr="008821CD">
        <w:rPr>
          <w:rFonts w:ascii="Verdana" w:hAnsi="Verdana"/>
          <w:sz w:val="20"/>
          <w:szCs w:val="20"/>
        </w:rPr>
        <w:t xml:space="preserve"> renforcer les capacités de coordination et de réponse </w:t>
      </w:r>
      <w:r w:rsidR="0090150E" w:rsidRPr="008821CD">
        <w:rPr>
          <w:rFonts w:ascii="Verdana" w:hAnsi="Verdana"/>
          <w:sz w:val="20"/>
          <w:szCs w:val="20"/>
        </w:rPr>
        <w:t xml:space="preserve">des </w:t>
      </w:r>
      <w:r w:rsidR="007C5F6F" w:rsidRPr="008821CD">
        <w:rPr>
          <w:rFonts w:ascii="Verdana" w:hAnsi="Verdana"/>
          <w:sz w:val="20"/>
          <w:szCs w:val="20"/>
        </w:rPr>
        <w:t xml:space="preserve">centres nationaux responsable de </w:t>
      </w:r>
      <w:r w:rsidR="0090150E" w:rsidRPr="008821CD">
        <w:rPr>
          <w:rFonts w:ascii="Verdana" w:hAnsi="Verdana"/>
          <w:sz w:val="20"/>
          <w:szCs w:val="20"/>
        </w:rPr>
        <w:t xml:space="preserve">la </w:t>
      </w:r>
      <w:r w:rsidR="007C5F6F" w:rsidRPr="008821CD">
        <w:rPr>
          <w:rFonts w:ascii="Verdana" w:hAnsi="Verdana"/>
          <w:sz w:val="20"/>
          <w:szCs w:val="20"/>
        </w:rPr>
        <w:t>gestion et</w:t>
      </w:r>
      <w:r w:rsidR="0090150E" w:rsidRPr="008821CD">
        <w:rPr>
          <w:rFonts w:ascii="Verdana" w:hAnsi="Verdana"/>
          <w:sz w:val="20"/>
          <w:szCs w:val="20"/>
        </w:rPr>
        <w:t xml:space="preserve"> de la</w:t>
      </w:r>
      <w:r w:rsidR="007C5F6F" w:rsidRPr="008821CD">
        <w:rPr>
          <w:rFonts w:ascii="Verdana" w:hAnsi="Verdana"/>
          <w:sz w:val="20"/>
          <w:szCs w:val="20"/>
        </w:rPr>
        <w:t xml:space="preserve"> réponse aux catastrophes. </w:t>
      </w:r>
      <w:r w:rsidR="00A242C8" w:rsidRPr="008821CD">
        <w:rPr>
          <w:rFonts w:ascii="Verdana" w:hAnsi="Verdana"/>
          <w:sz w:val="20"/>
          <w:szCs w:val="20"/>
        </w:rPr>
        <w:t>Les marchés pour l’achat de</w:t>
      </w:r>
      <w:r w:rsidR="007C5F6F" w:rsidRPr="008821CD">
        <w:rPr>
          <w:rFonts w:ascii="Verdana" w:hAnsi="Verdana"/>
          <w:sz w:val="20"/>
          <w:szCs w:val="20"/>
        </w:rPr>
        <w:t xml:space="preserve"> </w:t>
      </w:r>
      <w:r w:rsidR="0090150E" w:rsidRPr="008821CD">
        <w:rPr>
          <w:rFonts w:ascii="Verdana" w:hAnsi="Verdana"/>
          <w:sz w:val="20"/>
          <w:szCs w:val="20"/>
        </w:rPr>
        <w:t>c</w:t>
      </w:r>
      <w:r w:rsidR="007C5F6F" w:rsidRPr="008821CD">
        <w:rPr>
          <w:rFonts w:ascii="Verdana" w:hAnsi="Verdana"/>
          <w:sz w:val="20"/>
          <w:szCs w:val="20"/>
        </w:rPr>
        <w:t>es</w:t>
      </w:r>
      <w:r w:rsidR="00A242C8" w:rsidRPr="008821CD">
        <w:rPr>
          <w:rFonts w:ascii="Verdana" w:hAnsi="Verdana"/>
          <w:sz w:val="20"/>
          <w:szCs w:val="20"/>
        </w:rPr>
        <w:t xml:space="preserve"> </w:t>
      </w:r>
      <w:r w:rsidR="000634BA" w:rsidRPr="008821CD">
        <w:rPr>
          <w:rFonts w:ascii="Verdana" w:hAnsi="Verdana"/>
          <w:sz w:val="20"/>
          <w:szCs w:val="20"/>
        </w:rPr>
        <w:t>équipements</w:t>
      </w:r>
      <w:r w:rsidR="00A242C8" w:rsidRPr="008821CD">
        <w:rPr>
          <w:rFonts w:ascii="Verdana" w:hAnsi="Verdana"/>
          <w:sz w:val="20"/>
          <w:szCs w:val="20"/>
        </w:rPr>
        <w:t xml:space="preserve"> et </w:t>
      </w:r>
      <w:r w:rsidR="000634BA" w:rsidRPr="008821CD">
        <w:rPr>
          <w:rFonts w:ascii="Verdana" w:hAnsi="Verdana"/>
          <w:sz w:val="20"/>
          <w:szCs w:val="20"/>
        </w:rPr>
        <w:t>matériel</w:t>
      </w:r>
      <w:r w:rsidR="0090150E" w:rsidRPr="008821CD">
        <w:rPr>
          <w:rFonts w:ascii="Verdana" w:hAnsi="Verdana"/>
          <w:sz w:val="20"/>
          <w:szCs w:val="20"/>
        </w:rPr>
        <w:t>s</w:t>
      </w:r>
      <w:r w:rsidR="000634BA" w:rsidRPr="008821CD">
        <w:rPr>
          <w:rFonts w:ascii="Verdana" w:hAnsi="Verdana"/>
          <w:sz w:val="20"/>
          <w:szCs w:val="20"/>
        </w:rPr>
        <w:t xml:space="preserve"> </w:t>
      </w:r>
      <w:r w:rsidR="007C5F6F" w:rsidRPr="008821CD">
        <w:rPr>
          <w:rFonts w:ascii="Verdana" w:hAnsi="Verdana"/>
          <w:sz w:val="20"/>
          <w:szCs w:val="20"/>
        </w:rPr>
        <w:t>sont en cours pour les Comores</w:t>
      </w:r>
      <w:r w:rsidR="000D106B" w:rsidRPr="008821CD">
        <w:rPr>
          <w:rFonts w:ascii="Verdana" w:hAnsi="Verdana"/>
          <w:sz w:val="20"/>
          <w:szCs w:val="20"/>
        </w:rPr>
        <w:t xml:space="preserve">, Madagascar, Maurice et </w:t>
      </w:r>
      <w:r w:rsidR="002344F1">
        <w:rPr>
          <w:rFonts w:ascii="Verdana" w:hAnsi="Verdana"/>
          <w:sz w:val="20"/>
          <w:szCs w:val="20"/>
        </w:rPr>
        <w:t xml:space="preserve">les </w:t>
      </w:r>
      <w:r w:rsidR="000D106B" w:rsidRPr="008821CD">
        <w:rPr>
          <w:rFonts w:ascii="Verdana" w:hAnsi="Verdana"/>
          <w:sz w:val="20"/>
          <w:szCs w:val="20"/>
        </w:rPr>
        <w:t>Seychelles</w:t>
      </w:r>
      <w:r w:rsidR="007C5F6F" w:rsidRPr="008821CD">
        <w:rPr>
          <w:rFonts w:ascii="Verdana" w:hAnsi="Verdana"/>
          <w:sz w:val="20"/>
          <w:szCs w:val="20"/>
        </w:rPr>
        <w:t xml:space="preserve">. </w:t>
      </w:r>
      <w:r w:rsidR="00BD3167" w:rsidRPr="008821CD">
        <w:rPr>
          <w:rFonts w:ascii="Verdana" w:hAnsi="Verdana"/>
          <w:sz w:val="20"/>
          <w:szCs w:val="20"/>
        </w:rPr>
        <w:t>Les co</w:t>
      </w:r>
      <w:r w:rsidR="00AF7DC4" w:rsidRPr="008821CD">
        <w:rPr>
          <w:rFonts w:ascii="Verdana" w:hAnsi="Verdana"/>
          <w:sz w:val="20"/>
          <w:szCs w:val="20"/>
        </w:rPr>
        <w:t>ût</w:t>
      </w:r>
      <w:r w:rsidR="00BD3167" w:rsidRPr="008821CD">
        <w:rPr>
          <w:rFonts w:ascii="Verdana" w:hAnsi="Verdana"/>
          <w:sz w:val="20"/>
          <w:szCs w:val="20"/>
        </w:rPr>
        <w:t xml:space="preserve">s estimatifs des équipements </w:t>
      </w:r>
      <w:r w:rsidR="002344F1">
        <w:rPr>
          <w:rFonts w:ascii="Verdana" w:hAnsi="Verdana"/>
          <w:sz w:val="20"/>
          <w:szCs w:val="20"/>
        </w:rPr>
        <w:t>varient entre</w:t>
      </w:r>
      <w:r w:rsidR="00744B75" w:rsidRPr="008821CD">
        <w:rPr>
          <w:rFonts w:ascii="Verdana" w:hAnsi="Verdana"/>
          <w:sz w:val="20"/>
          <w:szCs w:val="20"/>
        </w:rPr>
        <w:t xml:space="preserve"> 2</w:t>
      </w:r>
      <w:r w:rsidR="00B5267E" w:rsidRPr="008821CD">
        <w:rPr>
          <w:rFonts w:ascii="Verdana" w:hAnsi="Verdana"/>
          <w:sz w:val="20"/>
          <w:szCs w:val="20"/>
        </w:rPr>
        <w:t>0</w:t>
      </w:r>
      <w:r w:rsidR="00744B75" w:rsidRPr="008821CD">
        <w:rPr>
          <w:rFonts w:ascii="Verdana" w:hAnsi="Verdana"/>
          <w:sz w:val="20"/>
          <w:szCs w:val="20"/>
        </w:rPr>
        <w:t xml:space="preserve">0 000 à 300 000 </w:t>
      </w:r>
      <w:r w:rsidR="005C6689" w:rsidRPr="008821CD">
        <w:rPr>
          <w:rFonts w:ascii="Verdana" w:hAnsi="Verdana"/>
          <w:sz w:val="20"/>
          <w:szCs w:val="20"/>
        </w:rPr>
        <w:t>euros</w:t>
      </w:r>
      <w:r w:rsidR="0090150E" w:rsidRPr="008821CD">
        <w:rPr>
          <w:rFonts w:ascii="Verdana" w:hAnsi="Verdana"/>
          <w:sz w:val="20"/>
          <w:szCs w:val="20"/>
        </w:rPr>
        <w:t>,</w:t>
      </w:r>
      <w:r w:rsidR="00B5267E" w:rsidRPr="008821CD">
        <w:rPr>
          <w:rFonts w:ascii="Verdana" w:hAnsi="Verdana"/>
          <w:sz w:val="20"/>
          <w:szCs w:val="20"/>
        </w:rPr>
        <w:t xml:space="preserve"> et l</w:t>
      </w:r>
      <w:r w:rsidR="0090150E" w:rsidRPr="008821CD">
        <w:rPr>
          <w:rFonts w:ascii="Verdana" w:hAnsi="Verdana"/>
          <w:sz w:val="20"/>
          <w:szCs w:val="20"/>
        </w:rPr>
        <w:t>es</w:t>
      </w:r>
      <w:r w:rsidR="00B5267E" w:rsidRPr="008821CD">
        <w:rPr>
          <w:rFonts w:ascii="Verdana" w:hAnsi="Verdana"/>
          <w:sz w:val="20"/>
          <w:szCs w:val="20"/>
        </w:rPr>
        <w:t xml:space="preserve"> livraison</w:t>
      </w:r>
      <w:r w:rsidR="0090150E" w:rsidRPr="008821CD">
        <w:rPr>
          <w:rFonts w:ascii="Verdana" w:hAnsi="Verdana"/>
          <w:sz w:val="20"/>
          <w:szCs w:val="20"/>
        </w:rPr>
        <w:t>s</w:t>
      </w:r>
      <w:r w:rsidR="00B5267E" w:rsidRPr="008821CD">
        <w:rPr>
          <w:rFonts w:ascii="Verdana" w:hAnsi="Verdana"/>
          <w:sz w:val="20"/>
          <w:szCs w:val="20"/>
        </w:rPr>
        <w:t xml:space="preserve"> sont prévu</w:t>
      </w:r>
      <w:r w:rsidR="0090150E" w:rsidRPr="008821CD">
        <w:rPr>
          <w:rFonts w:ascii="Verdana" w:hAnsi="Verdana"/>
          <w:sz w:val="20"/>
          <w:szCs w:val="20"/>
        </w:rPr>
        <w:t>e</w:t>
      </w:r>
      <w:r w:rsidR="00B5267E" w:rsidRPr="008821CD">
        <w:rPr>
          <w:rFonts w:ascii="Verdana" w:hAnsi="Verdana"/>
          <w:sz w:val="20"/>
          <w:szCs w:val="20"/>
        </w:rPr>
        <w:t>s au plus tard le 12</w:t>
      </w:r>
      <w:r w:rsidR="0090150E" w:rsidRPr="008821CD">
        <w:rPr>
          <w:rFonts w:ascii="Verdana" w:hAnsi="Verdana"/>
          <w:sz w:val="20"/>
          <w:szCs w:val="20"/>
        </w:rPr>
        <w:t xml:space="preserve"> décembre</w:t>
      </w:r>
      <w:r w:rsidR="00B5267E" w:rsidRPr="008821CD">
        <w:rPr>
          <w:rFonts w:ascii="Verdana" w:hAnsi="Verdana"/>
          <w:sz w:val="20"/>
          <w:szCs w:val="20"/>
        </w:rPr>
        <w:t xml:space="preserve"> 2025</w:t>
      </w:r>
      <w:r w:rsidR="005C6689" w:rsidRPr="008821CD">
        <w:rPr>
          <w:rFonts w:ascii="Verdana" w:hAnsi="Verdana"/>
          <w:sz w:val="20"/>
          <w:szCs w:val="20"/>
        </w:rPr>
        <w:t>.</w:t>
      </w:r>
      <w:r w:rsidR="00857B5E" w:rsidRPr="008821CD">
        <w:rPr>
          <w:rFonts w:ascii="Verdana" w:hAnsi="Verdana"/>
          <w:sz w:val="20"/>
          <w:szCs w:val="20"/>
        </w:rPr>
        <w:t xml:space="preserve"> </w:t>
      </w:r>
      <w:r w:rsidR="00B5267E" w:rsidRPr="008821CD">
        <w:rPr>
          <w:rFonts w:ascii="Verdana" w:hAnsi="Verdana"/>
          <w:sz w:val="20"/>
          <w:szCs w:val="20"/>
        </w:rPr>
        <w:t>La liste des équipements par pays ser</w:t>
      </w:r>
      <w:r w:rsidR="002344F1">
        <w:rPr>
          <w:rFonts w:ascii="Verdana" w:hAnsi="Verdana"/>
          <w:sz w:val="20"/>
          <w:szCs w:val="20"/>
        </w:rPr>
        <w:t>a</w:t>
      </w:r>
      <w:r w:rsidR="00B5267E" w:rsidRPr="008821CD">
        <w:rPr>
          <w:rFonts w:ascii="Verdana" w:hAnsi="Verdana"/>
          <w:sz w:val="20"/>
          <w:szCs w:val="20"/>
        </w:rPr>
        <w:t xml:space="preserve"> transmis</w:t>
      </w:r>
      <w:r w:rsidR="002344F1">
        <w:rPr>
          <w:rFonts w:ascii="Verdana" w:hAnsi="Verdana"/>
          <w:sz w:val="20"/>
          <w:szCs w:val="20"/>
        </w:rPr>
        <w:t>e</w:t>
      </w:r>
      <w:r w:rsidR="00B5267E" w:rsidRPr="008821CD">
        <w:rPr>
          <w:rFonts w:ascii="Verdana" w:hAnsi="Verdana"/>
          <w:sz w:val="20"/>
          <w:szCs w:val="20"/>
        </w:rPr>
        <w:t xml:space="preserve"> aux autorités concernées pour faciliter le dédouanement et les</w:t>
      </w:r>
      <w:r w:rsidR="00857B5E" w:rsidRPr="008821CD">
        <w:rPr>
          <w:rFonts w:ascii="Verdana" w:hAnsi="Verdana"/>
          <w:sz w:val="20"/>
          <w:szCs w:val="20"/>
        </w:rPr>
        <w:t xml:space="preserve"> cérémonies </w:t>
      </w:r>
      <w:r w:rsidR="002344F1">
        <w:rPr>
          <w:rFonts w:ascii="Verdana" w:hAnsi="Verdana"/>
          <w:sz w:val="20"/>
          <w:szCs w:val="20"/>
        </w:rPr>
        <w:t xml:space="preserve">officielles </w:t>
      </w:r>
      <w:r w:rsidR="00857B5E" w:rsidRPr="008821CD">
        <w:rPr>
          <w:rFonts w:ascii="Verdana" w:hAnsi="Verdana"/>
          <w:sz w:val="20"/>
          <w:szCs w:val="20"/>
        </w:rPr>
        <w:t xml:space="preserve">de remise de </w:t>
      </w:r>
      <w:r w:rsidR="0090150E" w:rsidRPr="008821CD">
        <w:rPr>
          <w:rFonts w:ascii="Verdana" w:hAnsi="Verdana"/>
          <w:sz w:val="20"/>
          <w:szCs w:val="20"/>
        </w:rPr>
        <w:t>c</w:t>
      </w:r>
      <w:r w:rsidR="00857B5E" w:rsidRPr="008821CD">
        <w:rPr>
          <w:rFonts w:ascii="Verdana" w:hAnsi="Verdana"/>
          <w:sz w:val="20"/>
          <w:szCs w:val="20"/>
        </w:rPr>
        <w:t xml:space="preserve">es matériels et équipements restent à </w:t>
      </w:r>
      <w:r w:rsidR="00F871C8" w:rsidRPr="008821CD">
        <w:rPr>
          <w:rFonts w:ascii="Verdana" w:hAnsi="Verdana"/>
          <w:sz w:val="20"/>
          <w:szCs w:val="20"/>
        </w:rPr>
        <w:t>programmer</w:t>
      </w:r>
      <w:r w:rsidR="00B5267E" w:rsidRPr="008821CD">
        <w:rPr>
          <w:rFonts w:ascii="Verdana" w:hAnsi="Verdana"/>
          <w:sz w:val="20"/>
          <w:szCs w:val="20"/>
        </w:rPr>
        <w:t xml:space="preserve"> avec les autorités locales et l’Union Européen</w:t>
      </w:r>
      <w:r w:rsidR="0090150E" w:rsidRPr="008821CD">
        <w:rPr>
          <w:rFonts w:ascii="Verdana" w:hAnsi="Verdana"/>
          <w:sz w:val="20"/>
          <w:szCs w:val="20"/>
        </w:rPr>
        <w:t>ne</w:t>
      </w:r>
      <w:r w:rsidR="007C5F6F" w:rsidRPr="008821CD">
        <w:rPr>
          <w:rFonts w:ascii="Verdana" w:hAnsi="Verdana"/>
          <w:sz w:val="20"/>
          <w:szCs w:val="20"/>
        </w:rPr>
        <w:t xml:space="preserve">. </w:t>
      </w:r>
      <w:r w:rsidR="00674A6A" w:rsidRPr="008821CD">
        <w:rPr>
          <w:rFonts w:ascii="Verdana" w:hAnsi="Verdana"/>
          <w:sz w:val="20"/>
          <w:szCs w:val="20"/>
        </w:rPr>
        <w:t xml:space="preserve"> </w:t>
      </w:r>
      <w:r w:rsidR="001F00E4" w:rsidRPr="008821CD">
        <w:rPr>
          <w:rFonts w:ascii="Verdana" w:hAnsi="Verdana"/>
          <w:sz w:val="20"/>
          <w:szCs w:val="20"/>
        </w:rPr>
        <w:t xml:space="preserve"> </w:t>
      </w:r>
    </w:p>
    <w:p w14:paraId="20561A2B" w14:textId="77777777" w:rsidR="008821CD" w:rsidRPr="008821CD" w:rsidRDefault="008821CD" w:rsidP="008821CD">
      <w:pPr>
        <w:spacing w:after="0" w:line="240" w:lineRule="auto"/>
        <w:jc w:val="both"/>
        <w:rPr>
          <w:rFonts w:ascii="Verdana" w:hAnsi="Verdana"/>
          <w:sz w:val="20"/>
          <w:szCs w:val="20"/>
        </w:rPr>
      </w:pPr>
    </w:p>
    <w:p w14:paraId="4F46C374" w14:textId="73931A55" w:rsidR="001F00E4" w:rsidRPr="008821CD" w:rsidRDefault="00447278" w:rsidP="008821CD">
      <w:pPr>
        <w:spacing w:after="0" w:line="240" w:lineRule="auto"/>
        <w:jc w:val="both"/>
        <w:rPr>
          <w:rFonts w:ascii="Verdana" w:hAnsi="Verdana"/>
          <w:sz w:val="20"/>
          <w:szCs w:val="20"/>
        </w:rPr>
      </w:pPr>
      <w:r w:rsidRPr="008821CD">
        <w:rPr>
          <w:rFonts w:ascii="Verdana" w:hAnsi="Verdana"/>
          <w:sz w:val="20"/>
          <w:szCs w:val="20"/>
        </w:rPr>
        <w:t>L</w:t>
      </w:r>
      <w:r w:rsidR="00FF2EDC" w:rsidRPr="008821CD">
        <w:rPr>
          <w:rFonts w:ascii="Verdana" w:hAnsi="Verdana"/>
          <w:sz w:val="20"/>
          <w:szCs w:val="20"/>
        </w:rPr>
        <w:t xml:space="preserve">es autres activités </w:t>
      </w:r>
      <w:r w:rsidR="00F871C8" w:rsidRPr="008821CD">
        <w:rPr>
          <w:rFonts w:ascii="Verdana" w:hAnsi="Verdana"/>
          <w:sz w:val="20"/>
          <w:szCs w:val="20"/>
        </w:rPr>
        <w:t>du projet</w:t>
      </w:r>
      <w:r w:rsidR="00017318" w:rsidRPr="008821CD">
        <w:rPr>
          <w:rFonts w:ascii="Verdana" w:hAnsi="Verdana"/>
          <w:sz w:val="20"/>
          <w:szCs w:val="20"/>
        </w:rPr>
        <w:t>,</w:t>
      </w:r>
      <w:r w:rsidR="00FF2EDC" w:rsidRPr="008821CD">
        <w:rPr>
          <w:rFonts w:ascii="Verdana" w:hAnsi="Verdana"/>
          <w:sz w:val="20"/>
          <w:szCs w:val="20"/>
        </w:rPr>
        <w:t xml:space="preserve"> notamment </w:t>
      </w:r>
      <w:r w:rsidR="00F871C8" w:rsidRPr="008821CD">
        <w:rPr>
          <w:rFonts w:ascii="Verdana" w:hAnsi="Verdana"/>
          <w:sz w:val="20"/>
          <w:szCs w:val="20"/>
        </w:rPr>
        <w:t>l</w:t>
      </w:r>
      <w:r w:rsidR="00482A44" w:rsidRPr="008821CD">
        <w:rPr>
          <w:rFonts w:ascii="Verdana" w:hAnsi="Verdana"/>
          <w:sz w:val="20"/>
          <w:szCs w:val="20"/>
        </w:rPr>
        <w:t>a</w:t>
      </w:r>
      <w:r w:rsidR="00F871C8" w:rsidRPr="008821CD">
        <w:rPr>
          <w:rFonts w:ascii="Verdana" w:hAnsi="Verdana"/>
          <w:sz w:val="20"/>
          <w:szCs w:val="20"/>
        </w:rPr>
        <w:t xml:space="preserve"> campagne</w:t>
      </w:r>
      <w:r w:rsidR="00FF2EDC" w:rsidRPr="008821CD">
        <w:rPr>
          <w:rFonts w:ascii="Verdana" w:hAnsi="Verdana"/>
          <w:sz w:val="20"/>
          <w:szCs w:val="20"/>
        </w:rPr>
        <w:t xml:space="preserve"> de sensibili</w:t>
      </w:r>
      <w:r w:rsidR="006279A7" w:rsidRPr="008821CD">
        <w:rPr>
          <w:rFonts w:ascii="Verdana" w:hAnsi="Verdana"/>
          <w:sz w:val="20"/>
          <w:szCs w:val="20"/>
        </w:rPr>
        <w:t>sation sur les incendies</w:t>
      </w:r>
      <w:r w:rsidR="00017318" w:rsidRPr="008821CD">
        <w:rPr>
          <w:rFonts w:ascii="Verdana" w:hAnsi="Verdana"/>
          <w:sz w:val="20"/>
          <w:szCs w:val="20"/>
        </w:rPr>
        <w:t xml:space="preserve"> domestiques</w:t>
      </w:r>
      <w:r w:rsidR="006279A7" w:rsidRPr="008821CD">
        <w:rPr>
          <w:rFonts w:ascii="Verdana" w:hAnsi="Verdana"/>
          <w:sz w:val="20"/>
          <w:szCs w:val="20"/>
        </w:rPr>
        <w:t xml:space="preserve"> dans les écoles au</w:t>
      </w:r>
      <w:r w:rsidR="00674A6A" w:rsidRPr="008821CD">
        <w:rPr>
          <w:rFonts w:ascii="Verdana" w:hAnsi="Verdana"/>
          <w:sz w:val="20"/>
          <w:szCs w:val="20"/>
        </w:rPr>
        <w:t>x</w:t>
      </w:r>
      <w:r w:rsidR="006279A7" w:rsidRPr="008821CD">
        <w:rPr>
          <w:rFonts w:ascii="Verdana" w:hAnsi="Verdana"/>
          <w:sz w:val="20"/>
          <w:szCs w:val="20"/>
        </w:rPr>
        <w:t xml:space="preserve"> Comores</w:t>
      </w:r>
      <w:r w:rsidR="00017318" w:rsidRPr="008821CD">
        <w:rPr>
          <w:rFonts w:ascii="Verdana" w:hAnsi="Verdana"/>
          <w:sz w:val="20"/>
          <w:szCs w:val="20"/>
        </w:rPr>
        <w:t>, la finalisation du concours régional de vidéos de sensibilisation pour les jeunes</w:t>
      </w:r>
      <w:r w:rsidR="00C270F9" w:rsidRPr="008821CD">
        <w:rPr>
          <w:rFonts w:ascii="Verdana" w:hAnsi="Verdana"/>
          <w:sz w:val="20"/>
          <w:szCs w:val="20"/>
        </w:rPr>
        <w:t xml:space="preserve">, </w:t>
      </w:r>
      <w:r w:rsidR="002344F1">
        <w:rPr>
          <w:rFonts w:ascii="Verdana" w:hAnsi="Verdana"/>
          <w:sz w:val="20"/>
          <w:szCs w:val="20"/>
        </w:rPr>
        <w:t xml:space="preserve">et </w:t>
      </w:r>
      <w:r w:rsidR="00C270F9" w:rsidRPr="008821CD">
        <w:rPr>
          <w:rFonts w:ascii="Verdana" w:hAnsi="Verdana"/>
          <w:sz w:val="20"/>
          <w:szCs w:val="20"/>
        </w:rPr>
        <w:t xml:space="preserve">les consultations nationales sur la résilience </w:t>
      </w:r>
      <w:r w:rsidR="00583688" w:rsidRPr="008821CD">
        <w:rPr>
          <w:rFonts w:ascii="Verdana" w:hAnsi="Verdana"/>
          <w:sz w:val="20"/>
          <w:szCs w:val="20"/>
        </w:rPr>
        <w:t>urbaine sont</w:t>
      </w:r>
      <w:r w:rsidR="00A85F62" w:rsidRPr="008821CD">
        <w:rPr>
          <w:rFonts w:ascii="Verdana" w:hAnsi="Verdana"/>
          <w:sz w:val="20"/>
          <w:szCs w:val="20"/>
        </w:rPr>
        <w:t xml:space="preserve"> </w:t>
      </w:r>
      <w:r w:rsidR="00AF7DC4" w:rsidRPr="008821CD">
        <w:rPr>
          <w:rFonts w:ascii="Verdana" w:hAnsi="Verdana"/>
          <w:sz w:val="20"/>
          <w:szCs w:val="20"/>
        </w:rPr>
        <w:t>en cours</w:t>
      </w:r>
      <w:r w:rsidR="00017318" w:rsidRPr="008821CD">
        <w:rPr>
          <w:rFonts w:ascii="Verdana" w:hAnsi="Verdana"/>
          <w:sz w:val="20"/>
          <w:szCs w:val="20"/>
        </w:rPr>
        <w:t>. En revanche,</w:t>
      </w:r>
      <w:r w:rsidR="00A85F62" w:rsidRPr="008821CD">
        <w:rPr>
          <w:rFonts w:ascii="Verdana" w:hAnsi="Verdana"/>
          <w:sz w:val="20"/>
          <w:szCs w:val="20"/>
        </w:rPr>
        <w:t xml:space="preserve"> </w:t>
      </w:r>
      <w:r w:rsidR="00C31797" w:rsidRPr="008821CD">
        <w:rPr>
          <w:rFonts w:ascii="Verdana" w:hAnsi="Verdana"/>
          <w:sz w:val="20"/>
          <w:szCs w:val="20"/>
        </w:rPr>
        <w:t xml:space="preserve">les ateliers </w:t>
      </w:r>
      <w:r w:rsidR="00EB08F5" w:rsidRPr="008821CD">
        <w:rPr>
          <w:rFonts w:ascii="Verdana" w:hAnsi="Verdana"/>
          <w:sz w:val="20"/>
          <w:szCs w:val="20"/>
        </w:rPr>
        <w:t>nationaux, formation</w:t>
      </w:r>
      <w:r w:rsidR="00AF7DC4" w:rsidRPr="008821CD">
        <w:rPr>
          <w:rFonts w:ascii="Verdana" w:hAnsi="Verdana"/>
          <w:sz w:val="20"/>
          <w:szCs w:val="20"/>
        </w:rPr>
        <w:t>s</w:t>
      </w:r>
      <w:r w:rsidR="00EB08F5" w:rsidRPr="008821CD">
        <w:rPr>
          <w:rFonts w:ascii="Verdana" w:hAnsi="Verdana"/>
          <w:sz w:val="20"/>
          <w:szCs w:val="20"/>
        </w:rPr>
        <w:t xml:space="preserve"> régiona</w:t>
      </w:r>
      <w:r w:rsidR="00017318" w:rsidRPr="008821CD">
        <w:rPr>
          <w:rFonts w:ascii="Verdana" w:hAnsi="Verdana"/>
          <w:sz w:val="20"/>
          <w:szCs w:val="20"/>
        </w:rPr>
        <w:t>les</w:t>
      </w:r>
      <w:r w:rsidR="00EB08F5" w:rsidRPr="008821CD">
        <w:rPr>
          <w:rFonts w:ascii="Verdana" w:hAnsi="Verdana"/>
          <w:sz w:val="20"/>
          <w:szCs w:val="20"/>
        </w:rPr>
        <w:t xml:space="preserve"> et échang</w:t>
      </w:r>
      <w:r w:rsidR="0090150E" w:rsidRPr="008821CD">
        <w:rPr>
          <w:rFonts w:ascii="Verdana" w:hAnsi="Verdana"/>
          <w:sz w:val="20"/>
          <w:szCs w:val="20"/>
        </w:rPr>
        <w:t>e</w:t>
      </w:r>
      <w:r w:rsidR="00EB08F5" w:rsidRPr="008821CD">
        <w:rPr>
          <w:rFonts w:ascii="Verdana" w:hAnsi="Verdana"/>
          <w:sz w:val="20"/>
          <w:szCs w:val="20"/>
        </w:rPr>
        <w:t xml:space="preserve">s entre pairs prévus à Madagascar </w:t>
      </w:r>
      <w:r w:rsidR="002344F1">
        <w:rPr>
          <w:rFonts w:ascii="Verdana" w:hAnsi="Verdana"/>
          <w:sz w:val="20"/>
          <w:szCs w:val="20"/>
        </w:rPr>
        <w:t>sont reportés, compte tenu des</w:t>
      </w:r>
      <w:r w:rsidR="00826846" w:rsidRPr="008821CD">
        <w:rPr>
          <w:rFonts w:ascii="Verdana" w:hAnsi="Verdana"/>
          <w:sz w:val="20"/>
          <w:szCs w:val="20"/>
        </w:rPr>
        <w:t xml:space="preserve"> évènements récents </w:t>
      </w:r>
      <w:r w:rsidR="002344F1">
        <w:rPr>
          <w:rFonts w:ascii="Verdana" w:hAnsi="Verdana"/>
          <w:sz w:val="20"/>
          <w:szCs w:val="20"/>
        </w:rPr>
        <w:t>dans le pays</w:t>
      </w:r>
      <w:r w:rsidR="00700CE2" w:rsidRPr="008821CD">
        <w:rPr>
          <w:rFonts w:ascii="Verdana" w:hAnsi="Verdana"/>
          <w:sz w:val="20"/>
          <w:szCs w:val="20"/>
        </w:rPr>
        <w:t xml:space="preserve">. Aux Seychelles, certaines démarches administratives, notamment l’obtention des permis d’importation et d’utilisation de matériels spécifiques (équipements radio, drone), ont été </w:t>
      </w:r>
      <w:r w:rsidR="002344F1">
        <w:rPr>
          <w:rFonts w:ascii="Verdana" w:hAnsi="Verdana"/>
          <w:sz w:val="20"/>
          <w:szCs w:val="20"/>
        </w:rPr>
        <w:t>ralenties en raison d’un</w:t>
      </w:r>
      <w:r w:rsidR="00700CE2" w:rsidRPr="008821CD">
        <w:rPr>
          <w:rFonts w:ascii="Verdana" w:hAnsi="Verdana"/>
          <w:sz w:val="20"/>
          <w:szCs w:val="20"/>
        </w:rPr>
        <w:t xml:space="preserve"> fonctionnement perturbé de l’administration en période électorale, ce qui pourrait avoir une incidence sur le calendrier de mise en œuvre.</w:t>
      </w:r>
    </w:p>
    <w:p w14:paraId="70FB346F" w14:textId="77777777" w:rsidR="00AD1C67" w:rsidRPr="00AD1C67" w:rsidRDefault="009B1A7D" w:rsidP="00AD1C67">
      <w:pPr>
        <w:pStyle w:val="NormalWeb"/>
        <w:jc w:val="both"/>
      </w:pPr>
      <w:r w:rsidRPr="008821CD">
        <w:rPr>
          <w:rFonts w:ascii="Verdana" w:hAnsi="Verdana"/>
          <w:sz w:val="20"/>
          <w:szCs w:val="20"/>
        </w:rPr>
        <w:t>La</w:t>
      </w:r>
      <w:r w:rsidR="005B3A54" w:rsidRPr="008821CD">
        <w:rPr>
          <w:rFonts w:ascii="Verdana" w:hAnsi="Verdana"/>
          <w:sz w:val="20"/>
          <w:szCs w:val="20"/>
        </w:rPr>
        <w:t xml:space="preserve"> mise en place d’un mécanisme de coordination régionale pour la réduction des risques de catastrophes (RRC) </w:t>
      </w:r>
      <w:r w:rsidR="00B5267E" w:rsidRPr="008821CD">
        <w:rPr>
          <w:rFonts w:ascii="Verdana" w:hAnsi="Verdana"/>
          <w:sz w:val="20"/>
          <w:szCs w:val="20"/>
        </w:rPr>
        <w:t>a bien avancé et</w:t>
      </w:r>
      <w:r w:rsidRPr="008821CD">
        <w:rPr>
          <w:rFonts w:ascii="Verdana" w:hAnsi="Verdana"/>
          <w:sz w:val="20"/>
          <w:szCs w:val="20"/>
        </w:rPr>
        <w:t xml:space="preserve"> les groupes de travail thématique</w:t>
      </w:r>
      <w:r w:rsidR="005535D9">
        <w:rPr>
          <w:rFonts w:ascii="Verdana" w:hAnsi="Verdana"/>
          <w:sz w:val="20"/>
          <w:szCs w:val="20"/>
        </w:rPr>
        <w:t>s</w:t>
      </w:r>
      <w:r w:rsidRPr="008821CD">
        <w:rPr>
          <w:rFonts w:ascii="Verdana" w:hAnsi="Verdana"/>
          <w:sz w:val="20"/>
          <w:szCs w:val="20"/>
        </w:rPr>
        <w:t xml:space="preserve"> sont en </w:t>
      </w:r>
      <w:r w:rsidR="005535D9">
        <w:rPr>
          <w:rFonts w:ascii="Verdana" w:hAnsi="Verdana"/>
          <w:sz w:val="20"/>
          <w:szCs w:val="20"/>
        </w:rPr>
        <w:t>cours de constitution</w:t>
      </w:r>
      <w:r w:rsidR="007D1A26" w:rsidRPr="008821CD">
        <w:rPr>
          <w:rFonts w:ascii="Verdana" w:hAnsi="Verdana"/>
          <w:sz w:val="20"/>
          <w:szCs w:val="20"/>
        </w:rPr>
        <w:t>.</w:t>
      </w:r>
      <w:r w:rsidR="007C1F02" w:rsidRPr="008821CD">
        <w:rPr>
          <w:rFonts w:ascii="Verdana" w:hAnsi="Verdana"/>
          <w:sz w:val="20"/>
          <w:szCs w:val="20"/>
        </w:rPr>
        <w:t xml:space="preserve"> </w:t>
      </w:r>
      <w:r w:rsidR="00447278" w:rsidRPr="008821CD">
        <w:rPr>
          <w:rFonts w:ascii="Verdana" w:hAnsi="Verdana"/>
          <w:sz w:val="20"/>
          <w:szCs w:val="20"/>
        </w:rPr>
        <w:t>Le</w:t>
      </w:r>
      <w:r w:rsidR="007C1F02" w:rsidRPr="008821CD">
        <w:rPr>
          <w:rFonts w:ascii="Verdana" w:hAnsi="Verdana"/>
          <w:sz w:val="20"/>
          <w:szCs w:val="20"/>
        </w:rPr>
        <w:t xml:space="preserve"> groupe</w:t>
      </w:r>
      <w:r w:rsidR="007D1A26" w:rsidRPr="008821CD">
        <w:rPr>
          <w:rFonts w:ascii="Verdana" w:hAnsi="Verdana"/>
          <w:sz w:val="20"/>
          <w:szCs w:val="20"/>
        </w:rPr>
        <w:t xml:space="preserve"> de travail</w:t>
      </w:r>
      <w:r w:rsidR="00C270F9" w:rsidRPr="008821CD">
        <w:rPr>
          <w:rFonts w:ascii="Verdana" w:hAnsi="Verdana"/>
          <w:sz w:val="20"/>
          <w:szCs w:val="20"/>
        </w:rPr>
        <w:t xml:space="preserve"> </w:t>
      </w:r>
      <w:r w:rsidR="00583688" w:rsidRPr="008821CD">
        <w:rPr>
          <w:rFonts w:ascii="Verdana" w:hAnsi="Verdana"/>
          <w:sz w:val="20"/>
          <w:szCs w:val="20"/>
        </w:rPr>
        <w:t>technique</w:t>
      </w:r>
      <w:r w:rsidR="007D1A26" w:rsidRPr="008821CD">
        <w:rPr>
          <w:rFonts w:ascii="Verdana" w:hAnsi="Verdana"/>
          <w:sz w:val="20"/>
          <w:szCs w:val="20"/>
        </w:rPr>
        <w:t xml:space="preserve"> </w:t>
      </w:r>
      <w:r w:rsidR="00447278" w:rsidRPr="008821CD">
        <w:rPr>
          <w:rFonts w:ascii="Verdana" w:hAnsi="Verdana"/>
          <w:sz w:val="20"/>
          <w:szCs w:val="20"/>
        </w:rPr>
        <w:t>sur</w:t>
      </w:r>
      <w:r w:rsidR="00700CE2" w:rsidRPr="008821CD">
        <w:rPr>
          <w:rFonts w:ascii="Verdana" w:hAnsi="Verdana"/>
          <w:sz w:val="20"/>
          <w:szCs w:val="20"/>
        </w:rPr>
        <w:t xml:space="preserve"> l’utilisation des services climatiques par </w:t>
      </w:r>
      <w:r w:rsidR="00700CE2" w:rsidRPr="00AD1C67">
        <w:rPr>
          <w:rFonts w:ascii="Verdana" w:hAnsi="Verdana"/>
          <w:sz w:val="20"/>
          <w:szCs w:val="20"/>
        </w:rPr>
        <w:t>le secteur</w:t>
      </w:r>
      <w:r w:rsidR="00C270F9" w:rsidRPr="00AD1C67">
        <w:rPr>
          <w:rFonts w:ascii="Verdana" w:hAnsi="Verdana"/>
          <w:sz w:val="20"/>
          <w:szCs w:val="20"/>
        </w:rPr>
        <w:t xml:space="preserve"> de la</w:t>
      </w:r>
      <w:r w:rsidR="00700CE2" w:rsidRPr="00AD1C67">
        <w:rPr>
          <w:rFonts w:ascii="Verdana" w:hAnsi="Verdana"/>
          <w:sz w:val="20"/>
          <w:szCs w:val="20"/>
        </w:rPr>
        <w:t xml:space="preserve"> </w:t>
      </w:r>
      <w:r w:rsidR="00AD1C67" w:rsidRPr="00AD1C67">
        <w:rPr>
          <w:rFonts w:ascii="Verdana" w:hAnsi="Verdana"/>
          <w:sz w:val="20"/>
          <w:szCs w:val="20"/>
        </w:rPr>
        <w:t>« </w:t>
      </w:r>
      <w:r w:rsidR="00700CE2" w:rsidRPr="00AD1C67">
        <w:rPr>
          <w:rFonts w:ascii="Verdana" w:hAnsi="Verdana"/>
          <w:sz w:val="20"/>
          <w:szCs w:val="20"/>
        </w:rPr>
        <w:t>RRC</w:t>
      </w:r>
      <w:r w:rsidR="00AD1C67" w:rsidRPr="00AD1C67">
        <w:rPr>
          <w:rFonts w:ascii="Verdana" w:hAnsi="Verdana"/>
          <w:sz w:val="20"/>
          <w:szCs w:val="20"/>
        </w:rPr>
        <w:t> »</w:t>
      </w:r>
      <w:r w:rsidR="00AF7DC4" w:rsidRPr="00AD1C67">
        <w:rPr>
          <w:rFonts w:ascii="Verdana" w:hAnsi="Verdana"/>
          <w:sz w:val="20"/>
          <w:szCs w:val="20"/>
        </w:rPr>
        <w:t xml:space="preserve"> est</w:t>
      </w:r>
      <w:r w:rsidR="00447278" w:rsidRPr="00AD1C67">
        <w:rPr>
          <w:rFonts w:ascii="Verdana" w:hAnsi="Verdana"/>
          <w:sz w:val="20"/>
          <w:szCs w:val="20"/>
        </w:rPr>
        <w:t xml:space="preserve"> </w:t>
      </w:r>
      <w:r w:rsidR="00AD1C67" w:rsidRPr="00AD1C67">
        <w:rPr>
          <w:rFonts w:ascii="Verdana" w:hAnsi="Verdana"/>
          <w:sz w:val="20"/>
          <w:szCs w:val="20"/>
        </w:rPr>
        <w:t>déjà opérationnel</w:t>
      </w:r>
      <w:r w:rsidR="00447278" w:rsidRPr="00AD1C67">
        <w:rPr>
          <w:rFonts w:ascii="Verdana" w:hAnsi="Verdana"/>
          <w:sz w:val="20"/>
          <w:szCs w:val="20"/>
        </w:rPr>
        <w:t xml:space="preserve"> en collaboration avec le projet Hydromet. </w:t>
      </w:r>
      <w:r w:rsidR="00AD1C67" w:rsidRPr="00AD1C67">
        <w:rPr>
          <w:rFonts w:asciiTheme="minorHAnsi" w:hAnsiTheme="minorHAnsi" w:cstheme="minorHAnsi"/>
        </w:rPr>
        <w:t xml:space="preserve">Les réunions de ce groupe se tiennent lors du </w:t>
      </w:r>
      <w:r w:rsidR="00AD1C67" w:rsidRPr="00AD1C67">
        <w:rPr>
          <w:rStyle w:val="lev"/>
          <w:rFonts w:asciiTheme="minorHAnsi" w:hAnsiTheme="minorHAnsi" w:cstheme="minorHAnsi"/>
          <w:b w:val="0"/>
        </w:rPr>
        <w:t>Forum des utilisateurs du SWIOCOF</w:t>
      </w:r>
      <w:r w:rsidR="00AD1C67" w:rsidRPr="00AD1C67">
        <w:rPr>
          <w:rFonts w:asciiTheme="minorHAnsi" w:hAnsiTheme="minorHAnsi" w:cstheme="minorHAnsi"/>
          <w:b/>
        </w:rPr>
        <w:t>,</w:t>
      </w:r>
      <w:r w:rsidR="00AD1C67" w:rsidRPr="00AD1C67">
        <w:rPr>
          <w:rFonts w:asciiTheme="minorHAnsi" w:hAnsiTheme="minorHAnsi" w:cstheme="minorHAnsi"/>
        </w:rPr>
        <w:t xml:space="preserve"> et seront </w:t>
      </w:r>
      <w:r w:rsidR="00AD1C67" w:rsidRPr="00AD1C67">
        <w:rPr>
          <w:rStyle w:val="lev"/>
          <w:rFonts w:asciiTheme="minorHAnsi" w:hAnsiTheme="minorHAnsi" w:cstheme="minorHAnsi"/>
          <w:b w:val="0"/>
        </w:rPr>
        <w:t>consolidées</w:t>
      </w:r>
      <w:r w:rsidR="00AD1C67" w:rsidRPr="00AD1C67">
        <w:rPr>
          <w:rFonts w:asciiTheme="minorHAnsi" w:hAnsiTheme="minorHAnsi" w:cstheme="minorHAnsi"/>
        </w:rPr>
        <w:t xml:space="preserve"> dans le cadre du projet </w:t>
      </w:r>
      <w:r w:rsidR="00AD1C67" w:rsidRPr="00AD1C67">
        <w:rPr>
          <w:rStyle w:val="lev"/>
          <w:rFonts w:asciiTheme="minorHAnsi" w:hAnsiTheme="minorHAnsi" w:cstheme="minorHAnsi"/>
          <w:b w:val="0"/>
        </w:rPr>
        <w:t>HYDROMET.</w:t>
      </w:r>
    </w:p>
    <w:p w14:paraId="44F0BA49" w14:textId="7E605DB9" w:rsidR="00625D8E" w:rsidRDefault="00625D8E" w:rsidP="008821CD">
      <w:pPr>
        <w:spacing w:after="0" w:line="240" w:lineRule="auto"/>
        <w:jc w:val="both"/>
        <w:rPr>
          <w:rFonts w:ascii="Verdana" w:hAnsi="Verdana"/>
          <w:sz w:val="20"/>
          <w:szCs w:val="20"/>
        </w:rPr>
      </w:pPr>
      <w:r w:rsidRPr="008821CD">
        <w:rPr>
          <w:rFonts w:ascii="Verdana" w:hAnsi="Verdana"/>
          <w:sz w:val="20"/>
          <w:szCs w:val="20"/>
        </w:rPr>
        <w:t>L’atelier régional, prévu du 25 au 27 novembre à Maurice, permettra de consolider les travaux du groupe technique sur la résilience urbaine et de planifier la conception et la mise en œuvre d’initiatives régionales dans ce domaine.</w:t>
      </w:r>
    </w:p>
    <w:p w14:paraId="65D2FE76" w14:textId="77777777" w:rsidR="008821CD" w:rsidRPr="008821CD" w:rsidRDefault="008821CD" w:rsidP="008821CD">
      <w:pPr>
        <w:spacing w:after="0" w:line="240" w:lineRule="auto"/>
        <w:jc w:val="both"/>
        <w:rPr>
          <w:rFonts w:ascii="Verdana" w:hAnsi="Verdana"/>
          <w:sz w:val="20"/>
          <w:szCs w:val="20"/>
        </w:rPr>
      </w:pPr>
    </w:p>
    <w:p w14:paraId="3CC4200D" w14:textId="11203A33" w:rsidR="005963B4" w:rsidRDefault="00B5267E" w:rsidP="008821CD">
      <w:pPr>
        <w:spacing w:after="0" w:line="240" w:lineRule="auto"/>
        <w:jc w:val="both"/>
        <w:rPr>
          <w:rFonts w:ascii="Verdana" w:hAnsi="Verdana"/>
          <w:sz w:val="20"/>
          <w:szCs w:val="20"/>
        </w:rPr>
      </w:pPr>
      <w:r w:rsidRPr="008821CD">
        <w:rPr>
          <w:rFonts w:ascii="Verdana" w:hAnsi="Verdana"/>
          <w:sz w:val="20"/>
          <w:szCs w:val="20"/>
        </w:rPr>
        <w:t xml:space="preserve">Malgré </w:t>
      </w:r>
      <w:r w:rsidR="00C270F9" w:rsidRPr="008821CD">
        <w:rPr>
          <w:rFonts w:ascii="Verdana" w:hAnsi="Verdana"/>
          <w:sz w:val="20"/>
          <w:szCs w:val="20"/>
        </w:rPr>
        <w:t>c</w:t>
      </w:r>
      <w:r w:rsidRPr="008821CD">
        <w:rPr>
          <w:rFonts w:ascii="Verdana" w:hAnsi="Verdana"/>
          <w:sz w:val="20"/>
          <w:szCs w:val="20"/>
        </w:rPr>
        <w:t xml:space="preserve">es </w:t>
      </w:r>
      <w:r w:rsidR="00583688" w:rsidRPr="008821CD">
        <w:rPr>
          <w:rFonts w:ascii="Verdana" w:hAnsi="Verdana"/>
          <w:sz w:val="20"/>
          <w:szCs w:val="20"/>
        </w:rPr>
        <w:t>avancées, il</w:t>
      </w:r>
      <w:r w:rsidR="00C270F9" w:rsidRPr="008821CD">
        <w:rPr>
          <w:rFonts w:ascii="Verdana" w:hAnsi="Verdana"/>
          <w:sz w:val="20"/>
          <w:szCs w:val="20"/>
        </w:rPr>
        <w:t xml:space="preserve"> convient de signaler le risque de retard dans la livraison de certains matériels et équipements, sur lesquels la COI n’a pas de contrôle direct.</w:t>
      </w:r>
      <w:r w:rsidR="007445F0" w:rsidRPr="008821CD">
        <w:rPr>
          <w:rFonts w:ascii="Verdana" w:hAnsi="Verdana"/>
          <w:sz w:val="20"/>
          <w:szCs w:val="20"/>
        </w:rPr>
        <w:t xml:space="preserve"> L</w:t>
      </w:r>
      <w:r w:rsidRPr="008821CD">
        <w:rPr>
          <w:rFonts w:ascii="Verdana" w:hAnsi="Verdana"/>
          <w:sz w:val="20"/>
          <w:szCs w:val="20"/>
        </w:rPr>
        <w:t xml:space="preserve">e Secretariat général </w:t>
      </w:r>
      <w:r w:rsidR="00E27D73" w:rsidRPr="008821CD">
        <w:rPr>
          <w:rFonts w:ascii="Verdana" w:hAnsi="Verdana"/>
          <w:sz w:val="20"/>
          <w:szCs w:val="20"/>
        </w:rPr>
        <w:t xml:space="preserve">a engagé des discussions </w:t>
      </w:r>
      <w:r w:rsidRPr="008821CD">
        <w:rPr>
          <w:rFonts w:ascii="Verdana" w:hAnsi="Verdana"/>
          <w:sz w:val="20"/>
          <w:szCs w:val="20"/>
        </w:rPr>
        <w:t xml:space="preserve">avec </w:t>
      </w:r>
      <w:r w:rsidR="007445F0" w:rsidRPr="008821CD">
        <w:rPr>
          <w:rFonts w:ascii="Verdana" w:hAnsi="Verdana"/>
          <w:sz w:val="20"/>
          <w:szCs w:val="20"/>
        </w:rPr>
        <w:t>l’UE</w:t>
      </w:r>
      <w:r w:rsidRPr="008821CD">
        <w:rPr>
          <w:rFonts w:ascii="Verdana" w:hAnsi="Verdana"/>
          <w:sz w:val="20"/>
          <w:szCs w:val="20"/>
        </w:rPr>
        <w:t xml:space="preserve"> en </w:t>
      </w:r>
      <w:r w:rsidR="007445F0" w:rsidRPr="008821CD">
        <w:rPr>
          <w:rFonts w:ascii="Verdana" w:hAnsi="Verdana"/>
          <w:sz w:val="20"/>
          <w:szCs w:val="20"/>
        </w:rPr>
        <w:t xml:space="preserve">vue d’un accord </w:t>
      </w:r>
      <w:r w:rsidR="00AD1C67">
        <w:rPr>
          <w:rFonts w:ascii="Verdana" w:hAnsi="Verdana"/>
          <w:sz w:val="20"/>
          <w:szCs w:val="20"/>
        </w:rPr>
        <w:t xml:space="preserve">de </w:t>
      </w:r>
      <w:r w:rsidR="00E27D73" w:rsidRPr="008821CD">
        <w:rPr>
          <w:rFonts w:ascii="Verdana" w:hAnsi="Verdana"/>
          <w:sz w:val="20"/>
          <w:szCs w:val="20"/>
        </w:rPr>
        <w:t xml:space="preserve">prolongation de </w:t>
      </w:r>
      <w:r w:rsidR="007445F0" w:rsidRPr="008821CD">
        <w:rPr>
          <w:rFonts w:ascii="Verdana" w:hAnsi="Verdana"/>
          <w:sz w:val="20"/>
          <w:szCs w:val="20"/>
        </w:rPr>
        <w:t>la période d’exécution</w:t>
      </w:r>
      <w:r w:rsidR="00E27D73" w:rsidRPr="008821CD">
        <w:rPr>
          <w:rFonts w:ascii="Verdana" w:hAnsi="Verdana"/>
          <w:sz w:val="20"/>
          <w:szCs w:val="20"/>
        </w:rPr>
        <w:t>, afin de</w:t>
      </w:r>
      <w:r w:rsidR="007445F0" w:rsidRPr="008821CD">
        <w:rPr>
          <w:rFonts w:ascii="Verdana" w:hAnsi="Verdana"/>
          <w:sz w:val="20"/>
          <w:szCs w:val="20"/>
        </w:rPr>
        <w:t xml:space="preserve"> permettre </w:t>
      </w:r>
      <w:r w:rsidR="00E27D73" w:rsidRPr="008821CD">
        <w:rPr>
          <w:rFonts w:ascii="Verdana" w:hAnsi="Verdana"/>
          <w:sz w:val="20"/>
          <w:szCs w:val="20"/>
        </w:rPr>
        <w:t>la finalisation des</w:t>
      </w:r>
      <w:r w:rsidR="007445F0" w:rsidRPr="008821CD">
        <w:rPr>
          <w:rFonts w:ascii="Verdana" w:hAnsi="Verdana"/>
          <w:sz w:val="20"/>
          <w:szCs w:val="20"/>
        </w:rPr>
        <w:t xml:space="preserve"> activités en cours.  </w:t>
      </w:r>
      <w:r w:rsidRPr="008821CD">
        <w:rPr>
          <w:rFonts w:ascii="Verdana" w:hAnsi="Verdana"/>
          <w:sz w:val="20"/>
          <w:szCs w:val="20"/>
        </w:rPr>
        <w:t xml:space="preserve">  </w:t>
      </w:r>
    </w:p>
    <w:p w14:paraId="39763238" w14:textId="77777777" w:rsidR="008821CD" w:rsidRPr="008821CD" w:rsidRDefault="008821CD" w:rsidP="008821CD">
      <w:pPr>
        <w:spacing w:after="0" w:line="240" w:lineRule="auto"/>
        <w:jc w:val="both"/>
        <w:rPr>
          <w:rFonts w:ascii="Verdana" w:hAnsi="Verdana"/>
          <w:color w:val="EE0000"/>
          <w:sz w:val="20"/>
          <w:szCs w:val="20"/>
        </w:rPr>
      </w:pPr>
    </w:p>
    <w:p w14:paraId="04825634" w14:textId="78820077" w:rsidR="0054347B" w:rsidRDefault="001F00E4" w:rsidP="008821CD">
      <w:pPr>
        <w:spacing w:after="0" w:line="240" w:lineRule="auto"/>
        <w:jc w:val="both"/>
        <w:rPr>
          <w:rFonts w:ascii="Verdana" w:hAnsi="Verdana"/>
          <w:sz w:val="20"/>
          <w:szCs w:val="20"/>
        </w:rPr>
      </w:pPr>
      <w:r w:rsidRPr="008821CD">
        <w:rPr>
          <w:rFonts w:ascii="Verdana" w:hAnsi="Verdana"/>
          <w:sz w:val="20"/>
          <w:szCs w:val="20"/>
        </w:rPr>
        <w:t>En</w:t>
      </w:r>
      <w:r w:rsidR="00625D8E" w:rsidRPr="008821CD">
        <w:rPr>
          <w:rFonts w:ascii="Verdana" w:hAnsi="Verdana"/>
          <w:sz w:val="20"/>
          <w:szCs w:val="20"/>
        </w:rPr>
        <w:t xml:space="preserve"> vue de la </w:t>
      </w:r>
      <w:r w:rsidR="00E27D73" w:rsidRPr="008821CD">
        <w:rPr>
          <w:rFonts w:ascii="Verdana" w:hAnsi="Verdana"/>
          <w:sz w:val="20"/>
          <w:szCs w:val="20"/>
        </w:rPr>
        <w:t>clôture du projet</w:t>
      </w:r>
      <w:r w:rsidR="00566F94" w:rsidRPr="008821CD">
        <w:rPr>
          <w:rFonts w:ascii="Verdana" w:hAnsi="Verdana"/>
          <w:sz w:val="20"/>
          <w:szCs w:val="20"/>
        </w:rPr>
        <w:t>, quelques pistes</w:t>
      </w:r>
      <w:r w:rsidR="00625D8E" w:rsidRPr="008821CD">
        <w:rPr>
          <w:rFonts w:ascii="Verdana" w:hAnsi="Verdana"/>
          <w:sz w:val="20"/>
          <w:szCs w:val="20"/>
        </w:rPr>
        <w:t xml:space="preserve"> </w:t>
      </w:r>
      <w:r w:rsidR="00AD1C67">
        <w:rPr>
          <w:rFonts w:ascii="Verdana" w:hAnsi="Verdana"/>
          <w:sz w:val="20"/>
          <w:szCs w:val="20"/>
        </w:rPr>
        <w:t xml:space="preserve">de poursuite </w:t>
      </w:r>
      <w:r w:rsidR="00625D8E" w:rsidRPr="008821CD">
        <w:rPr>
          <w:rFonts w:ascii="Verdana" w:hAnsi="Verdana"/>
          <w:sz w:val="20"/>
          <w:szCs w:val="20"/>
        </w:rPr>
        <w:t>ont été identifiées</w:t>
      </w:r>
      <w:r w:rsidR="00566F94" w:rsidRPr="008821CD">
        <w:rPr>
          <w:rFonts w:ascii="Verdana" w:hAnsi="Verdana"/>
          <w:sz w:val="20"/>
          <w:szCs w:val="20"/>
        </w:rPr>
        <w:t xml:space="preserve"> pour </w:t>
      </w:r>
      <w:r w:rsidR="00AD1C67">
        <w:rPr>
          <w:rFonts w:ascii="Verdana" w:hAnsi="Verdana"/>
          <w:sz w:val="20"/>
          <w:szCs w:val="20"/>
        </w:rPr>
        <w:t>maintenir la dynamique régionale</w:t>
      </w:r>
      <w:r w:rsidR="00566F94" w:rsidRPr="008821CD">
        <w:rPr>
          <w:rFonts w:ascii="Verdana" w:hAnsi="Verdana"/>
          <w:sz w:val="20"/>
          <w:szCs w:val="20"/>
        </w:rPr>
        <w:t xml:space="preserve"> porté</w:t>
      </w:r>
      <w:r w:rsidR="00625D8E" w:rsidRPr="008821CD">
        <w:rPr>
          <w:rFonts w:ascii="Verdana" w:hAnsi="Verdana"/>
          <w:sz w:val="20"/>
          <w:szCs w:val="20"/>
        </w:rPr>
        <w:t>e</w:t>
      </w:r>
      <w:r w:rsidR="00566F94" w:rsidRPr="008821CD">
        <w:rPr>
          <w:rFonts w:ascii="Verdana" w:hAnsi="Verdana"/>
          <w:sz w:val="20"/>
          <w:szCs w:val="20"/>
        </w:rPr>
        <w:t xml:space="preserve"> par la COI avec l’appui des partenaires. </w:t>
      </w:r>
      <w:r w:rsidR="00E27D73" w:rsidRPr="008821CD">
        <w:rPr>
          <w:rFonts w:ascii="Verdana" w:hAnsi="Verdana"/>
          <w:sz w:val="20"/>
          <w:szCs w:val="20"/>
        </w:rPr>
        <w:t>L’intégration des technologies</w:t>
      </w:r>
      <w:r w:rsidR="00566F94" w:rsidRPr="008821CD">
        <w:rPr>
          <w:rFonts w:ascii="Verdana" w:hAnsi="Verdana"/>
          <w:sz w:val="20"/>
          <w:szCs w:val="20"/>
        </w:rPr>
        <w:t xml:space="preserve"> </w:t>
      </w:r>
      <w:r w:rsidR="00DD05F6" w:rsidRPr="008821CD">
        <w:rPr>
          <w:rFonts w:ascii="Verdana" w:hAnsi="Verdana"/>
          <w:sz w:val="20"/>
          <w:szCs w:val="20"/>
        </w:rPr>
        <w:t xml:space="preserve">géospatiales, informatiques et </w:t>
      </w:r>
      <w:r w:rsidR="00E27D73" w:rsidRPr="008821CD">
        <w:rPr>
          <w:rFonts w:ascii="Verdana" w:hAnsi="Verdana"/>
          <w:sz w:val="20"/>
          <w:szCs w:val="20"/>
        </w:rPr>
        <w:t>numériques dans</w:t>
      </w:r>
      <w:r w:rsidR="00566F94" w:rsidRPr="008821CD">
        <w:rPr>
          <w:rFonts w:ascii="Verdana" w:hAnsi="Verdana"/>
          <w:sz w:val="20"/>
          <w:szCs w:val="20"/>
        </w:rPr>
        <w:t xml:space="preserve"> la gestion </w:t>
      </w:r>
      <w:r w:rsidR="00566F94" w:rsidRPr="008821CD">
        <w:rPr>
          <w:rFonts w:ascii="Verdana" w:hAnsi="Verdana"/>
          <w:sz w:val="20"/>
          <w:szCs w:val="20"/>
        </w:rPr>
        <w:lastRenderedPageBreak/>
        <w:t xml:space="preserve">des catastrophes </w:t>
      </w:r>
      <w:r w:rsidR="00DD05F6" w:rsidRPr="008821CD">
        <w:rPr>
          <w:rFonts w:ascii="Verdana" w:hAnsi="Verdana"/>
          <w:sz w:val="20"/>
          <w:szCs w:val="20"/>
        </w:rPr>
        <w:t>a</w:t>
      </w:r>
      <w:r w:rsidR="00566F94" w:rsidRPr="008821CD">
        <w:rPr>
          <w:rFonts w:ascii="Verdana" w:hAnsi="Verdana"/>
          <w:sz w:val="20"/>
          <w:szCs w:val="20"/>
        </w:rPr>
        <w:t xml:space="preserve"> été </w:t>
      </w:r>
      <w:r w:rsidR="00DD05F6" w:rsidRPr="008821CD">
        <w:rPr>
          <w:rFonts w:ascii="Verdana" w:hAnsi="Verdana"/>
          <w:sz w:val="20"/>
          <w:szCs w:val="20"/>
        </w:rPr>
        <w:t>identifié</w:t>
      </w:r>
      <w:r w:rsidR="00AD1C67">
        <w:rPr>
          <w:rFonts w:ascii="Verdana" w:hAnsi="Verdana"/>
          <w:sz w:val="20"/>
          <w:szCs w:val="20"/>
        </w:rPr>
        <w:t>e</w:t>
      </w:r>
      <w:r w:rsidR="00566F94" w:rsidRPr="008821CD">
        <w:rPr>
          <w:rFonts w:ascii="Verdana" w:hAnsi="Verdana"/>
          <w:sz w:val="20"/>
          <w:szCs w:val="20"/>
        </w:rPr>
        <w:t xml:space="preserve"> </w:t>
      </w:r>
      <w:r w:rsidR="00AD1C67">
        <w:rPr>
          <w:rFonts w:ascii="Verdana" w:hAnsi="Verdana"/>
          <w:sz w:val="20"/>
          <w:szCs w:val="20"/>
        </w:rPr>
        <w:t>comme</w:t>
      </w:r>
      <w:r w:rsidR="00566F94" w:rsidRPr="008821CD">
        <w:rPr>
          <w:rFonts w:ascii="Verdana" w:hAnsi="Verdana"/>
          <w:sz w:val="20"/>
          <w:szCs w:val="20"/>
        </w:rPr>
        <w:t xml:space="preserve"> action à entreprendre. La COI réfléchi</w:t>
      </w:r>
      <w:r w:rsidR="00625D8E" w:rsidRPr="008821CD">
        <w:rPr>
          <w:rFonts w:ascii="Verdana" w:hAnsi="Verdana"/>
          <w:sz w:val="20"/>
          <w:szCs w:val="20"/>
        </w:rPr>
        <w:t>t</w:t>
      </w:r>
      <w:r w:rsidR="00566F94" w:rsidRPr="008821CD">
        <w:rPr>
          <w:rFonts w:ascii="Verdana" w:hAnsi="Verdana"/>
          <w:sz w:val="20"/>
          <w:szCs w:val="20"/>
        </w:rPr>
        <w:t xml:space="preserve"> déjà</w:t>
      </w:r>
      <w:r w:rsidR="00AD1C67">
        <w:rPr>
          <w:rFonts w:ascii="Verdana" w:hAnsi="Verdana"/>
          <w:sz w:val="20"/>
          <w:szCs w:val="20"/>
        </w:rPr>
        <w:t>,</w:t>
      </w:r>
      <w:r w:rsidR="00566F94" w:rsidRPr="008821CD">
        <w:rPr>
          <w:rFonts w:ascii="Verdana" w:hAnsi="Verdana"/>
          <w:sz w:val="20"/>
          <w:szCs w:val="20"/>
        </w:rPr>
        <w:t xml:space="preserve"> avec ses partenaires en impliquant les universités </w:t>
      </w:r>
      <w:r w:rsidR="00AD1C67">
        <w:rPr>
          <w:rFonts w:ascii="Verdana" w:hAnsi="Verdana"/>
          <w:sz w:val="20"/>
          <w:szCs w:val="20"/>
        </w:rPr>
        <w:t xml:space="preserve">à un futur </w:t>
      </w:r>
      <w:r w:rsidR="00566F94" w:rsidRPr="008821CD">
        <w:rPr>
          <w:rFonts w:ascii="Verdana" w:hAnsi="Verdana"/>
          <w:sz w:val="20"/>
          <w:szCs w:val="20"/>
        </w:rPr>
        <w:t xml:space="preserve">projet </w:t>
      </w:r>
      <w:r w:rsidR="00DD05F6" w:rsidRPr="008821CD">
        <w:rPr>
          <w:rFonts w:ascii="Verdana" w:hAnsi="Verdana"/>
          <w:sz w:val="20"/>
          <w:szCs w:val="20"/>
        </w:rPr>
        <w:t>d’intégration de technologies innovantes dans les Systèmes de Gestion des Risques de Catastrophes.</w:t>
      </w:r>
      <w:r w:rsidR="00566F94" w:rsidRPr="008821CD">
        <w:rPr>
          <w:rFonts w:ascii="Verdana" w:hAnsi="Verdana"/>
          <w:sz w:val="20"/>
          <w:szCs w:val="20"/>
        </w:rPr>
        <w:t xml:space="preserve"> </w:t>
      </w:r>
      <w:r w:rsidR="00583688" w:rsidRPr="008821CD">
        <w:rPr>
          <w:rFonts w:ascii="Verdana" w:hAnsi="Verdana"/>
          <w:sz w:val="20"/>
          <w:szCs w:val="20"/>
        </w:rPr>
        <w:t>D’autres pistes tel</w:t>
      </w:r>
      <w:r w:rsidR="00AD1C67">
        <w:rPr>
          <w:rFonts w:ascii="Verdana" w:hAnsi="Verdana"/>
          <w:sz w:val="20"/>
          <w:szCs w:val="20"/>
        </w:rPr>
        <w:t>les</w:t>
      </w:r>
      <w:r w:rsidR="00583688" w:rsidRPr="008821CD">
        <w:rPr>
          <w:rFonts w:ascii="Verdana" w:hAnsi="Verdana"/>
          <w:sz w:val="20"/>
          <w:szCs w:val="20"/>
        </w:rPr>
        <w:t xml:space="preserve"> que la </w:t>
      </w:r>
      <w:r w:rsidR="00041649" w:rsidRPr="008821CD">
        <w:rPr>
          <w:rFonts w:ascii="Verdana" w:hAnsi="Verdana"/>
          <w:sz w:val="20"/>
          <w:szCs w:val="20"/>
        </w:rPr>
        <w:t>résilience</w:t>
      </w:r>
      <w:r w:rsidR="00583688" w:rsidRPr="008821CD">
        <w:rPr>
          <w:rFonts w:ascii="Verdana" w:hAnsi="Verdana"/>
          <w:sz w:val="20"/>
          <w:szCs w:val="20"/>
        </w:rPr>
        <w:t xml:space="preserve"> urbaine</w:t>
      </w:r>
      <w:r w:rsidR="00AD1C67">
        <w:rPr>
          <w:rFonts w:ascii="Verdana" w:hAnsi="Verdana"/>
          <w:sz w:val="20"/>
          <w:szCs w:val="20"/>
        </w:rPr>
        <w:t xml:space="preserve"> et l</w:t>
      </w:r>
      <w:r w:rsidR="00041649" w:rsidRPr="008821CD">
        <w:rPr>
          <w:rFonts w:ascii="Verdana" w:hAnsi="Verdana"/>
          <w:sz w:val="20"/>
          <w:szCs w:val="20"/>
        </w:rPr>
        <w:t>es solutions fondées sur la nature</w:t>
      </w:r>
      <w:r w:rsidR="00AD1C67">
        <w:rPr>
          <w:rFonts w:ascii="Verdana" w:hAnsi="Verdana"/>
          <w:sz w:val="20"/>
          <w:szCs w:val="20"/>
        </w:rPr>
        <w:t>,</w:t>
      </w:r>
      <w:r w:rsidR="00041649" w:rsidRPr="008821CD">
        <w:rPr>
          <w:rFonts w:ascii="Verdana" w:hAnsi="Verdana"/>
          <w:sz w:val="20"/>
          <w:szCs w:val="20"/>
        </w:rPr>
        <w:t xml:space="preserve"> ont </w:t>
      </w:r>
      <w:r w:rsidR="00AD1C67">
        <w:rPr>
          <w:rFonts w:ascii="Verdana" w:hAnsi="Verdana"/>
          <w:sz w:val="20"/>
          <w:szCs w:val="20"/>
        </w:rPr>
        <w:t xml:space="preserve">également </w:t>
      </w:r>
      <w:r w:rsidR="00041649" w:rsidRPr="008821CD">
        <w:rPr>
          <w:rFonts w:ascii="Verdana" w:hAnsi="Verdana"/>
          <w:sz w:val="20"/>
          <w:szCs w:val="20"/>
        </w:rPr>
        <w:t>été identifié</w:t>
      </w:r>
      <w:r w:rsidR="00AD1C67">
        <w:rPr>
          <w:rFonts w:ascii="Verdana" w:hAnsi="Verdana"/>
          <w:sz w:val="20"/>
          <w:szCs w:val="20"/>
        </w:rPr>
        <w:t>e</w:t>
      </w:r>
      <w:r w:rsidR="00041649" w:rsidRPr="008821CD">
        <w:rPr>
          <w:rFonts w:ascii="Verdana" w:hAnsi="Verdana"/>
          <w:sz w:val="20"/>
          <w:szCs w:val="20"/>
        </w:rPr>
        <w:t>s.</w:t>
      </w:r>
    </w:p>
    <w:p w14:paraId="44190E64" w14:textId="77777777" w:rsidR="008821CD" w:rsidRPr="008821CD" w:rsidRDefault="008821CD" w:rsidP="008821CD">
      <w:pPr>
        <w:spacing w:after="0" w:line="240" w:lineRule="auto"/>
        <w:jc w:val="both"/>
        <w:rPr>
          <w:rFonts w:ascii="Verdana" w:hAnsi="Verdana"/>
          <w:sz w:val="20"/>
          <w:szCs w:val="20"/>
        </w:rPr>
      </w:pPr>
    </w:p>
    <w:p w14:paraId="010590A5" w14:textId="321414A7" w:rsidR="005B253D" w:rsidRPr="008821CD" w:rsidRDefault="005B253D" w:rsidP="008821CD">
      <w:pPr>
        <w:pStyle w:val="Sous-partie2"/>
        <w:spacing w:after="0" w:line="240" w:lineRule="auto"/>
        <w:ind w:left="0" w:firstLine="0"/>
        <w:contextualSpacing w:val="0"/>
      </w:pPr>
      <w:bookmarkStart w:id="3" w:name="_Hlk212420823"/>
      <w:r w:rsidRPr="008821CD">
        <w:t>Collaboration avec les Agences de Nations</w:t>
      </w:r>
      <w:r w:rsidR="00C73A50" w:rsidRPr="008821CD">
        <w:t xml:space="preserve"> u</w:t>
      </w:r>
      <w:r w:rsidRPr="008821CD">
        <w:t>nie</w:t>
      </w:r>
      <w:r w:rsidR="00B61AA6" w:rsidRPr="008821CD">
        <w:t>s</w:t>
      </w:r>
      <w:r w:rsidRPr="008821CD">
        <w:t xml:space="preserve"> </w:t>
      </w:r>
    </w:p>
    <w:bookmarkEnd w:id="3"/>
    <w:p w14:paraId="5F4C5B23" w14:textId="77777777" w:rsidR="005B253D" w:rsidRPr="008821CD" w:rsidRDefault="005B253D" w:rsidP="008821CD">
      <w:pPr>
        <w:pStyle w:val="Sous-partie2"/>
        <w:numPr>
          <w:ilvl w:val="0"/>
          <w:numId w:val="0"/>
        </w:numPr>
        <w:spacing w:after="0" w:line="240" w:lineRule="auto"/>
        <w:contextualSpacing w:val="0"/>
      </w:pPr>
    </w:p>
    <w:p w14:paraId="0548B8EC" w14:textId="7C891B39" w:rsidR="003B5DAD" w:rsidRPr="008821CD" w:rsidRDefault="007C644A" w:rsidP="008821CD">
      <w:pPr>
        <w:pStyle w:val="Sous-partie2"/>
        <w:numPr>
          <w:ilvl w:val="0"/>
          <w:numId w:val="0"/>
        </w:numPr>
        <w:spacing w:after="0" w:line="240" w:lineRule="auto"/>
        <w:contextualSpacing w:val="0"/>
      </w:pPr>
      <w:r w:rsidRPr="008821CD">
        <w:t>2.</w:t>
      </w:r>
      <w:r w:rsidR="008821CD">
        <w:t>2</w:t>
      </w:r>
      <w:r w:rsidRPr="008821CD">
        <w:t xml:space="preserve">.1 </w:t>
      </w:r>
      <w:r w:rsidR="00447278" w:rsidRPr="008821CD">
        <w:t xml:space="preserve">Bureau des Nations unies pour la réduction des risques de catastrophes </w:t>
      </w:r>
    </w:p>
    <w:p w14:paraId="2B3102CF" w14:textId="77777777" w:rsidR="00447278" w:rsidRPr="008821CD" w:rsidRDefault="00447278" w:rsidP="008821CD">
      <w:pPr>
        <w:pStyle w:val="Sous-partie2"/>
        <w:numPr>
          <w:ilvl w:val="0"/>
          <w:numId w:val="0"/>
        </w:numPr>
        <w:spacing w:after="0" w:line="240" w:lineRule="auto"/>
        <w:contextualSpacing w:val="0"/>
      </w:pPr>
    </w:p>
    <w:p w14:paraId="68BA1CB3" w14:textId="613C4AD2" w:rsidR="007445F0" w:rsidRPr="008821CD" w:rsidRDefault="00447278" w:rsidP="008821CD">
      <w:pPr>
        <w:pStyle w:val="Sous-partie2"/>
        <w:numPr>
          <w:ilvl w:val="0"/>
          <w:numId w:val="0"/>
        </w:numPr>
        <w:spacing w:after="0" w:line="240" w:lineRule="auto"/>
        <w:contextualSpacing w:val="0"/>
        <w:rPr>
          <w:color w:val="auto"/>
        </w:rPr>
      </w:pPr>
      <w:r w:rsidRPr="008821CD">
        <w:rPr>
          <w:color w:val="auto"/>
        </w:rPr>
        <w:t xml:space="preserve">La COI collabore avec le bureau des </w:t>
      </w:r>
      <w:r w:rsidR="00BB30E2" w:rsidRPr="008821CD">
        <w:rPr>
          <w:color w:val="auto"/>
        </w:rPr>
        <w:t>Nations Unies</w:t>
      </w:r>
      <w:r w:rsidRPr="008821CD">
        <w:rPr>
          <w:color w:val="auto"/>
        </w:rPr>
        <w:t xml:space="preserve"> pour la réduction des risques de catastrophe depuis </w:t>
      </w:r>
      <w:r w:rsidR="007445F0" w:rsidRPr="008821CD">
        <w:rPr>
          <w:color w:val="auto"/>
        </w:rPr>
        <w:t xml:space="preserve">2011 </w:t>
      </w:r>
      <w:r w:rsidR="00BB30E2" w:rsidRPr="008821CD">
        <w:rPr>
          <w:color w:val="auto"/>
        </w:rPr>
        <w:t>à travers le programme ISLANDS</w:t>
      </w:r>
      <w:r w:rsidR="00E27D73" w:rsidRPr="008821CD">
        <w:rPr>
          <w:color w:val="auto"/>
        </w:rPr>
        <w:t>,</w:t>
      </w:r>
      <w:r w:rsidR="00BB30E2" w:rsidRPr="008821CD">
        <w:rPr>
          <w:color w:val="auto"/>
        </w:rPr>
        <w:t xml:space="preserve"> soutenue par l’Union Européen</w:t>
      </w:r>
      <w:r w:rsidR="00DD05F6" w:rsidRPr="008821CD">
        <w:rPr>
          <w:color w:val="auto"/>
        </w:rPr>
        <w:t>ne</w:t>
      </w:r>
      <w:r w:rsidR="00BB30E2" w:rsidRPr="008821CD">
        <w:rPr>
          <w:color w:val="auto"/>
        </w:rPr>
        <w:t xml:space="preserve">. </w:t>
      </w:r>
      <w:r w:rsidRPr="008821CD">
        <w:rPr>
          <w:color w:val="auto"/>
        </w:rPr>
        <w:t xml:space="preserve"> La C</w:t>
      </w:r>
      <w:r w:rsidR="00BB30E2" w:rsidRPr="008821CD">
        <w:rPr>
          <w:color w:val="auto"/>
        </w:rPr>
        <w:t>OI</w:t>
      </w:r>
      <w:r w:rsidRPr="008821CD">
        <w:rPr>
          <w:color w:val="auto"/>
        </w:rPr>
        <w:t xml:space="preserve"> </w:t>
      </w:r>
      <w:r w:rsidR="00BB30E2" w:rsidRPr="008821CD">
        <w:rPr>
          <w:color w:val="auto"/>
        </w:rPr>
        <w:t xml:space="preserve">et UNISDR </w:t>
      </w:r>
      <w:r w:rsidR="00E27D73" w:rsidRPr="008821CD">
        <w:rPr>
          <w:color w:val="auto"/>
        </w:rPr>
        <w:t xml:space="preserve">ont </w:t>
      </w:r>
      <w:r w:rsidRPr="008821CD">
        <w:rPr>
          <w:color w:val="auto"/>
        </w:rPr>
        <w:t xml:space="preserve">signé une lettre d’entente pour </w:t>
      </w:r>
      <w:r w:rsidR="00BB30E2" w:rsidRPr="008821CD">
        <w:rPr>
          <w:color w:val="auto"/>
        </w:rPr>
        <w:t>appuyer les pays dans la collecte d</w:t>
      </w:r>
      <w:r w:rsidR="00AD1C67">
        <w:rPr>
          <w:color w:val="auto"/>
        </w:rPr>
        <w:t>’</w:t>
      </w:r>
      <w:r w:rsidR="00BB30E2" w:rsidRPr="008821CD">
        <w:rPr>
          <w:color w:val="auto"/>
        </w:rPr>
        <w:t>informations sur les catastrophes et la mise en place d</w:t>
      </w:r>
      <w:r w:rsidR="00DD05F6" w:rsidRPr="008821CD">
        <w:rPr>
          <w:color w:val="auto"/>
        </w:rPr>
        <w:t>e</w:t>
      </w:r>
      <w:r w:rsidR="00BB30E2" w:rsidRPr="008821CD">
        <w:rPr>
          <w:color w:val="auto"/>
        </w:rPr>
        <w:t xml:space="preserve"> leurs bases de données respectives. Depuis</w:t>
      </w:r>
      <w:r w:rsidR="00DD05F6" w:rsidRPr="008821CD">
        <w:rPr>
          <w:color w:val="auto"/>
        </w:rPr>
        <w:t>,</w:t>
      </w:r>
      <w:r w:rsidR="00BB30E2" w:rsidRPr="008821CD">
        <w:rPr>
          <w:color w:val="auto"/>
        </w:rPr>
        <w:t xml:space="preserve"> la collaboration </w:t>
      </w:r>
      <w:r w:rsidR="00AD1C67">
        <w:rPr>
          <w:color w:val="auto"/>
        </w:rPr>
        <w:t xml:space="preserve">s’est </w:t>
      </w:r>
      <w:r w:rsidR="00DD05F6" w:rsidRPr="008821CD">
        <w:rPr>
          <w:color w:val="auto"/>
        </w:rPr>
        <w:t>renforc</w:t>
      </w:r>
      <w:r w:rsidR="00AD1C67">
        <w:rPr>
          <w:color w:val="auto"/>
        </w:rPr>
        <w:t>ée</w:t>
      </w:r>
      <w:r w:rsidR="003530DB" w:rsidRPr="008821CD">
        <w:rPr>
          <w:color w:val="auto"/>
        </w:rPr>
        <w:t>,</w:t>
      </w:r>
      <w:r w:rsidR="00BB30E2" w:rsidRPr="008821CD">
        <w:rPr>
          <w:color w:val="auto"/>
        </w:rPr>
        <w:t xml:space="preserve"> notamment pour </w:t>
      </w:r>
      <w:r w:rsidR="003530DB" w:rsidRPr="008821CD">
        <w:rPr>
          <w:color w:val="auto"/>
        </w:rPr>
        <w:t>partager</w:t>
      </w:r>
      <w:r w:rsidR="00BB30E2" w:rsidRPr="008821CD">
        <w:rPr>
          <w:color w:val="auto"/>
        </w:rPr>
        <w:t xml:space="preserve"> </w:t>
      </w:r>
      <w:r w:rsidR="00C4664F" w:rsidRPr="008821CD">
        <w:rPr>
          <w:color w:val="auto"/>
        </w:rPr>
        <w:t>l’expérience de</w:t>
      </w:r>
      <w:r w:rsidR="00BB30E2" w:rsidRPr="008821CD">
        <w:rPr>
          <w:color w:val="auto"/>
        </w:rPr>
        <w:t xml:space="preserve"> la COI </w:t>
      </w:r>
      <w:r w:rsidR="00AD1C67">
        <w:rPr>
          <w:color w:val="auto"/>
        </w:rPr>
        <w:t>en matière de gestion</w:t>
      </w:r>
      <w:r w:rsidR="00BB30E2" w:rsidRPr="008821CD">
        <w:rPr>
          <w:color w:val="auto"/>
        </w:rPr>
        <w:t xml:space="preserve"> des </w:t>
      </w:r>
      <w:r w:rsidR="008821CD" w:rsidRPr="008821CD">
        <w:rPr>
          <w:color w:val="auto"/>
        </w:rPr>
        <w:t>États</w:t>
      </w:r>
      <w:r w:rsidR="00BB30E2" w:rsidRPr="008821CD">
        <w:rPr>
          <w:color w:val="auto"/>
        </w:rPr>
        <w:t xml:space="preserve"> insulaire</w:t>
      </w:r>
      <w:r w:rsidR="00C4664F" w:rsidRPr="008821CD">
        <w:rPr>
          <w:color w:val="auto"/>
        </w:rPr>
        <w:t>s</w:t>
      </w:r>
      <w:r w:rsidR="00BB30E2" w:rsidRPr="008821CD">
        <w:rPr>
          <w:color w:val="auto"/>
        </w:rPr>
        <w:t xml:space="preserve"> </w:t>
      </w:r>
      <w:r w:rsidR="00C4664F" w:rsidRPr="008821CD">
        <w:rPr>
          <w:color w:val="auto"/>
        </w:rPr>
        <w:t>de la région</w:t>
      </w:r>
      <w:r w:rsidR="00BB30E2" w:rsidRPr="008821CD">
        <w:rPr>
          <w:color w:val="auto"/>
        </w:rPr>
        <w:t>.</w:t>
      </w:r>
      <w:r w:rsidR="00C4664F" w:rsidRPr="008821CD">
        <w:rPr>
          <w:color w:val="auto"/>
        </w:rPr>
        <w:t xml:space="preserve"> La C</w:t>
      </w:r>
      <w:r w:rsidR="00CD1BCB" w:rsidRPr="008821CD">
        <w:rPr>
          <w:color w:val="auto"/>
        </w:rPr>
        <w:t>OI</w:t>
      </w:r>
      <w:r w:rsidR="00C4664F" w:rsidRPr="008821CD">
        <w:rPr>
          <w:color w:val="auto"/>
        </w:rPr>
        <w:t xml:space="preserve"> </w:t>
      </w:r>
      <w:r w:rsidR="003530DB" w:rsidRPr="008821CD">
        <w:rPr>
          <w:color w:val="auto"/>
        </w:rPr>
        <w:t xml:space="preserve">est régulièrement </w:t>
      </w:r>
      <w:r w:rsidR="00E27D73" w:rsidRPr="008821CD">
        <w:rPr>
          <w:color w:val="auto"/>
        </w:rPr>
        <w:t>invitée et</w:t>
      </w:r>
      <w:r w:rsidR="007445F0" w:rsidRPr="008821CD">
        <w:rPr>
          <w:color w:val="auto"/>
        </w:rPr>
        <w:t xml:space="preserve"> participe</w:t>
      </w:r>
      <w:r w:rsidR="00C4664F" w:rsidRPr="008821CD">
        <w:rPr>
          <w:color w:val="auto"/>
        </w:rPr>
        <w:t xml:space="preserve"> </w:t>
      </w:r>
      <w:r w:rsidR="003530DB" w:rsidRPr="008821CD">
        <w:rPr>
          <w:color w:val="auto"/>
        </w:rPr>
        <w:t>activement</w:t>
      </w:r>
      <w:r w:rsidR="00C4664F" w:rsidRPr="008821CD">
        <w:rPr>
          <w:color w:val="auto"/>
        </w:rPr>
        <w:t xml:space="preserve"> </w:t>
      </w:r>
      <w:r w:rsidR="003530DB" w:rsidRPr="008821CD">
        <w:rPr>
          <w:color w:val="auto"/>
        </w:rPr>
        <w:t>aux</w:t>
      </w:r>
      <w:r w:rsidR="00C4664F" w:rsidRPr="008821CD">
        <w:rPr>
          <w:color w:val="auto"/>
        </w:rPr>
        <w:t xml:space="preserve"> activités de </w:t>
      </w:r>
      <w:r w:rsidR="00AD1C67">
        <w:rPr>
          <w:color w:val="auto"/>
        </w:rPr>
        <w:t>l’</w:t>
      </w:r>
      <w:r w:rsidR="00C4664F" w:rsidRPr="008821CD">
        <w:rPr>
          <w:color w:val="auto"/>
        </w:rPr>
        <w:t xml:space="preserve">UNDRR au niveau régional </w:t>
      </w:r>
      <w:r w:rsidR="00AD1C67">
        <w:rPr>
          <w:color w:val="auto"/>
        </w:rPr>
        <w:t>qu’</w:t>
      </w:r>
      <w:r w:rsidR="00C4664F" w:rsidRPr="008821CD">
        <w:rPr>
          <w:color w:val="auto"/>
        </w:rPr>
        <w:t xml:space="preserve">international. </w:t>
      </w:r>
      <w:r w:rsidR="003530DB" w:rsidRPr="008821CD">
        <w:rPr>
          <w:color w:val="auto"/>
        </w:rPr>
        <w:t>À ce titre,</w:t>
      </w:r>
      <w:r w:rsidR="007445F0" w:rsidRPr="008821CD">
        <w:rPr>
          <w:color w:val="auto"/>
        </w:rPr>
        <w:t xml:space="preserve"> la COI et ses </w:t>
      </w:r>
      <w:r w:rsidR="008821CD" w:rsidRPr="008821CD">
        <w:rPr>
          <w:color w:val="auto"/>
        </w:rPr>
        <w:t>États</w:t>
      </w:r>
      <w:r w:rsidR="007445F0" w:rsidRPr="008821CD">
        <w:rPr>
          <w:color w:val="auto"/>
        </w:rPr>
        <w:t xml:space="preserve"> membres ont participé au Forum mondial sur la réduction des risques de catastrophes qui s’est tenu à Genève, Suisse en juin 2025. </w:t>
      </w:r>
    </w:p>
    <w:p w14:paraId="698C64F5" w14:textId="77777777" w:rsidR="00E27D73" w:rsidRPr="008821CD" w:rsidRDefault="00E27D73" w:rsidP="008821CD">
      <w:pPr>
        <w:pStyle w:val="Sous-partie2"/>
        <w:numPr>
          <w:ilvl w:val="0"/>
          <w:numId w:val="0"/>
        </w:numPr>
        <w:spacing w:after="0" w:line="240" w:lineRule="auto"/>
        <w:contextualSpacing w:val="0"/>
        <w:rPr>
          <w:color w:val="auto"/>
        </w:rPr>
      </w:pPr>
    </w:p>
    <w:p w14:paraId="39407722" w14:textId="6E947CF1" w:rsidR="0070542A" w:rsidRPr="008821CD" w:rsidRDefault="00AD1C67" w:rsidP="008821CD">
      <w:pPr>
        <w:pStyle w:val="Sous-partie2"/>
        <w:numPr>
          <w:ilvl w:val="0"/>
          <w:numId w:val="0"/>
        </w:numPr>
        <w:spacing w:after="0" w:line="240" w:lineRule="auto"/>
        <w:contextualSpacing w:val="0"/>
        <w:rPr>
          <w:color w:val="auto"/>
        </w:rPr>
      </w:pPr>
      <w:r>
        <w:rPr>
          <w:color w:val="auto"/>
        </w:rPr>
        <w:t>Par ailleurs</w:t>
      </w:r>
      <w:r w:rsidR="007445F0" w:rsidRPr="008821CD">
        <w:rPr>
          <w:color w:val="auto"/>
        </w:rPr>
        <w:t xml:space="preserve">, la participation de </w:t>
      </w:r>
      <w:r>
        <w:rPr>
          <w:color w:val="auto"/>
        </w:rPr>
        <w:t>l’</w:t>
      </w:r>
      <w:r w:rsidR="007445F0" w:rsidRPr="008821CD">
        <w:rPr>
          <w:color w:val="auto"/>
        </w:rPr>
        <w:t xml:space="preserve">UNDRR </w:t>
      </w:r>
      <w:r>
        <w:rPr>
          <w:color w:val="auto"/>
        </w:rPr>
        <w:t>à</w:t>
      </w:r>
      <w:r w:rsidR="007445F0" w:rsidRPr="008821CD">
        <w:rPr>
          <w:color w:val="auto"/>
        </w:rPr>
        <w:t xml:space="preserve"> la mise en œuvre du projet RDRM-IO a permis au Secretariat général de mieux apprécier le fonctionnement de cette agence de l’ONU, </w:t>
      </w:r>
      <w:r>
        <w:rPr>
          <w:color w:val="auto"/>
        </w:rPr>
        <w:t>sa</w:t>
      </w:r>
      <w:r w:rsidR="007445F0" w:rsidRPr="008821CD">
        <w:rPr>
          <w:color w:val="auto"/>
        </w:rPr>
        <w:t xml:space="preserve"> capacité d’a</w:t>
      </w:r>
      <w:r w:rsidR="00310ED9">
        <w:rPr>
          <w:color w:val="auto"/>
        </w:rPr>
        <w:t>ction</w:t>
      </w:r>
      <w:r w:rsidR="007445F0" w:rsidRPr="008821CD">
        <w:rPr>
          <w:color w:val="auto"/>
        </w:rPr>
        <w:t xml:space="preserve"> et d’approfondir la relation de travail </w:t>
      </w:r>
      <w:r w:rsidR="00310ED9">
        <w:rPr>
          <w:color w:val="auto"/>
        </w:rPr>
        <w:t>afin de</w:t>
      </w:r>
      <w:r w:rsidR="007445F0" w:rsidRPr="008821CD">
        <w:rPr>
          <w:color w:val="auto"/>
        </w:rPr>
        <w:t xml:space="preserve"> mieux accompagner </w:t>
      </w:r>
      <w:r w:rsidR="00310ED9">
        <w:rPr>
          <w:color w:val="auto"/>
        </w:rPr>
        <w:t>le</w:t>
      </w:r>
      <w:r w:rsidR="007445F0" w:rsidRPr="008821CD">
        <w:rPr>
          <w:color w:val="auto"/>
        </w:rPr>
        <w:t xml:space="preserve">s </w:t>
      </w:r>
      <w:r w:rsidR="00310ED9">
        <w:rPr>
          <w:color w:val="auto"/>
        </w:rPr>
        <w:t>États</w:t>
      </w:r>
      <w:r w:rsidR="007445F0" w:rsidRPr="008821CD">
        <w:rPr>
          <w:color w:val="auto"/>
        </w:rPr>
        <w:t xml:space="preserve"> membres. En juin 2024, par exemple, les échanges entre pairs aux Caraïbes </w:t>
      </w:r>
      <w:r w:rsidR="003530DB" w:rsidRPr="008821CD">
        <w:rPr>
          <w:color w:val="auto"/>
        </w:rPr>
        <w:t>ont</w:t>
      </w:r>
      <w:r w:rsidR="007445F0" w:rsidRPr="008821CD">
        <w:rPr>
          <w:color w:val="auto"/>
        </w:rPr>
        <w:t xml:space="preserve"> permis à nos états de </w:t>
      </w:r>
      <w:r w:rsidR="00E27D73" w:rsidRPr="008821CD">
        <w:rPr>
          <w:color w:val="auto"/>
        </w:rPr>
        <w:t>mieux comprendre</w:t>
      </w:r>
      <w:r w:rsidR="007445F0" w:rsidRPr="008821CD">
        <w:rPr>
          <w:color w:val="auto"/>
        </w:rPr>
        <w:t xml:space="preserve"> </w:t>
      </w:r>
      <w:r w:rsidR="003530DB" w:rsidRPr="008821CD">
        <w:rPr>
          <w:color w:val="auto"/>
        </w:rPr>
        <w:t>l’approche</w:t>
      </w:r>
      <w:r w:rsidR="007445F0" w:rsidRPr="008821CD">
        <w:rPr>
          <w:color w:val="auto"/>
        </w:rPr>
        <w:t xml:space="preserve"> multirisque et </w:t>
      </w:r>
      <w:r w:rsidR="003530DB" w:rsidRPr="008821CD">
        <w:rPr>
          <w:color w:val="auto"/>
        </w:rPr>
        <w:t>son</w:t>
      </w:r>
      <w:r w:rsidR="007445F0" w:rsidRPr="008821CD">
        <w:rPr>
          <w:color w:val="auto"/>
        </w:rPr>
        <w:t xml:space="preserve"> </w:t>
      </w:r>
      <w:r w:rsidR="00310ED9">
        <w:rPr>
          <w:color w:val="auto"/>
        </w:rPr>
        <w:t>application</w:t>
      </w:r>
      <w:r w:rsidR="007445F0" w:rsidRPr="008821CD">
        <w:rPr>
          <w:color w:val="auto"/>
        </w:rPr>
        <w:t xml:space="preserve"> dans un cadre régional. </w:t>
      </w:r>
      <w:r w:rsidR="00E27D73" w:rsidRPr="008821CD">
        <w:rPr>
          <w:color w:val="auto"/>
        </w:rPr>
        <w:t>E</w:t>
      </w:r>
      <w:r w:rsidR="007445F0" w:rsidRPr="008821CD">
        <w:rPr>
          <w:color w:val="auto"/>
        </w:rPr>
        <w:t>n juillet 2025</w:t>
      </w:r>
      <w:r w:rsidR="003530DB" w:rsidRPr="008821CD">
        <w:rPr>
          <w:color w:val="auto"/>
        </w:rPr>
        <w:t>,</w:t>
      </w:r>
      <w:r w:rsidR="007445F0" w:rsidRPr="008821CD">
        <w:rPr>
          <w:color w:val="auto"/>
        </w:rPr>
        <w:t xml:space="preserve"> UNDRR a organisé à Maurice un atelier </w:t>
      </w:r>
      <w:r w:rsidR="00310ED9">
        <w:rPr>
          <w:color w:val="auto"/>
        </w:rPr>
        <w:t xml:space="preserve">pour </w:t>
      </w:r>
      <w:r w:rsidR="007445F0" w:rsidRPr="008821CD">
        <w:rPr>
          <w:color w:val="auto"/>
        </w:rPr>
        <w:t xml:space="preserve">accompagner les </w:t>
      </w:r>
      <w:r w:rsidR="008821CD" w:rsidRPr="008821CD">
        <w:rPr>
          <w:color w:val="auto"/>
        </w:rPr>
        <w:t>États</w:t>
      </w:r>
      <w:r w:rsidR="007445F0" w:rsidRPr="008821CD">
        <w:rPr>
          <w:color w:val="auto"/>
        </w:rPr>
        <w:t xml:space="preserve"> Africain</w:t>
      </w:r>
      <w:r w:rsidR="003530DB" w:rsidRPr="008821CD">
        <w:rPr>
          <w:color w:val="auto"/>
        </w:rPr>
        <w:t>s</w:t>
      </w:r>
      <w:r w:rsidR="007445F0" w:rsidRPr="008821CD">
        <w:rPr>
          <w:color w:val="auto"/>
        </w:rPr>
        <w:t xml:space="preserve"> dans la mise en œuvre du Cadre d’action </w:t>
      </w:r>
      <w:r w:rsidR="0070542A" w:rsidRPr="008821CD">
        <w:rPr>
          <w:color w:val="auto"/>
        </w:rPr>
        <w:t xml:space="preserve">de Sendai. L‘atelier portait essentiellement sur </w:t>
      </w:r>
      <w:r w:rsidR="0078124A" w:rsidRPr="008821CD">
        <w:rPr>
          <w:color w:val="auto"/>
        </w:rPr>
        <w:t>les statistiques</w:t>
      </w:r>
      <w:r w:rsidR="003530DB" w:rsidRPr="008821CD">
        <w:rPr>
          <w:color w:val="auto"/>
        </w:rPr>
        <w:t>, ainsi</w:t>
      </w:r>
      <w:r w:rsidR="0078124A" w:rsidRPr="008821CD">
        <w:rPr>
          <w:color w:val="auto"/>
        </w:rPr>
        <w:t xml:space="preserve"> </w:t>
      </w:r>
      <w:r w:rsidR="00E27D73" w:rsidRPr="008821CD">
        <w:rPr>
          <w:color w:val="auto"/>
        </w:rPr>
        <w:t>que la</w:t>
      </w:r>
      <w:r w:rsidR="0070542A" w:rsidRPr="008821CD">
        <w:rPr>
          <w:color w:val="auto"/>
        </w:rPr>
        <w:t xml:space="preserve"> collecte, </w:t>
      </w:r>
      <w:r w:rsidR="0078124A" w:rsidRPr="008821CD">
        <w:rPr>
          <w:color w:val="auto"/>
        </w:rPr>
        <w:t>l’analyse</w:t>
      </w:r>
      <w:r w:rsidR="0070542A" w:rsidRPr="008821CD">
        <w:rPr>
          <w:color w:val="auto"/>
        </w:rPr>
        <w:t xml:space="preserve"> et </w:t>
      </w:r>
      <w:r w:rsidR="0078124A" w:rsidRPr="008821CD">
        <w:rPr>
          <w:color w:val="auto"/>
        </w:rPr>
        <w:t xml:space="preserve">le </w:t>
      </w:r>
      <w:r w:rsidR="0070542A" w:rsidRPr="008821CD">
        <w:rPr>
          <w:color w:val="auto"/>
        </w:rPr>
        <w:t xml:space="preserve">traitement des données. En capitalisant sur la proximité de travail dans le cadre de la mise en œuvre du projet RDRM-IO, UNDRR sera un levier important pour la COI et ses </w:t>
      </w:r>
      <w:r w:rsidR="008821CD" w:rsidRPr="008821CD">
        <w:rPr>
          <w:color w:val="auto"/>
        </w:rPr>
        <w:t>États</w:t>
      </w:r>
      <w:r w:rsidR="0070542A" w:rsidRPr="008821CD">
        <w:rPr>
          <w:color w:val="auto"/>
        </w:rPr>
        <w:t xml:space="preserve"> membre</w:t>
      </w:r>
      <w:r w:rsidR="00E27D73" w:rsidRPr="008821CD">
        <w:rPr>
          <w:color w:val="auto"/>
        </w:rPr>
        <w:t>s</w:t>
      </w:r>
      <w:r w:rsidR="0070542A" w:rsidRPr="008821CD">
        <w:rPr>
          <w:color w:val="auto"/>
        </w:rPr>
        <w:t xml:space="preserve"> dans la mobilisation des moyens financi</w:t>
      </w:r>
      <w:r w:rsidR="0078124A" w:rsidRPr="008821CD">
        <w:rPr>
          <w:color w:val="auto"/>
        </w:rPr>
        <w:t>ers</w:t>
      </w:r>
      <w:r w:rsidR="0070542A" w:rsidRPr="008821CD">
        <w:rPr>
          <w:color w:val="auto"/>
        </w:rPr>
        <w:t xml:space="preserve"> et technique</w:t>
      </w:r>
      <w:r w:rsidR="0078124A" w:rsidRPr="008821CD">
        <w:rPr>
          <w:color w:val="auto"/>
        </w:rPr>
        <w:t>s</w:t>
      </w:r>
      <w:r w:rsidR="0070542A" w:rsidRPr="008821CD">
        <w:rPr>
          <w:color w:val="auto"/>
        </w:rPr>
        <w:t xml:space="preserve">, la formulation de programmes conjoints pour la réduction des risques de catastrophes visant à améliorer la performance de nos </w:t>
      </w:r>
      <w:r w:rsidR="008821CD" w:rsidRPr="008821CD">
        <w:rPr>
          <w:color w:val="auto"/>
        </w:rPr>
        <w:t>États</w:t>
      </w:r>
      <w:r w:rsidR="0070542A" w:rsidRPr="008821CD">
        <w:rPr>
          <w:color w:val="auto"/>
        </w:rPr>
        <w:t xml:space="preserve"> membre</w:t>
      </w:r>
      <w:r w:rsidR="00E27D73" w:rsidRPr="008821CD">
        <w:rPr>
          <w:color w:val="auto"/>
        </w:rPr>
        <w:t>s</w:t>
      </w:r>
      <w:r w:rsidR="0070542A" w:rsidRPr="008821CD">
        <w:rPr>
          <w:color w:val="auto"/>
        </w:rPr>
        <w:t xml:space="preserve"> dans la mise en œuvre du Cadre de Sendai. </w:t>
      </w:r>
      <w:r w:rsidR="0078124A" w:rsidRPr="008821CD">
        <w:rPr>
          <w:color w:val="auto"/>
        </w:rPr>
        <w:t>Par</w:t>
      </w:r>
      <w:r w:rsidR="0070542A" w:rsidRPr="008821CD">
        <w:rPr>
          <w:color w:val="auto"/>
        </w:rPr>
        <w:t xml:space="preserve"> conséquent, le </w:t>
      </w:r>
      <w:r w:rsidR="00E27D73" w:rsidRPr="008821CD">
        <w:rPr>
          <w:color w:val="auto"/>
        </w:rPr>
        <w:t>S</w:t>
      </w:r>
      <w:r w:rsidR="0070542A" w:rsidRPr="008821CD">
        <w:rPr>
          <w:color w:val="auto"/>
        </w:rPr>
        <w:t xml:space="preserve">ecrétariat général </w:t>
      </w:r>
      <w:r w:rsidR="00E27D73" w:rsidRPr="008821CD">
        <w:rPr>
          <w:color w:val="auto"/>
        </w:rPr>
        <w:t>soumet,</w:t>
      </w:r>
      <w:r w:rsidR="0070542A" w:rsidRPr="008821CD">
        <w:rPr>
          <w:color w:val="auto"/>
        </w:rPr>
        <w:t xml:space="preserve"> pour accord de l’instance</w:t>
      </w:r>
      <w:r w:rsidR="00E27D73" w:rsidRPr="008821CD">
        <w:rPr>
          <w:color w:val="auto"/>
        </w:rPr>
        <w:t>,</w:t>
      </w:r>
      <w:r w:rsidR="0070542A" w:rsidRPr="008821CD">
        <w:rPr>
          <w:color w:val="auto"/>
        </w:rPr>
        <w:t xml:space="preserve"> une demande </w:t>
      </w:r>
      <w:r w:rsidR="00E27D73" w:rsidRPr="008821CD">
        <w:rPr>
          <w:color w:val="auto"/>
        </w:rPr>
        <w:t>visant à c</w:t>
      </w:r>
      <w:r w:rsidR="0070542A" w:rsidRPr="008821CD">
        <w:rPr>
          <w:color w:val="auto"/>
        </w:rPr>
        <w:t>onsolider le partenariat avec UNDRR en tant que partenaire de la COI dans ce domaine</w:t>
      </w:r>
      <w:r w:rsidR="00E27D73" w:rsidRPr="008821CD">
        <w:rPr>
          <w:color w:val="auto"/>
        </w:rPr>
        <w:t>, en vue de la</w:t>
      </w:r>
      <w:r w:rsidR="0070542A" w:rsidRPr="008821CD">
        <w:rPr>
          <w:color w:val="auto"/>
        </w:rPr>
        <w:t xml:space="preserve"> formulation et </w:t>
      </w:r>
      <w:r w:rsidR="00E27D73" w:rsidRPr="008821CD">
        <w:rPr>
          <w:color w:val="auto"/>
        </w:rPr>
        <w:t xml:space="preserve">de </w:t>
      </w:r>
      <w:r w:rsidR="0070542A" w:rsidRPr="008821CD">
        <w:rPr>
          <w:color w:val="auto"/>
        </w:rPr>
        <w:t>mis</w:t>
      </w:r>
      <w:r w:rsidR="0078124A" w:rsidRPr="008821CD">
        <w:rPr>
          <w:color w:val="auto"/>
        </w:rPr>
        <w:t>e</w:t>
      </w:r>
      <w:r w:rsidR="0070542A" w:rsidRPr="008821CD">
        <w:rPr>
          <w:color w:val="auto"/>
        </w:rPr>
        <w:t xml:space="preserve"> en œuvre d’un programme régional </w:t>
      </w:r>
      <w:r w:rsidR="00E27D73" w:rsidRPr="008821CD">
        <w:rPr>
          <w:color w:val="auto"/>
        </w:rPr>
        <w:t xml:space="preserve">consacré à </w:t>
      </w:r>
      <w:r w:rsidR="0070542A" w:rsidRPr="008821CD">
        <w:rPr>
          <w:color w:val="auto"/>
        </w:rPr>
        <w:t>la réduction des risques des catastrophe</w:t>
      </w:r>
      <w:r w:rsidR="0078124A" w:rsidRPr="008821CD">
        <w:rPr>
          <w:color w:val="auto"/>
        </w:rPr>
        <w:t>.</w:t>
      </w:r>
    </w:p>
    <w:p w14:paraId="05D35709" w14:textId="77777777" w:rsidR="00E27D73" w:rsidRPr="008821CD" w:rsidRDefault="00E27D73" w:rsidP="008821CD">
      <w:pPr>
        <w:pStyle w:val="Sous-partie2"/>
        <w:numPr>
          <w:ilvl w:val="0"/>
          <w:numId w:val="0"/>
        </w:numPr>
        <w:spacing w:after="0" w:line="240" w:lineRule="auto"/>
        <w:contextualSpacing w:val="0"/>
        <w:rPr>
          <w:color w:val="auto"/>
        </w:rPr>
      </w:pPr>
    </w:p>
    <w:p w14:paraId="07453F33" w14:textId="77777777" w:rsidR="000B28DA" w:rsidRPr="008821CD" w:rsidRDefault="000B28DA" w:rsidP="008821CD">
      <w:pPr>
        <w:pStyle w:val="Sous-partie2"/>
        <w:numPr>
          <w:ilvl w:val="0"/>
          <w:numId w:val="0"/>
        </w:numPr>
        <w:spacing w:after="0" w:line="240" w:lineRule="auto"/>
        <w:contextualSpacing w:val="0"/>
      </w:pPr>
    </w:p>
    <w:p w14:paraId="382CD455" w14:textId="29C8C1EA" w:rsidR="005B3A54" w:rsidRPr="008821CD" w:rsidRDefault="00E372DC" w:rsidP="008821CD">
      <w:pPr>
        <w:pStyle w:val="Sous-partie2"/>
        <w:numPr>
          <w:ilvl w:val="0"/>
          <w:numId w:val="0"/>
        </w:numPr>
        <w:spacing w:after="0" w:line="240" w:lineRule="auto"/>
        <w:contextualSpacing w:val="0"/>
      </w:pPr>
      <w:r w:rsidRPr="008821CD">
        <w:t>2.</w:t>
      </w:r>
      <w:r w:rsidR="008821CD">
        <w:t>2</w:t>
      </w:r>
      <w:r w:rsidRPr="008821CD">
        <w:t xml:space="preserve">.2 </w:t>
      </w:r>
      <w:r w:rsidR="00DC0DFE" w:rsidRPr="008821CD">
        <w:t xml:space="preserve">UN habitat </w:t>
      </w:r>
    </w:p>
    <w:p w14:paraId="39C76196" w14:textId="77777777" w:rsidR="00310ED9" w:rsidRDefault="00310ED9" w:rsidP="008821CD">
      <w:pPr>
        <w:spacing w:after="0" w:line="240" w:lineRule="auto"/>
        <w:jc w:val="both"/>
        <w:rPr>
          <w:rFonts w:ascii="Verdana" w:hAnsi="Verdana"/>
          <w:sz w:val="20"/>
          <w:szCs w:val="20"/>
        </w:rPr>
      </w:pPr>
    </w:p>
    <w:p w14:paraId="7E84044C" w14:textId="3BF15DE7" w:rsidR="00A13009" w:rsidRDefault="00A13009" w:rsidP="008821CD">
      <w:pPr>
        <w:spacing w:after="0" w:line="240" w:lineRule="auto"/>
        <w:jc w:val="both"/>
        <w:rPr>
          <w:rFonts w:ascii="Verdana" w:hAnsi="Verdana"/>
          <w:sz w:val="20"/>
          <w:szCs w:val="20"/>
        </w:rPr>
      </w:pPr>
      <w:r w:rsidRPr="008821CD">
        <w:rPr>
          <w:rFonts w:ascii="Verdana" w:hAnsi="Verdana"/>
          <w:sz w:val="20"/>
          <w:szCs w:val="20"/>
        </w:rPr>
        <w:t>Vu l</w:t>
      </w:r>
      <w:r w:rsidR="00310ED9">
        <w:rPr>
          <w:rFonts w:ascii="Verdana" w:hAnsi="Verdana"/>
          <w:sz w:val="20"/>
          <w:szCs w:val="20"/>
        </w:rPr>
        <w:t>’</w:t>
      </w:r>
      <w:r w:rsidRPr="008821CD">
        <w:rPr>
          <w:rFonts w:ascii="Verdana" w:hAnsi="Verdana"/>
          <w:sz w:val="20"/>
          <w:szCs w:val="20"/>
        </w:rPr>
        <w:t xml:space="preserve">augmentation des inondations dans les zones construites </w:t>
      </w:r>
      <w:r w:rsidR="00310ED9">
        <w:rPr>
          <w:rFonts w:ascii="Verdana" w:hAnsi="Verdana"/>
          <w:sz w:val="20"/>
          <w:szCs w:val="20"/>
        </w:rPr>
        <w:t>ainsi que les éboulis</w:t>
      </w:r>
      <w:r w:rsidRPr="008821CD">
        <w:rPr>
          <w:rFonts w:ascii="Verdana" w:hAnsi="Verdana"/>
          <w:sz w:val="20"/>
          <w:szCs w:val="20"/>
        </w:rPr>
        <w:t xml:space="preserve"> et glissements de terrain à la suite des pluies diluviennes, </w:t>
      </w:r>
      <w:r w:rsidR="000B28DA" w:rsidRPr="008821CD">
        <w:rPr>
          <w:rFonts w:ascii="Verdana" w:eastAsia="+mn-ea" w:hAnsi="Verdana" w:cstheme="minorHAnsi"/>
          <w:kern w:val="24"/>
          <w:sz w:val="20"/>
          <w:szCs w:val="20"/>
        </w:rPr>
        <w:t>le Secrétariat</w:t>
      </w:r>
      <w:r w:rsidR="00E27D73" w:rsidRPr="008821CD">
        <w:rPr>
          <w:rFonts w:ascii="Verdana" w:eastAsia="+mn-ea" w:hAnsi="Verdana" w:cstheme="minorHAnsi"/>
          <w:kern w:val="24"/>
          <w:sz w:val="20"/>
          <w:szCs w:val="20"/>
        </w:rPr>
        <w:t xml:space="preserve"> général</w:t>
      </w:r>
      <w:r w:rsidR="000B28DA" w:rsidRPr="008821CD">
        <w:rPr>
          <w:rFonts w:ascii="Verdana" w:eastAsia="+mn-ea" w:hAnsi="Verdana" w:cstheme="minorHAnsi"/>
          <w:kern w:val="24"/>
          <w:sz w:val="20"/>
          <w:szCs w:val="20"/>
        </w:rPr>
        <w:t xml:space="preserve"> a collaboré </w:t>
      </w:r>
      <w:r w:rsidR="000B28DA" w:rsidRPr="008821CD">
        <w:rPr>
          <w:rFonts w:ascii="Verdana" w:eastAsia="Times New Roman" w:hAnsi="Verdana" w:cstheme="minorHAnsi"/>
          <w:sz w:val="20"/>
          <w:szCs w:val="20"/>
        </w:rPr>
        <w:t>avec UN</w:t>
      </w:r>
      <w:r w:rsidR="0078124A" w:rsidRPr="008821CD">
        <w:rPr>
          <w:rFonts w:ascii="Verdana" w:eastAsia="Times New Roman" w:hAnsi="Verdana" w:cstheme="minorHAnsi"/>
          <w:sz w:val="20"/>
          <w:szCs w:val="20"/>
        </w:rPr>
        <w:t xml:space="preserve"> </w:t>
      </w:r>
      <w:r w:rsidR="000B28DA" w:rsidRPr="008821CD">
        <w:rPr>
          <w:rFonts w:ascii="Verdana" w:eastAsia="Times New Roman" w:hAnsi="Verdana" w:cstheme="minorHAnsi"/>
          <w:sz w:val="20"/>
          <w:szCs w:val="20"/>
        </w:rPr>
        <w:t>Habi</w:t>
      </w:r>
      <w:r w:rsidR="00E27D73" w:rsidRPr="008821CD">
        <w:rPr>
          <w:rFonts w:ascii="Verdana" w:eastAsia="Times New Roman" w:hAnsi="Verdana" w:cstheme="minorHAnsi"/>
          <w:sz w:val="20"/>
          <w:szCs w:val="20"/>
        </w:rPr>
        <w:t>t</w:t>
      </w:r>
      <w:r w:rsidR="000B28DA" w:rsidRPr="008821CD">
        <w:rPr>
          <w:rFonts w:ascii="Verdana" w:eastAsia="Times New Roman" w:hAnsi="Verdana" w:cstheme="minorHAnsi"/>
          <w:sz w:val="20"/>
          <w:szCs w:val="20"/>
        </w:rPr>
        <w:t xml:space="preserve">at pour améliorer la compréhension </w:t>
      </w:r>
      <w:r w:rsidR="00310ED9">
        <w:rPr>
          <w:rFonts w:ascii="Verdana" w:eastAsia="Times New Roman" w:hAnsi="Verdana" w:cstheme="minorHAnsi"/>
          <w:sz w:val="20"/>
          <w:szCs w:val="20"/>
        </w:rPr>
        <w:t xml:space="preserve">et la promotion de </w:t>
      </w:r>
      <w:r w:rsidR="000B28DA" w:rsidRPr="008821CD">
        <w:rPr>
          <w:rFonts w:ascii="Verdana" w:eastAsia="Times New Roman" w:hAnsi="Verdana" w:cstheme="minorHAnsi"/>
          <w:sz w:val="20"/>
          <w:szCs w:val="20"/>
        </w:rPr>
        <w:t>la résilience urbaine. Parmi les actions entreprises, u</w:t>
      </w:r>
      <w:r w:rsidRPr="008821CD">
        <w:rPr>
          <w:rFonts w:ascii="Verdana" w:hAnsi="Verdana"/>
          <w:sz w:val="20"/>
          <w:szCs w:val="20"/>
        </w:rPr>
        <w:t xml:space="preserve">n atelier sur la résilience urbaine a été organisé en octobre 2024. Cet atelier a permis de dégager </w:t>
      </w:r>
      <w:r w:rsidR="00310ED9">
        <w:rPr>
          <w:rFonts w:ascii="Verdana" w:hAnsi="Verdana"/>
          <w:sz w:val="20"/>
          <w:szCs w:val="20"/>
        </w:rPr>
        <w:t>d</w:t>
      </w:r>
      <w:r w:rsidRPr="008821CD">
        <w:rPr>
          <w:rFonts w:ascii="Verdana" w:hAnsi="Verdana"/>
          <w:sz w:val="20"/>
          <w:szCs w:val="20"/>
        </w:rPr>
        <w:t xml:space="preserve">es pistes pour les programmes futurs et </w:t>
      </w:r>
      <w:r w:rsidR="00310ED9">
        <w:rPr>
          <w:rFonts w:ascii="Verdana" w:hAnsi="Verdana"/>
          <w:sz w:val="20"/>
          <w:szCs w:val="20"/>
        </w:rPr>
        <w:t>d’</w:t>
      </w:r>
      <w:r w:rsidRPr="008821CD">
        <w:rPr>
          <w:rFonts w:ascii="Verdana" w:hAnsi="Verdana"/>
          <w:sz w:val="20"/>
          <w:szCs w:val="20"/>
        </w:rPr>
        <w:t xml:space="preserve">améliorer les échanges et les bonnes pratiques entre les </w:t>
      </w:r>
      <w:r w:rsidR="008821CD" w:rsidRPr="008821CD">
        <w:rPr>
          <w:rFonts w:ascii="Verdana" w:hAnsi="Verdana"/>
          <w:sz w:val="20"/>
          <w:szCs w:val="20"/>
        </w:rPr>
        <w:t>États</w:t>
      </w:r>
      <w:r w:rsidRPr="008821CD">
        <w:rPr>
          <w:rFonts w:ascii="Verdana" w:hAnsi="Verdana"/>
          <w:sz w:val="20"/>
          <w:szCs w:val="20"/>
        </w:rPr>
        <w:t xml:space="preserve"> membres.  </w:t>
      </w:r>
    </w:p>
    <w:p w14:paraId="472EFC82" w14:textId="77777777" w:rsidR="008821CD" w:rsidRPr="008821CD" w:rsidRDefault="008821CD" w:rsidP="008821CD">
      <w:pPr>
        <w:spacing w:after="0" w:line="240" w:lineRule="auto"/>
        <w:jc w:val="both"/>
        <w:rPr>
          <w:rFonts w:ascii="Verdana" w:hAnsi="Verdana"/>
          <w:sz w:val="20"/>
          <w:szCs w:val="20"/>
        </w:rPr>
      </w:pPr>
    </w:p>
    <w:p w14:paraId="46AAEB15" w14:textId="0DD70F59" w:rsidR="006D4628" w:rsidRPr="008821CD" w:rsidRDefault="00622B78" w:rsidP="008821CD">
      <w:pPr>
        <w:spacing w:after="0" w:line="240" w:lineRule="auto"/>
        <w:jc w:val="both"/>
        <w:rPr>
          <w:rFonts w:ascii="Verdana" w:hAnsi="Verdana"/>
          <w:sz w:val="20"/>
          <w:szCs w:val="20"/>
        </w:rPr>
      </w:pPr>
      <w:r w:rsidRPr="008821CD">
        <w:rPr>
          <w:rFonts w:ascii="Verdana" w:hAnsi="Verdana"/>
          <w:sz w:val="20"/>
          <w:szCs w:val="20"/>
        </w:rPr>
        <w:t>Depuis,</w:t>
      </w:r>
      <w:r w:rsidR="006D4628" w:rsidRPr="008821CD">
        <w:rPr>
          <w:rFonts w:ascii="Verdana" w:hAnsi="Verdana"/>
          <w:sz w:val="20"/>
          <w:szCs w:val="20"/>
        </w:rPr>
        <w:t xml:space="preserve"> la COI et UN habitat </w:t>
      </w:r>
      <w:r w:rsidR="00121554" w:rsidRPr="008821CD">
        <w:rPr>
          <w:rFonts w:ascii="Verdana" w:hAnsi="Verdana"/>
          <w:sz w:val="20"/>
          <w:szCs w:val="20"/>
        </w:rPr>
        <w:t>ont échangé su</w:t>
      </w:r>
      <w:r w:rsidR="00292DB1" w:rsidRPr="008821CD">
        <w:rPr>
          <w:rFonts w:ascii="Verdana" w:hAnsi="Verdana"/>
          <w:sz w:val="20"/>
          <w:szCs w:val="20"/>
        </w:rPr>
        <w:t xml:space="preserve">r la </w:t>
      </w:r>
      <w:r w:rsidRPr="008821CD">
        <w:rPr>
          <w:rFonts w:ascii="Verdana" w:hAnsi="Verdana"/>
          <w:sz w:val="20"/>
          <w:szCs w:val="20"/>
        </w:rPr>
        <w:t>faisabilité</w:t>
      </w:r>
      <w:r w:rsidR="00292DB1" w:rsidRPr="008821CD">
        <w:rPr>
          <w:rFonts w:ascii="Verdana" w:hAnsi="Verdana"/>
          <w:sz w:val="20"/>
          <w:szCs w:val="20"/>
        </w:rPr>
        <w:t xml:space="preserve"> d’un MoU </w:t>
      </w:r>
      <w:r w:rsidR="00121554" w:rsidRPr="008821CD">
        <w:rPr>
          <w:rFonts w:ascii="Verdana" w:hAnsi="Verdana"/>
          <w:sz w:val="20"/>
          <w:szCs w:val="20"/>
        </w:rPr>
        <w:t>afin de</w:t>
      </w:r>
      <w:r w:rsidR="00292DB1" w:rsidRPr="008821CD">
        <w:rPr>
          <w:rFonts w:ascii="Verdana" w:hAnsi="Verdana"/>
          <w:sz w:val="20"/>
          <w:szCs w:val="20"/>
        </w:rPr>
        <w:t xml:space="preserve"> mieux structurer </w:t>
      </w:r>
      <w:r w:rsidR="00121554" w:rsidRPr="008821CD">
        <w:rPr>
          <w:rFonts w:ascii="Verdana" w:hAnsi="Verdana"/>
          <w:sz w:val="20"/>
          <w:szCs w:val="20"/>
        </w:rPr>
        <w:t>les</w:t>
      </w:r>
      <w:r w:rsidR="00292DB1" w:rsidRPr="008821CD">
        <w:rPr>
          <w:rFonts w:ascii="Verdana" w:hAnsi="Verdana"/>
          <w:sz w:val="20"/>
          <w:szCs w:val="20"/>
        </w:rPr>
        <w:t xml:space="preserve"> </w:t>
      </w:r>
      <w:r w:rsidRPr="008821CD">
        <w:rPr>
          <w:rFonts w:ascii="Verdana" w:hAnsi="Verdana"/>
          <w:sz w:val="20"/>
          <w:szCs w:val="20"/>
        </w:rPr>
        <w:t>échanges</w:t>
      </w:r>
      <w:r w:rsidR="00041649" w:rsidRPr="008821CD">
        <w:rPr>
          <w:rFonts w:ascii="Verdana" w:hAnsi="Verdana"/>
          <w:sz w:val="20"/>
          <w:szCs w:val="20"/>
        </w:rPr>
        <w:t xml:space="preserve"> et actions future</w:t>
      </w:r>
      <w:r w:rsidR="00121554" w:rsidRPr="008821CD">
        <w:rPr>
          <w:rFonts w:ascii="Verdana" w:hAnsi="Verdana"/>
          <w:sz w:val="20"/>
          <w:szCs w:val="20"/>
        </w:rPr>
        <w:t>s</w:t>
      </w:r>
      <w:r w:rsidR="00131524" w:rsidRPr="008821CD">
        <w:rPr>
          <w:rFonts w:ascii="Verdana" w:hAnsi="Verdana"/>
          <w:sz w:val="20"/>
          <w:szCs w:val="20"/>
        </w:rPr>
        <w:t xml:space="preserve">. Le projet </w:t>
      </w:r>
      <w:r w:rsidR="00596607" w:rsidRPr="008821CD">
        <w:rPr>
          <w:rFonts w:ascii="Verdana" w:hAnsi="Verdana"/>
          <w:sz w:val="20"/>
          <w:szCs w:val="20"/>
        </w:rPr>
        <w:t>d</w:t>
      </w:r>
      <w:r w:rsidR="0078124A" w:rsidRPr="008821CD">
        <w:rPr>
          <w:rFonts w:ascii="Verdana" w:hAnsi="Verdana"/>
          <w:sz w:val="20"/>
          <w:szCs w:val="20"/>
        </w:rPr>
        <w:t xml:space="preserve">e </w:t>
      </w:r>
      <w:r w:rsidR="00596607" w:rsidRPr="008821CD">
        <w:rPr>
          <w:rFonts w:ascii="Verdana" w:hAnsi="Verdana"/>
          <w:sz w:val="20"/>
          <w:szCs w:val="20"/>
        </w:rPr>
        <w:t>MoU</w:t>
      </w:r>
      <w:r w:rsidR="00131524" w:rsidRPr="008821CD">
        <w:rPr>
          <w:rFonts w:ascii="Verdana" w:hAnsi="Verdana"/>
          <w:sz w:val="20"/>
          <w:szCs w:val="20"/>
        </w:rPr>
        <w:t xml:space="preserve"> a été </w:t>
      </w:r>
      <w:r w:rsidRPr="008821CD">
        <w:rPr>
          <w:rFonts w:ascii="Verdana" w:hAnsi="Verdana"/>
          <w:sz w:val="20"/>
          <w:szCs w:val="20"/>
        </w:rPr>
        <w:t>présenté</w:t>
      </w:r>
      <w:r w:rsidR="00131524" w:rsidRPr="008821CD">
        <w:rPr>
          <w:rFonts w:ascii="Verdana" w:hAnsi="Verdana"/>
          <w:sz w:val="20"/>
          <w:szCs w:val="20"/>
        </w:rPr>
        <w:t xml:space="preserve"> au COPIL</w:t>
      </w:r>
      <w:r w:rsidR="00121554" w:rsidRPr="008821CD">
        <w:rPr>
          <w:rFonts w:ascii="Verdana" w:hAnsi="Verdana"/>
          <w:sz w:val="20"/>
          <w:szCs w:val="20"/>
        </w:rPr>
        <w:t xml:space="preserve"> </w:t>
      </w:r>
      <w:r w:rsidR="00131524" w:rsidRPr="008821CD">
        <w:rPr>
          <w:rFonts w:ascii="Verdana" w:hAnsi="Verdana"/>
          <w:sz w:val="20"/>
          <w:szCs w:val="20"/>
        </w:rPr>
        <w:t xml:space="preserve">1/2025 et </w:t>
      </w:r>
      <w:r w:rsidR="00E94865" w:rsidRPr="008821CD">
        <w:rPr>
          <w:rFonts w:ascii="Verdana" w:hAnsi="Verdana"/>
          <w:sz w:val="20"/>
          <w:szCs w:val="20"/>
        </w:rPr>
        <w:t xml:space="preserve">le Comité a demandé au </w:t>
      </w:r>
      <w:r w:rsidR="00121554" w:rsidRPr="008821CD">
        <w:rPr>
          <w:rFonts w:ascii="Verdana" w:hAnsi="Verdana"/>
          <w:sz w:val="20"/>
          <w:szCs w:val="20"/>
        </w:rPr>
        <w:t>S</w:t>
      </w:r>
      <w:r w:rsidR="00E94865" w:rsidRPr="008821CD">
        <w:rPr>
          <w:rFonts w:ascii="Verdana" w:hAnsi="Verdana"/>
          <w:sz w:val="20"/>
          <w:szCs w:val="20"/>
        </w:rPr>
        <w:t xml:space="preserve">ecrétariat général de finaliser </w:t>
      </w:r>
      <w:r w:rsidR="00500FBC" w:rsidRPr="008821CD">
        <w:rPr>
          <w:rFonts w:ascii="Verdana" w:hAnsi="Verdana"/>
          <w:sz w:val="20"/>
          <w:szCs w:val="20"/>
        </w:rPr>
        <w:t xml:space="preserve">la </w:t>
      </w:r>
      <w:r w:rsidR="0078124A" w:rsidRPr="008821CD">
        <w:rPr>
          <w:rFonts w:ascii="Verdana" w:hAnsi="Verdana"/>
          <w:sz w:val="20"/>
          <w:szCs w:val="20"/>
        </w:rPr>
        <w:t>négociation</w:t>
      </w:r>
      <w:r w:rsidR="00E94865" w:rsidRPr="008821CD">
        <w:rPr>
          <w:rFonts w:ascii="Verdana" w:hAnsi="Verdana"/>
          <w:sz w:val="20"/>
          <w:szCs w:val="20"/>
        </w:rPr>
        <w:t xml:space="preserve"> avec UN</w:t>
      </w:r>
      <w:r w:rsidR="00121554" w:rsidRPr="008821CD">
        <w:rPr>
          <w:rFonts w:ascii="Verdana" w:hAnsi="Verdana"/>
          <w:sz w:val="20"/>
          <w:szCs w:val="20"/>
        </w:rPr>
        <w:t>-</w:t>
      </w:r>
      <w:r w:rsidR="0078124A" w:rsidRPr="008821CD">
        <w:rPr>
          <w:rFonts w:ascii="Verdana" w:hAnsi="Verdana"/>
          <w:sz w:val="20"/>
          <w:szCs w:val="20"/>
        </w:rPr>
        <w:t>H</w:t>
      </w:r>
      <w:r w:rsidR="00E94865" w:rsidRPr="008821CD">
        <w:rPr>
          <w:rFonts w:ascii="Verdana" w:hAnsi="Verdana"/>
          <w:sz w:val="20"/>
          <w:szCs w:val="20"/>
        </w:rPr>
        <w:t>abit</w:t>
      </w:r>
      <w:r w:rsidR="0078124A" w:rsidRPr="008821CD">
        <w:rPr>
          <w:rFonts w:ascii="Verdana" w:hAnsi="Verdana"/>
          <w:sz w:val="20"/>
          <w:szCs w:val="20"/>
        </w:rPr>
        <w:t>at</w:t>
      </w:r>
      <w:r w:rsidR="00500FBC" w:rsidRPr="008821CD">
        <w:rPr>
          <w:rFonts w:ascii="Verdana" w:hAnsi="Verdana"/>
          <w:sz w:val="20"/>
          <w:szCs w:val="20"/>
        </w:rPr>
        <w:t xml:space="preserve"> sur la résilience urbaine</w:t>
      </w:r>
      <w:r w:rsidR="00E94865" w:rsidRPr="008821CD">
        <w:rPr>
          <w:rFonts w:ascii="Verdana" w:hAnsi="Verdana"/>
          <w:sz w:val="20"/>
          <w:szCs w:val="20"/>
        </w:rPr>
        <w:t xml:space="preserve">. </w:t>
      </w:r>
      <w:r w:rsidR="00121554" w:rsidRPr="008821CD">
        <w:rPr>
          <w:rFonts w:ascii="Verdana" w:hAnsi="Verdana"/>
          <w:sz w:val="20"/>
          <w:szCs w:val="20"/>
        </w:rPr>
        <w:t>Après discussions entre les deux parties, le</w:t>
      </w:r>
      <w:r w:rsidR="00E94865" w:rsidRPr="008821CD">
        <w:rPr>
          <w:rFonts w:ascii="Verdana" w:hAnsi="Verdana"/>
          <w:sz w:val="20"/>
          <w:szCs w:val="20"/>
        </w:rPr>
        <w:t xml:space="preserve"> </w:t>
      </w:r>
      <w:r w:rsidR="004003D0" w:rsidRPr="008821CD">
        <w:rPr>
          <w:rFonts w:ascii="Verdana" w:hAnsi="Verdana"/>
          <w:sz w:val="20"/>
          <w:szCs w:val="20"/>
        </w:rPr>
        <w:t xml:space="preserve">Secretariat général a transmis le </w:t>
      </w:r>
      <w:r w:rsidR="00B31DA3" w:rsidRPr="008821CD">
        <w:rPr>
          <w:rFonts w:ascii="Verdana" w:hAnsi="Verdana"/>
          <w:sz w:val="20"/>
          <w:szCs w:val="20"/>
        </w:rPr>
        <w:t xml:space="preserve">projet </w:t>
      </w:r>
      <w:r w:rsidR="00232657" w:rsidRPr="008821CD">
        <w:rPr>
          <w:rFonts w:ascii="Verdana" w:hAnsi="Verdana"/>
          <w:sz w:val="20"/>
          <w:szCs w:val="20"/>
        </w:rPr>
        <w:t>d</w:t>
      </w:r>
      <w:r w:rsidR="0078124A" w:rsidRPr="008821CD">
        <w:rPr>
          <w:rFonts w:ascii="Verdana" w:hAnsi="Verdana"/>
          <w:sz w:val="20"/>
          <w:szCs w:val="20"/>
        </w:rPr>
        <w:t xml:space="preserve">e </w:t>
      </w:r>
      <w:r w:rsidR="00232657" w:rsidRPr="008821CD">
        <w:rPr>
          <w:rFonts w:ascii="Verdana" w:hAnsi="Verdana"/>
          <w:sz w:val="20"/>
          <w:szCs w:val="20"/>
        </w:rPr>
        <w:t>MoU</w:t>
      </w:r>
      <w:r w:rsidR="00121554" w:rsidRPr="008821CD">
        <w:rPr>
          <w:rFonts w:ascii="Verdana" w:hAnsi="Verdana"/>
          <w:sz w:val="20"/>
          <w:szCs w:val="20"/>
        </w:rPr>
        <w:t xml:space="preserve"> </w:t>
      </w:r>
      <w:r w:rsidR="00A5327B" w:rsidRPr="008821CD">
        <w:rPr>
          <w:rFonts w:ascii="Verdana" w:hAnsi="Verdana"/>
          <w:sz w:val="20"/>
          <w:szCs w:val="20"/>
        </w:rPr>
        <w:t>aux OPL</w:t>
      </w:r>
      <w:r w:rsidR="00121554" w:rsidRPr="008821CD">
        <w:rPr>
          <w:rFonts w:ascii="Verdana" w:hAnsi="Verdana"/>
          <w:sz w:val="20"/>
          <w:szCs w:val="20"/>
        </w:rPr>
        <w:t>,</w:t>
      </w:r>
      <w:r w:rsidR="00A5327B" w:rsidRPr="008821CD">
        <w:rPr>
          <w:rFonts w:ascii="Verdana" w:hAnsi="Verdana"/>
          <w:sz w:val="20"/>
          <w:szCs w:val="20"/>
        </w:rPr>
        <w:t xml:space="preserve"> pour validation</w:t>
      </w:r>
      <w:r w:rsidR="00121554" w:rsidRPr="008821CD">
        <w:rPr>
          <w:rFonts w:ascii="Verdana" w:hAnsi="Verdana"/>
          <w:sz w:val="20"/>
          <w:szCs w:val="20"/>
        </w:rPr>
        <w:t>,</w:t>
      </w:r>
      <w:r w:rsidR="00A5327B" w:rsidRPr="008821CD">
        <w:rPr>
          <w:rFonts w:ascii="Verdana" w:hAnsi="Verdana"/>
          <w:sz w:val="20"/>
          <w:szCs w:val="20"/>
        </w:rPr>
        <w:t xml:space="preserve"> en </w:t>
      </w:r>
      <w:r w:rsidR="0078124A" w:rsidRPr="008821CD">
        <w:rPr>
          <w:rFonts w:ascii="Verdana" w:hAnsi="Verdana"/>
          <w:sz w:val="20"/>
          <w:szCs w:val="20"/>
        </w:rPr>
        <w:t>vue</w:t>
      </w:r>
      <w:r w:rsidR="00A5327B" w:rsidRPr="008821CD">
        <w:rPr>
          <w:rFonts w:ascii="Verdana" w:hAnsi="Verdana"/>
          <w:sz w:val="20"/>
          <w:szCs w:val="20"/>
        </w:rPr>
        <w:t xml:space="preserve"> </w:t>
      </w:r>
      <w:r w:rsidR="0078124A" w:rsidRPr="008821CD">
        <w:rPr>
          <w:rFonts w:ascii="Verdana" w:hAnsi="Verdana"/>
          <w:sz w:val="20"/>
          <w:szCs w:val="20"/>
        </w:rPr>
        <w:t xml:space="preserve">de </w:t>
      </w:r>
      <w:r w:rsidR="00A5327B" w:rsidRPr="008821CD">
        <w:rPr>
          <w:rFonts w:ascii="Verdana" w:hAnsi="Verdana"/>
          <w:sz w:val="20"/>
          <w:szCs w:val="20"/>
        </w:rPr>
        <w:t xml:space="preserve">sa signature. </w:t>
      </w:r>
      <w:r w:rsidR="00340A9B" w:rsidRPr="008821CD">
        <w:rPr>
          <w:rFonts w:ascii="Verdana" w:hAnsi="Verdana"/>
          <w:sz w:val="20"/>
          <w:szCs w:val="20"/>
        </w:rPr>
        <w:t>(cf annexe</w:t>
      </w:r>
      <w:r w:rsidR="0070542A" w:rsidRPr="008821CD">
        <w:rPr>
          <w:rFonts w:ascii="Verdana" w:hAnsi="Verdana"/>
          <w:sz w:val="20"/>
          <w:szCs w:val="20"/>
        </w:rPr>
        <w:t xml:space="preserve"> 1</w:t>
      </w:r>
      <w:r w:rsidR="00340A9B" w:rsidRPr="008821CD">
        <w:rPr>
          <w:rFonts w:ascii="Verdana" w:hAnsi="Verdana"/>
          <w:sz w:val="20"/>
          <w:szCs w:val="20"/>
        </w:rPr>
        <w:t xml:space="preserve"> lettre</w:t>
      </w:r>
      <w:r w:rsidR="00A015F5" w:rsidRPr="008821CD">
        <w:rPr>
          <w:rFonts w:ascii="Verdana" w:hAnsi="Verdana"/>
          <w:sz w:val="20"/>
          <w:szCs w:val="20"/>
        </w:rPr>
        <w:t>s</w:t>
      </w:r>
      <w:r w:rsidR="00340A9B" w:rsidRPr="008821CD">
        <w:rPr>
          <w:rFonts w:ascii="Verdana" w:hAnsi="Verdana"/>
          <w:sz w:val="20"/>
          <w:szCs w:val="20"/>
        </w:rPr>
        <w:t xml:space="preserve"> et projet </w:t>
      </w:r>
      <w:r w:rsidR="00AA7E09" w:rsidRPr="008821CD">
        <w:rPr>
          <w:rFonts w:ascii="Verdana" w:hAnsi="Verdana"/>
          <w:sz w:val="20"/>
          <w:szCs w:val="20"/>
        </w:rPr>
        <w:t>d</w:t>
      </w:r>
      <w:r w:rsidR="0078124A" w:rsidRPr="008821CD">
        <w:rPr>
          <w:rFonts w:ascii="Verdana" w:hAnsi="Verdana"/>
          <w:sz w:val="20"/>
          <w:szCs w:val="20"/>
        </w:rPr>
        <w:t xml:space="preserve">e </w:t>
      </w:r>
      <w:r w:rsidR="00AA7E09" w:rsidRPr="008821CD">
        <w:rPr>
          <w:rFonts w:ascii="Verdana" w:hAnsi="Verdana"/>
          <w:sz w:val="20"/>
          <w:szCs w:val="20"/>
        </w:rPr>
        <w:t>MoU</w:t>
      </w:r>
      <w:r w:rsidR="0078124A" w:rsidRPr="008821CD">
        <w:rPr>
          <w:rFonts w:ascii="Verdana" w:hAnsi="Verdana"/>
          <w:sz w:val="20"/>
          <w:szCs w:val="20"/>
        </w:rPr>
        <w:t>)</w:t>
      </w:r>
      <w:r w:rsidR="00AA7E09" w:rsidRPr="008821CD">
        <w:rPr>
          <w:rFonts w:ascii="Verdana" w:hAnsi="Verdana"/>
          <w:sz w:val="20"/>
          <w:szCs w:val="20"/>
        </w:rPr>
        <w:t>.</w:t>
      </w:r>
      <w:r w:rsidR="00494384" w:rsidRPr="008821CD">
        <w:rPr>
          <w:rFonts w:ascii="Verdana" w:hAnsi="Verdana"/>
          <w:sz w:val="20"/>
          <w:szCs w:val="20"/>
        </w:rPr>
        <w:t xml:space="preserve"> </w:t>
      </w:r>
      <w:r w:rsidR="00500FBC" w:rsidRPr="008821CD">
        <w:rPr>
          <w:rFonts w:ascii="Verdana" w:hAnsi="Verdana"/>
          <w:sz w:val="20"/>
          <w:szCs w:val="20"/>
        </w:rPr>
        <w:t>En attendant</w:t>
      </w:r>
      <w:r w:rsidR="00121554" w:rsidRPr="008821CD">
        <w:rPr>
          <w:rFonts w:ascii="Verdana" w:hAnsi="Verdana"/>
          <w:sz w:val="20"/>
          <w:szCs w:val="20"/>
        </w:rPr>
        <w:t xml:space="preserve"> la finalisation de cet accord</w:t>
      </w:r>
      <w:r w:rsidR="00500FBC" w:rsidRPr="008821CD">
        <w:rPr>
          <w:rFonts w:ascii="Verdana" w:hAnsi="Verdana"/>
          <w:sz w:val="20"/>
          <w:szCs w:val="20"/>
        </w:rPr>
        <w:t xml:space="preserve">, </w:t>
      </w:r>
      <w:r w:rsidR="00232657" w:rsidRPr="008821CD">
        <w:rPr>
          <w:rFonts w:ascii="Verdana" w:hAnsi="Verdana"/>
          <w:sz w:val="20"/>
          <w:szCs w:val="20"/>
        </w:rPr>
        <w:t xml:space="preserve">le </w:t>
      </w:r>
      <w:r w:rsidR="002D0C59" w:rsidRPr="008821CD">
        <w:rPr>
          <w:rFonts w:ascii="Verdana" w:hAnsi="Verdana"/>
          <w:sz w:val="20"/>
          <w:szCs w:val="20"/>
        </w:rPr>
        <w:t>Secretariat général</w:t>
      </w:r>
      <w:r w:rsidR="00121554" w:rsidRPr="008821CD">
        <w:rPr>
          <w:rFonts w:ascii="Verdana" w:hAnsi="Verdana"/>
          <w:sz w:val="20"/>
          <w:szCs w:val="20"/>
        </w:rPr>
        <w:t>,</w:t>
      </w:r>
      <w:r w:rsidR="002D0C59" w:rsidRPr="008821CD">
        <w:rPr>
          <w:rFonts w:ascii="Verdana" w:hAnsi="Verdana"/>
          <w:sz w:val="20"/>
          <w:szCs w:val="20"/>
        </w:rPr>
        <w:t xml:space="preserve"> </w:t>
      </w:r>
      <w:r w:rsidR="00A2167F" w:rsidRPr="008821CD">
        <w:rPr>
          <w:rFonts w:ascii="Verdana" w:hAnsi="Verdana"/>
          <w:sz w:val="20"/>
          <w:szCs w:val="20"/>
        </w:rPr>
        <w:t>à travers son projet RDRM-</w:t>
      </w:r>
      <w:r w:rsidR="003976D5" w:rsidRPr="008821CD">
        <w:rPr>
          <w:rFonts w:ascii="Verdana" w:hAnsi="Verdana"/>
          <w:sz w:val="20"/>
          <w:szCs w:val="20"/>
        </w:rPr>
        <w:t>IO et</w:t>
      </w:r>
      <w:r w:rsidR="00F46779" w:rsidRPr="008821CD">
        <w:rPr>
          <w:rFonts w:ascii="Verdana" w:hAnsi="Verdana"/>
          <w:sz w:val="20"/>
          <w:szCs w:val="20"/>
        </w:rPr>
        <w:t xml:space="preserve"> </w:t>
      </w:r>
      <w:r w:rsidR="002D0C59" w:rsidRPr="008821CD">
        <w:rPr>
          <w:rFonts w:ascii="Verdana" w:hAnsi="Verdana"/>
          <w:sz w:val="20"/>
          <w:szCs w:val="20"/>
        </w:rPr>
        <w:t xml:space="preserve">en </w:t>
      </w:r>
      <w:r w:rsidR="0078124A" w:rsidRPr="008821CD">
        <w:rPr>
          <w:rFonts w:ascii="Verdana" w:hAnsi="Verdana"/>
          <w:sz w:val="20"/>
          <w:szCs w:val="20"/>
        </w:rPr>
        <w:t>s’appuyant</w:t>
      </w:r>
      <w:r w:rsidR="002D0C59" w:rsidRPr="008821CD">
        <w:rPr>
          <w:rFonts w:ascii="Verdana" w:hAnsi="Verdana"/>
          <w:sz w:val="20"/>
          <w:szCs w:val="20"/>
        </w:rPr>
        <w:t xml:space="preserve"> sur </w:t>
      </w:r>
      <w:r w:rsidR="00596607" w:rsidRPr="008821CD">
        <w:rPr>
          <w:rFonts w:ascii="Verdana" w:hAnsi="Verdana"/>
          <w:sz w:val="20"/>
          <w:szCs w:val="20"/>
        </w:rPr>
        <w:t>les points focaux</w:t>
      </w:r>
      <w:r w:rsidR="00A2167F" w:rsidRPr="008821CD">
        <w:rPr>
          <w:rFonts w:ascii="Verdana" w:hAnsi="Verdana"/>
          <w:sz w:val="20"/>
          <w:szCs w:val="20"/>
        </w:rPr>
        <w:t xml:space="preserve"> </w:t>
      </w:r>
      <w:r w:rsidR="00596607" w:rsidRPr="008821CD">
        <w:rPr>
          <w:rFonts w:ascii="Verdana" w:hAnsi="Verdana"/>
          <w:sz w:val="20"/>
          <w:szCs w:val="20"/>
        </w:rPr>
        <w:t>d’UN</w:t>
      </w:r>
      <w:r w:rsidR="00121554" w:rsidRPr="008821CD">
        <w:rPr>
          <w:rFonts w:ascii="Verdana" w:hAnsi="Verdana"/>
          <w:sz w:val="20"/>
          <w:szCs w:val="20"/>
        </w:rPr>
        <w:t>-H</w:t>
      </w:r>
      <w:r w:rsidR="00A2167F" w:rsidRPr="008821CD">
        <w:rPr>
          <w:rFonts w:ascii="Verdana" w:hAnsi="Verdana"/>
          <w:sz w:val="20"/>
          <w:szCs w:val="20"/>
        </w:rPr>
        <w:t>abitat dans les pays</w:t>
      </w:r>
      <w:r w:rsidR="00121554" w:rsidRPr="008821CD">
        <w:rPr>
          <w:rFonts w:ascii="Verdana" w:hAnsi="Verdana"/>
          <w:sz w:val="20"/>
          <w:szCs w:val="20"/>
        </w:rPr>
        <w:t xml:space="preserve">, </w:t>
      </w:r>
      <w:r w:rsidR="00596607" w:rsidRPr="008821CD">
        <w:rPr>
          <w:rFonts w:ascii="Verdana" w:hAnsi="Verdana"/>
          <w:sz w:val="20"/>
          <w:szCs w:val="20"/>
        </w:rPr>
        <w:t>a</w:t>
      </w:r>
      <w:r w:rsidR="00F46779" w:rsidRPr="008821CD">
        <w:rPr>
          <w:rFonts w:ascii="Verdana" w:hAnsi="Verdana"/>
          <w:sz w:val="20"/>
          <w:szCs w:val="20"/>
        </w:rPr>
        <w:t xml:space="preserve"> recruté des consultant</w:t>
      </w:r>
      <w:r w:rsidR="00596607" w:rsidRPr="008821CD">
        <w:rPr>
          <w:rFonts w:ascii="Verdana" w:hAnsi="Verdana"/>
          <w:sz w:val="20"/>
          <w:szCs w:val="20"/>
        </w:rPr>
        <w:t>s</w:t>
      </w:r>
      <w:r w:rsidR="00F46779" w:rsidRPr="008821CD">
        <w:rPr>
          <w:rFonts w:ascii="Verdana" w:hAnsi="Verdana"/>
          <w:sz w:val="20"/>
          <w:szCs w:val="20"/>
        </w:rPr>
        <w:t xml:space="preserve"> nationaux </w:t>
      </w:r>
      <w:r w:rsidR="00121554" w:rsidRPr="008821CD">
        <w:rPr>
          <w:rFonts w:ascii="Verdana" w:hAnsi="Verdana"/>
          <w:sz w:val="20"/>
          <w:szCs w:val="20"/>
        </w:rPr>
        <w:t xml:space="preserve">afin de </w:t>
      </w:r>
      <w:r w:rsidR="00F65D18" w:rsidRPr="008821CD">
        <w:rPr>
          <w:rFonts w:ascii="Verdana" w:hAnsi="Verdana"/>
          <w:sz w:val="20"/>
          <w:szCs w:val="20"/>
        </w:rPr>
        <w:t>mener</w:t>
      </w:r>
      <w:r w:rsidR="00F46779" w:rsidRPr="008821CD">
        <w:rPr>
          <w:rFonts w:ascii="Verdana" w:hAnsi="Verdana"/>
          <w:sz w:val="20"/>
          <w:szCs w:val="20"/>
        </w:rPr>
        <w:t xml:space="preserve"> des consultations au niveau national</w:t>
      </w:r>
      <w:r w:rsidR="0078124A" w:rsidRPr="008821CD">
        <w:rPr>
          <w:rFonts w:ascii="Verdana" w:hAnsi="Verdana"/>
          <w:sz w:val="20"/>
          <w:szCs w:val="20"/>
        </w:rPr>
        <w:t xml:space="preserve">. Ces consultations </w:t>
      </w:r>
      <w:r w:rsidR="00310ED9">
        <w:rPr>
          <w:rFonts w:ascii="Verdana" w:hAnsi="Verdana"/>
          <w:sz w:val="20"/>
          <w:szCs w:val="20"/>
        </w:rPr>
        <w:t xml:space="preserve">visent à </w:t>
      </w:r>
      <w:r w:rsidR="00121554" w:rsidRPr="008821CD">
        <w:rPr>
          <w:rFonts w:ascii="Verdana" w:hAnsi="Verdana"/>
          <w:sz w:val="20"/>
          <w:szCs w:val="20"/>
        </w:rPr>
        <w:t>élaborer</w:t>
      </w:r>
      <w:r w:rsidR="00A008DD" w:rsidRPr="008821CD">
        <w:rPr>
          <w:rFonts w:ascii="Verdana" w:hAnsi="Verdana"/>
          <w:sz w:val="20"/>
          <w:szCs w:val="20"/>
        </w:rPr>
        <w:t xml:space="preserve"> un plan de travail </w:t>
      </w:r>
      <w:r w:rsidR="00121554" w:rsidRPr="008821CD">
        <w:rPr>
          <w:rFonts w:ascii="Verdana" w:hAnsi="Verdana"/>
          <w:sz w:val="20"/>
          <w:szCs w:val="20"/>
        </w:rPr>
        <w:t xml:space="preserve">et </w:t>
      </w:r>
      <w:r w:rsidR="00310ED9">
        <w:rPr>
          <w:rFonts w:ascii="Verdana" w:hAnsi="Verdana"/>
          <w:sz w:val="20"/>
          <w:szCs w:val="20"/>
        </w:rPr>
        <w:t>à</w:t>
      </w:r>
      <w:r w:rsidR="003976D5" w:rsidRPr="008821CD">
        <w:rPr>
          <w:rFonts w:ascii="Verdana" w:hAnsi="Verdana"/>
          <w:sz w:val="20"/>
          <w:szCs w:val="20"/>
        </w:rPr>
        <w:t xml:space="preserve"> formul</w:t>
      </w:r>
      <w:r w:rsidR="0078124A" w:rsidRPr="008821CD">
        <w:rPr>
          <w:rFonts w:ascii="Verdana" w:hAnsi="Verdana"/>
          <w:sz w:val="20"/>
          <w:szCs w:val="20"/>
        </w:rPr>
        <w:t>er</w:t>
      </w:r>
      <w:r w:rsidR="00A84F6A" w:rsidRPr="008821CD">
        <w:rPr>
          <w:rFonts w:ascii="Verdana" w:hAnsi="Verdana"/>
          <w:sz w:val="20"/>
          <w:szCs w:val="20"/>
        </w:rPr>
        <w:t xml:space="preserve"> </w:t>
      </w:r>
      <w:r w:rsidR="00FB7CA3" w:rsidRPr="008821CD">
        <w:rPr>
          <w:rFonts w:ascii="Verdana" w:hAnsi="Verdana"/>
          <w:sz w:val="20"/>
          <w:szCs w:val="20"/>
        </w:rPr>
        <w:t xml:space="preserve">des actions </w:t>
      </w:r>
      <w:r w:rsidR="00121554" w:rsidRPr="008821CD">
        <w:rPr>
          <w:rFonts w:ascii="Verdana" w:hAnsi="Verdana"/>
          <w:sz w:val="20"/>
          <w:szCs w:val="20"/>
        </w:rPr>
        <w:lastRenderedPageBreak/>
        <w:t>en vue de la m</w:t>
      </w:r>
      <w:r w:rsidR="00FB7CA3" w:rsidRPr="008821CD">
        <w:rPr>
          <w:rFonts w:ascii="Verdana" w:hAnsi="Verdana"/>
          <w:sz w:val="20"/>
          <w:szCs w:val="20"/>
        </w:rPr>
        <w:t xml:space="preserve">ise en place d’un programme </w:t>
      </w:r>
      <w:r w:rsidR="003976D5" w:rsidRPr="008821CD">
        <w:rPr>
          <w:rFonts w:ascii="Verdana" w:hAnsi="Verdana"/>
          <w:sz w:val="20"/>
          <w:szCs w:val="20"/>
        </w:rPr>
        <w:t>régional dans</w:t>
      </w:r>
      <w:r w:rsidR="00F65D18" w:rsidRPr="008821CD">
        <w:rPr>
          <w:rFonts w:ascii="Verdana" w:hAnsi="Verdana"/>
          <w:sz w:val="20"/>
          <w:szCs w:val="20"/>
        </w:rPr>
        <w:t xml:space="preserve"> ce domaine. Les </w:t>
      </w:r>
      <w:r w:rsidR="003976D5" w:rsidRPr="008821CD">
        <w:rPr>
          <w:rFonts w:ascii="Verdana" w:hAnsi="Verdana"/>
          <w:sz w:val="20"/>
          <w:szCs w:val="20"/>
        </w:rPr>
        <w:t>consultations</w:t>
      </w:r>
      <w:r w:rsidR="00F65D18" w:rsidRPr="008821CD">
        <w:rPr>
          <w:rFonts w:ascii="Verdana" w:hAnsi="Verdana"/>
          <w:sz w:val="20"/>
          <w:szCs w:val="20"/>
        </w:rPr>
        <w:t xml:space="preserve"> </w:t>
      </w:r>
      <w:r w:rsidR="00596607" w:rsidRPr="008821CD">
        <w:rPr>
          <w:rFonts w:ascii="Verdana" w:hAnsi="Verdana"/>
          <w:sz w:val="20"/>
          <w:szCs w:val="20"/>
        </w:rPr>
        <w:t>sont en cours</w:t>
      </w:r>
      <w:r w:rsidR="003976D5" w:rsidRPr="008821CD">
        <w:rPr>
          <w:rFonts w:ascii="Verdana" w:hAnsi="Verdana"/>
          <w:sz w:val="20"/>
          <w:szCs w:val="20"/>
        </w:rPr>
        <w:t xml:space="preserve">. </w:t>
      </w:r>
      <w:r w:rsidR="00121554" w:rsidRPr="008821CD">
        <w:rPr>
          <w:rFonts w:ascii="Verdana" w:hAnsi="Verdana"/>
          <w:sz w:val="20"/>
          <w:szCs w:val="20"/>
        </w:rPr>
        <w:t>Par ailleurs, pour</w:t>
      </w:r>
      <w:r w:rsidR="00596607" w:rsidRPr="008821CD">
        <w:rPr>
          <w:rFonts w:ascii="Verdana" w:hAnsi="Verdana"/>
          <w:sz w:val="20"/>
          <w:szCs w:val="20"/>
        </w:rPr>
        <w:t xml:space="preserve"> bénéficier de l’appui technique </w:t>
      </w:r>
      <w:r w:rsidR="00041649" w:rsidRPr="008821CD">
        <w:rPr>
          <w:rFonts w:ascii="Verdana" w:hAnsi="Verdana"/>
          <w:sz w:val="20"/>
          <w:szCs w:val="20"/>
        </w:rPr>
        <w:t>d’UN</w:t>
      </w:r>
      <w:r w:rsidR="00391ECC" w:rsidRPr="008821CD">
        <w:rPr>
          <w:rFonts w:ascii="Verdana" w:hAnsi="Verdana"/>
          <w:sz w:val="20"/>
          <w:szCs w:val="20"/>
        </w:rPr>
        <w:t>-</w:t>
      </w:r>
      <w:r w:rsidR="00596607" w:rsidRPr="008821CD">
        <w:rPr>
          <w:rFonts w:ascii="Verdana" w:hAnsi="Verdana"/>
          <w:sz w:val="20"/>
          <w:szCs w:val="20"/>
        </w:rPr>
        <w:t>Habitat</w:t>
      </w:r>
      <w:r w:rsidR="00041649" w:rsidRPr="008821CD">
        <w:rPr>
          <w:rFonts w:ascii="Verdana" w:hAnsi="Verdana"/>
          <w:sz w:val="20"/>
          <w:szCs w:val="20"/>
        </w:rPr>
        <w:t xml:space="preserve"> à l’avenir</w:t>
      </w:r>
      <w:r w:rsidR="00596607" w:rsidRPr="008821CD">
        <w:rPr>
          <w:rFonts w:ascii="Verdana" w:hAnsi="Verdana"/>
          <w:sz w:val="20"/>
          <w:szCs w:val="20"/>
        </w:rPr>
        <w:t xml:space="preserve">, un accord </w:t>
      </w:r>
      <w:r w:rsidR="00391ECC" w:rsidRPr="008821CD">
        <w:rPr>
          <w:rFonts w:ascii="Verdana" w:hAnsi="Verdana"/>
          <w:sz w:val="20"/>
          <w:szCs w:val="20"/>
        </w:rPr>
        <w:t xml:space="preserve">formel </w:t>
      </w:r>
      <w:r w:rsidR="00596607" w:rsidRPr="008821CD">
        <w:rPr>
          <w:rFonts w:ascii="Verdana" w:hAnsi="Verdana"/>
          <w:sz w:val="20"/>
          <w:szCs w:val="20"/>
        </w:rPr>
        <w:t>entre les deux parties facilitera l’engagement d’UN</w:t>
      </w:r>
      <w:r w:rsidR="00391ECC" w:rsidRPr="008821CD">
        <w:rPr>
          <w:rFonts w:ascii="Verdana" w:hAnsi="Verdana"/>
          <w:sz w:val="20"/>
          <w:szCs w:val="20"/>
        </w:rPr>
        <w:t>-</w:t>
      </w:r>
      <w:r w:rsidR="00500FBC" w:rsidRPr="008821CD">
        <w:rPr>
          <w:rFonts w:ascii="Verdana" w:hAnsi="Verdana"/>
          <w:sz w:val="20"/>
          <w:szCs w:val="20"/>
        </w:rPr>
        <w:t>H</w:t>
      </w:r>
      <w:r w:rsidR="00596607" w:rsidRPr="008821CD">
        <w:rPr>
          <w:rFonts w:ascii="Verdana" w:hAnsi="Verdana"/>
          <w:sz w:val="20"/>
          <w:szCs w:val="20"/>
        </w:rPr>
        <w:t>abit</w:t>
      </w:r>
      <w:r w:rsidR="00500FBC" w:rsidRPr="008821CD">
        <w:rPr>
          <w:rFonts w:ascii="Verdana" w:hAnsi="Verdana"/>
          <w:sz w:val="20"/>
          <w:szCs w:val="20"/>
        </w:rPr>
        <w:t>a</w:t>
      </w:r>
      <w:r w:rsidR="00631254" w:rsidRPr="008821CD">
        <w:rPr>
          <w:rFonts w:ascii="Verdana" w:hAnsi="Verdana"/>
          <w:sz w:val="20"/>
          <w:szCs w:val="20"/>
        </w:rPr>
        <w:t>t</w:t>
      </w:r>
      <w:r w:rsidR="00596607" w:rsidRPr="008821CD">
        <w:rPr>
          <w:rFonts w:ascii="Verdana" w:hAnsi="Verdana"/>
          <w:sz w:val="20"/>
          <w:szCs w:val="20"/>
        </w:rPr>
        <w:t xml:space="preserve"> pour accompagner</w:t>
      </w:r>
      <w:r w:rsidR="00500FBC" w:rsidRPr="008821CD">
        <w:rPr>
          <w:rFonts w:ascii="Verdana" w:hAnsi="Verdana"/>
          <w:sz w:val="20"/>
          <w:szCs w:val="20"/>
        </w:rPr>
        <w:t xml:space="preserve"> le Secretariat</w:t>
      </w:r>
      <w:r w:rsidR="00391ECC" w:rsidRPr="008821CD">
        <w:rPr>
          <w:rFonts w:ascii="Verdana" w:hAnsi="Verdana"/>
          <w:sz w:val="20"/>
          <w:szCs w:val="20"/>
        </w:rPr>
        <w:t xml:space="preserve"> général</w:t>
      </w:r>
      <w:r w:rsidR="00596607" w:rsidRPr="008821CD">
        <w:rPr>
          <w:rFonts w:ascii="Verdana" w:hAnsi="Verdana"/>
          <w:sz w:val="20"/>
          <w:szCs w:val="20"/>
        </w:rPr>
        <w:t xml:space="preserve">. </w:t>
      </w:r>
      <w:r w:rsidR="00391ECC" w:rsidRPr="008821CD">
        <w:rPr>
          <w:rFonts w:ascii="Verdana" w:hAnsi="Verdana"/>
          <w:sz w:val="20"/>
          <w:szCs w:val="20"/>
        </w:rPr>
        <w:t>Ainsi</w:t>
      </w:r>
      <w:r w:rsidR="00596607" w:rsidRPr="008821CD">
        <w:rPr>
          <w:rFonts w:ascii="Verdana" w:hAnsi="Verdana"/>
          <w:sz w:val="20"/>
          <w:szCs w:val="20"/>
        </w:rPr>
        <w:t>, u</w:t>
      </w:r>
      <w:r w:rsidR="00494384" w:rsidRPr="008821CD">
        <w:rPr>
          <w:rFonts w:ascii="Verdana" w:hAnsi="Verdana"/>
          <w:sz w:val="20"/>
          <w:szCs w:val="20"/>
        </w:rPr>
        <w:t xml:space="preserve">ne </w:t>
      </w:r>
      <w:r w:rsidR="00AA7E09" w:rsidRPr="008821CD">
        <w:rPr>
          <w:rFonts w:ascii="Verdana" w:hAnsi="Verdana"/>
          <w:sz w:val="20"/>
          <w:szCs w:val="20"/>
        </w:rPr>
        <w:t xml:space="preserve">décision </w:t>
      </w:r>
      <w:r w:rsidR="00596607" w:rsidRPr="008821CD">
        <w:rPr>
          <w:rFonts w:ascii="Verdana" w:hAnsi="Verdana"/>
          <w:sz w:val="20"/>
          <w:szCs w:val="20"/>
        </w:rPr>
        <w:t>des instances est</w:t>
      </w:r>
      <w:r w:rsidR="00FA5679" w:rsidRPr="008821CD">
        <w:rPr>
          <w:rFonts w:ascii="Verdana" w:hAnsi="Verdana"/>
          <w:sz w:val="20"/>
          <w:szCs w:val="20"/>
        </w:rPr>
        <w:t xml:space="preserve"> </w:t>
      </w:r>
      <w:r w:rsidR="00310ED9">
        <w:rPr>
          <w:rFonts w:ascii="Verdana" w:hAnsi="Verdana"/>
          <w:sz w:val="20"/>
          <w:szCs w:val="20"/>
        </w:rPr>
        <w:t>sollicitée</w:t>
      </w:r>
      <w:r w:rsidR="00FA5679" w:rsidRPr="008821CD">
        <w:rPr>
          <w:rFonts w:ascii="Verdana" w:hAnsi="Verdana"/>
          <w:sz w:val="20"/>
          <w:szCs w:val="20"/>
        </w:rPr>
        <w:t xml:space="preserve"> pour</w:t>
      </w:r>
      <w:r w:rsidR="00AA7E09" w:rsidRPr="008821CD">
        <w:rPr>
          <w:rFonts w:ascii="Verdana" w:hAnsi="Verdana"/>
          <w:sz w:val="20"/>
          <w:szCs w:val="20"/>
        </w:rPr>
        <w:t xml:space="preserve"> </w:t>
      </w:r>
      <w:r w:rsidR="00310ED9">
        <w:rPr>
          <w:rFonts w:ascii="Verdana" w:hAnsi="Verdana"/>
          <w:sz w:val="20"/>
          <w:szCs w:val="20"/>
        </w:rPr>
        <w:t>autoriser la conclusion du</w:t>
      </w:r>
      <w:r w:rsidR="00A900C4" w:rsidRPr="008821CD">
        <w:rPr>
          <w:rFonts w:ascii="Verdana" w:hAnsi="Verdana"/>
          <w:sz w:val="20"/>
          <w:szCs w:val="20"/>
        </w:rPr>
        <w:t xml:space="preserve"> </w:t>
      </w:r>
      <w:r w:rsidR="009338B5" w:rsidRPr="008821CD">
        <w:rPr>
          <w:rFonts w:ascii="Verdana" w:hAnsi="Verdana"/>
          <w:sz w:val="20"/>
          <w:szCs w:val="20"/>
        </w:rPr>
        <w:t>MoU entre</w:t>
      </w:r>
      <w:r w:rsidR="00A900C4" w:rsidRPr="008821CD">
        <w:rPr>
          <w:rFonts w:ascii="Verdana" w:hAnsi="Verdana"/>
          <w:sz w:val="20"/>
          <w:szCs w:val="20"/>
        </w:rPr>
        <w:t xml:space="preserve"> la COI et </w:t>
      </w:r>
      <w:r w:rsidR="00631254" w:rsidRPr="008821CD">
        <w:rPr>
          <w:rFonts w:ascii="Verdana" w:hAnsi="Verdana"/>
          <w:sz w:val="20"/>
          <w:szCs w:val="20"/>
        </w:rPr>
        <w:t>UN</w:t>
      </w:r>
      <w:r w:rsidR="00391ECC" w:rsidRPr="008821CD">
        <w:rPr>
          <w:rFonts w:ascii="Verdana" w:hAnsi="Verdana"/>
          <w:sz w:val="20"/>
          <w:szCs w:val="20"/>
        </w:rPr>
        <w:t>-</w:t>
      </w:r>
      <w:r w:rsidR="00631254" w:rsidRPr="008821CD">
        <w:rPr>
          <w:rFonts w:ascii="Verdana" w:hAnsi="Verdana"/>
          <w:sz w:val="20"/>
          <w:szCs w:val="20"/>
        </w:rPr>
        <w:t>Habitat</w:t>
      </w:r>
      <w:r w:rsidR="00232657" w:rsidRPr="008821CD">
        <w:rPr>
          <w:rFonts w:ascii="Verdana" w:hAnsi="Verdana"/>
          <w:sz w:val="20"/>
          <w:szCs w:val="20"/>
        </w:rPr>
        <w:t>.</w:t>
      </w:r>
      <w:r w:rsidR="00FA5679" w:rsidRPr="008821CD">
        <w:rPr>
          <w:rFonts w:ascii="Verdana" w:hAnsi="Verdana"/>
          <w:sz w:val="20"/>
          <w:szCs w:val="20"/>
        </w:rPr>
        <w:t xml:space="preserve"> </w:t>
      </w:r>
      <w:r w:rsidR="00AA7E09" w:rsidRPr="008821CD">
        <w:rPr>
          <w:rFonts w:ascii="Verdana" w:hAnsi="Verdana"/>
          <w:sz w:val="20"/>
          <w:szCs w:val="20"/>
        </w:rPr>
        <w:t xml:space="preserve"> </w:t>
      </w:r>
    </w:p>
    <w:p w14:paraId="62B3492E" w14:textId="77777777" w:rsidR="00391ECC" w:rsidRPr="008821CD" w:rsidRDefault="00391ECC" w:rsidP="008821CD">
      <w:pPr>
        <w:spacing w:after="0" w:line="240" w:lineRule="auto"/>
        <w:jc w:val="both"/>
        <w:rPr>
          <w:rFonts w:ascii="Verdana" w:hAnsi="Verdana"/>
          <w:sz w:val="20"/>
          <w:szCs w:val="20"/>
        </w:rPr>
      </w:pPr>
    </w:p>
    <w:p w14:paraId="0535E825" w14:textId="77777777" w:rsidR="00121554" w:rsidRPr="008821CD" w:rsidRDefault="00121554" w:rsidP="008821CD">
      <w:pPr>
        <w:numPr>
          <w:ilvl w:val="0"/>
          <w:numId w:val="3"/>
        </w:numPr>
        <w:pBdr>
          <w:top w:val="single" w:sz="6" w:space="1" w:color="auto"/>
        </w:pBdr>
        <w:spacing w:after="0" w:line="240" w:lineRule="auto"/>
        <w:ind w:left="0" w:firstLine="0"/>
        <w:jc w:val="center"/>
        <w:rPr>
          <w:rFonts w:ascii="Arial" w:eastAsia="Times New Roman" w:hAnsi="Arial" w:cs="Arial"/>
          <w:vanish/>
          <w:sz w:val="16"/>
          <w:szCs w:val="16"/>
          <w:lang w:eastAsia="zh-CN"/>
        </w:rPr>
      </w:pPr>
      <w:r w:rsidRPr="008821CD">
        <w:rPr>
          <w:rFonts w:ascii="Arial" w:eastAsia="Times New Roman" w:hAnsi="Arial" w:cs="Arial"/>
          <w:vanish/>
          <w:sz w:val="16"/>
          <w:szCs w:val="16"/>
          <w:lang w:eastAsia="zh-CN"/>
        </w:rPr>
        <w:t>Bas du formulaire</w:t>
      </w:r>
    </w:p>
    <w:p w14:paraId="72976D4D" w14:textId="204DEF84" w:rsidR="00AA6528" w:rsidRDefault="00AA6528" w:rsidP="008821CD">
      <w:pPr>
        <w:pStyle w:val="Sous-partie2"/>
        <w:spacing w:after="0" w:line="240" w:lineRule="auto"/>
        <w:ind w:left="0" w:firstLine="0"/>
        <w:contextualSpacing w:val="0"/>
      </w:pPr>
      <w:r w:rsidRPr="008821CD">
        <w:t xml:space="preserve">Autres Partenariats </w:t>
      </w:r>
    </w:p>
    <w:p w14:paraId="4B50B0EB" w14:textId="77777777" w:rsidR="008821CD" w:rsidRPr="008821CD" w:rsidRDefault="008821CD" w:rsidP="008821CD">
      <w:pPr>
        <w:pStyle w:val="Sous-partie2"/>
        <w:numPr>
          <w:ilvl w:val="0"/>
          <w:numId w:val="0"/>
        </w:numPr>
        <w:spacing w:after="0" w:line="240" w:lineRule="auto"/>
        <w:contextualSpacing w:val="0"/>
      </w:pPr>
    </w:p>
    <w:p w14:paraId="6D56D6AF" w14:textId="234BBC53" w:rsidR="00AA6528" w:rsidRPr="008821CD" w:rsidRDefault="00157B4F" w:rsidP="008821CD">
      <w:pPr>
        <w:pStyle w:val="Sous-partie2"/>
        <w:numPr>
          <w:ilvl w:val="2"/>
          <w:numId w:val="3"/>
        </w:numPr>
        <w:spacing w:after="0" w:line="240" w:lineRule="auto"/>
        <w:ind w:left="0" w:firstLine="0"/>
        <w:contextualSpacing w:val="0"/>
        <w:rPr>
          <w:bCs/>
        </w:rPr>
      </w:pPr>
      <w:r w:rsidRPr="008821CD">
        <w:rPr>
          <w:bCs/>
        </w:rPr>
        <w:t>Fédération Internationale de la Croix Rouge et Croissant Rouge</w:t>
      </w:r>
    </w:p>
    <w:p w14:paraId="17B07034" w14:textId="1D573A02" w:rsidR="007B1E17" w:rsidRPr="008821CD" w:rsidRDefault="0047067E" w:rsidP="008821CD">
      <w:pPr>
        <w:pStyle w:val="Titrepartie"/>
        <w:numPr>
          <w:ilvl w:val="0"/>
          <w:numId w:val="0"/>
        </w:numPr>
        <w:spacing w:after="0" w:line="240" w:lineRule="auto"/>
        <w:contextualSpacing w:val="0"/>
        <w:rPr>
          <w:b w:val="0"/>
          <w:bCs w:val="0"/>
          <w:color w:val="auto"/>
          <w:sz w:val="20"/>
        </w:rPr>
      </w:pPr>
      <w:r w:rsidRPr="008821CD">
        <w:rPr>
          <w:b w:val="0"/>
          <w:bCs w:val="0"/>
          <w:color w:val="auto"/>
          <w:sz w:val="20"/>
        </w:rPr>
        <w:t>L</w:t>
      </w:r>
      <w:r w:rsidR="006A26A6" w:rsidRPr="008821CD">
        <w:rPr>
          <w:b w:val="0"/>
          <w:bCs w:val="0"/>
          <w:color w:val="auto"/>
          <w:sz w:val="20"/>
        </w:rPr>
        <w:t xml:space="preserve">e MoU entre la COI </w:t>
      </w:r>
      <w:r w:rsidR="00C074B8" w:rsidRPr="008821CD">
        <w:rPr>
          <w:b w:val="0"/>
          <w:bCs w:val="0"/>
          <w:color w:val="auto"/>
          <w:sz w:val="20"/>
        </w:rPr>
        <w:t>et le</w:t>
      </w:r>
      <w:r w:rsidR="0031627A" w:rsidRPr="008821CD">
        <w:rPr>
          <w:b w:val="0"/>
          <w:bCs w:val="0"/>
          <w:color w:val="auto"/>
          <w:sz w:val="20"/>
        </w:rPr>
        <w:t xml:space="preserve"> FICR </w:t>
      </w:r>
      <w:r w:rsidR="00605BD1" w:rsidRPr="008821CD">
        <w:rPr>
          <w:b w:val="0"/>
          <w:bCs w:val="0"/>
          <w:color w:val="auto"/>
          <w:sz w:val="20"/>
        </w:rPr>
        <w:t>a</w:t>
      </w:r>
      <w:r w:rsidR="0031627A" w:rsidRPr="008821CD">
        <w:rPr>
          <w:b w:val="0"/>
          <w:bCs w:val="0"/>
          <w:color w:val="auto"/>
          <w:sz w:val="20"/>
        </w:rPr>
        <w:t xml:space="preserve"> été sign</w:t>
      </w:r>
      <w:r w:rsidR="00500FBC" w:rsidRPr="008821CD">
        <w:rPr>
          <w:b w:val="0"/>
          <w:bCs w:val="0"/>
          <w:color w:val="auto"/>
          <w:sz w:val="20"/>
        </w:rPr>
        <w:t>é</w:t>
      </w:r>
      <w:r w:rsidR="0031627A" w:rsidRPr="008821CD">
        <w:rPr>
          <w:b w:val="0"/>
          <w:bCs w:val="0"/>
          <w:color w:val="auto"/>
          <w:sz w:val="20"/>
        </w:rPr>
        <w:t xml:space="preserve"> </w:t>
      </w:r>
      <w:r w:rsidR="00310ED9">
        <w:rPr>
          <w:b w:val="0"/>
          <w:bCs w:val="0"/>
          <w:color w:val="auto"/>
          <w:sz w:val="20"/>
        </w:rPr>
        <w:t>au</w:t>
      </w:r>
      <w:r w:rsidR="00605BD1" w:rsidRPr="008821CD">
        <w:rPr>
          <w:b w:val="0"/>
          <w:bCs w:val="0"/>
          <w:color w:val="auto"/>
          <w:sz w:val="20"/>
        </w:rPr>
        <w:t xml:space="preserve"> 2</w:t>
      </w:r>
      <w:r w:rsidR="00605BD1" w:rsidRPr="00310ED9">
        <w:rPr>
          <w:b w:val="0"/>
          <w:bCs w:val="0"/>
          <w:color w:val="auto"/>
          <w:sz w:val="20"/>
          <w:vertAlign w:val="superscript"/>
        </w:rPr>
        <w:t>e</w:t>
      </w:r>
      <w:r w:rsidR="00605BD1" w:rsidRPr="008821CD">
        <w:rPr>
          <w:b w:val="0"/>
          <w:bCs w:val="0"/>
          <w:color w:val="auto"/>
          <w:sz w:val="20"/>
        </w:rPr>
        <w:t xml:space="preserve"> semestre de 2025</w:t>
      </w:r>
      <w:r w:rsidR="00C074B8" w:rsidRPr="008821CD">
        <w:rPr>
          <w:b w:val="0"/>
          <w:bCs w:val="0"/>
          <w:color w:val="auto"/>
          <w:sz w:val="20"/>
        </w:rPr>
        <w:t>. Depuis</w:t>
      </w:r>
      <w:r w:rsidR="00631254" w:rsidRPr="008821CD">
        <w:rPr>
          <w:b w:val="0"/>
          <w:bCs w:val="0"/>
          <w:color w:val="auto"/>
          <w:sz w:val="20"/>
        </w:rPr>
        <w:t>,</w:t>
      </w:r>
      <w:r w:rsidR="00C074B8" w:rsidRPr="008821CD">
        <w:rPr>
          <w:b w:val="0"/>
          <w:bCs w:val="0"/>
          <w:color w:val="auto"/>
          <w:sz w:val="20"/>
        </w:rPr>
        <w:t xml:space="preserve"> la COI et le </w:t>
      </w:r>
      <w:r w:rsidR="00B333FB" w:rsidRPr="008821CD">
        <w:rPr>
          <w:b w:val="0"/>
          <w:bCs w:val="0"/>
          <w:color w:val="auto"/>
          <w:sz w:val="20"/>
        </w:rPr>
        <w:t xml:space="preserve">FICR </w:t>
      </w:r>
      <w:r w:rsidR="00391ECC" w:rsidRPr="008821CD">
        <w:rPr>
          <w:b w:val="0"/>
          <w:bCs w:val="0"/>
          <w:color w:val="auto"/>
          <w:sz w:val="20"/>
        </w:rPr>
        <w:t xml:space="preserve">ont engagé </w:t>
      </w:r>
      <w:r w:rsidR="00631254" w:rsidRPr="008821CD">
        <w:rPr>
          <w:b w:val="0"/>
          <w:bCs w:val="0"/>
          <w:color w:val="auto"/>
          <w:sz w:val="20"/>
        </w:rPr>
        <w:t>des actions de</w:t>
      </w:r>
      <w:r w:rsidR="00C074B8" w:rsidRPr="008821CD">
        <w:rPr>
          <w:b w:val="0"/>
          <w:bCs w:val="0"/>
          <w:color w:val="auto"/>
          <w:sz w:val="20"/>
        </w:rPr>
        <w:t xml:space="preserve"> sensibilisation sur </w:t>
      </w:r>
      <w:r w:rsidR="00B333FB" w:rsidRPr="008821CD">
        <w:rPr>
          <w:b w:val="0"/>
          <w:bCs w:val="0"/>
          <w:color w:val="auto"/>
          <w:sz w:val="20"/>
        </w:rPr>
        <w:t xml:space="preserve">le </w:t>
      </w:r>
      <w:r w:rsidR="00631254" w:rsidRPr="008821CD">
        <w:rPr>
          <w:b w:val="0"/>
          <w:bCs w:val="0"/>
          <w:color w:val="auto"/>
          <w:sz w:val="20"/>
        </w:rPr>
        <w:t xml:space="preserve">cadre légal de la </w:t>
      </w:r>
      <w:r w:rsidR="00391ECC" w:rsidRPr="008821CD">
        <w:rPr>
          <w:b w:val="0"/>
          <w:bCs w:val="0"/>
          <w:color w:val="auto"/>
          <w:sz w:val="20"/>
        </w:rPr>
        <w:t>gestion des</w:t>
      </w:r>
      <w:r w:rsidR="00140FB1" w:rsidRPr="008821CD">
        <w:rPr>
          <w:b w:val="0"/>
          <w:bCs w:val="0"/>
          <w:color w:val="auto"/>
          <w:sz w:val="20"/>
        </w:rPr>
        <w:t xml:space="preserve"> catastrophe</w:t>
      </w:r>
      <w:r w:rsidR="00631254" w:rsidRPr="008821CD">
        <w:rPr>
          <w:b w:val="0"/>
          <w:bCs w:val="0"/>
          <w:color w:val="auto"/>
          <w:sz w:val="20"/>
        </w:rPr>
        <w:t>s</w:t>
      </w:r>
      <w:r w:rsidR="00391ECC" w:rsidRPr="008821CD">
        <w:rPr>
          <w:b w:val="0"/>
          <w:bCs w:val="0"/>
          <w:color w:val="auto"/>
          <w:sz w:val="20"/>
        </w:rPr>
        <w:t>,</w:t>
      </w:r>
      <w:r w:rsidR="00631254" w:rsidRPr="008821CD">
        <w:rPr>
          <w:b w:val="0"/>
          <w:bCs w:val="0"/>
          <w:color w:val="auto"/>
          <w:sz w:val="20"/>
        </w:rPr>
        <w:t xml:space="preserve"> en tenant</w:t>
      </w:r>
      <w:r w:rsidR="00500FBC" w:rsidRPr="008821CD">
        <w:rPr>
          <w:b w:val="0"/>
          <w:bCs w:val="0"/>
          <w:color w:val="auto"/>
          <w:sz w:val="20"/>
        </w:rPr>
        <w:t xml:space="preserve"> compte</w:t>
      </w:r>
      <w:r w:rsidR="00631254" w:rsidRPr="008821CD">
        <w:rPr>
          <w:b w:val="0"/>
          <w:bCs w:val="0"/>
          <w:color w:val="auto"/>
          <w:sz w:val="20"/>
        </w:rPr>
        <w:t xml:space="preserve"> du fait</w:t>
      </w:r>
      <w:r w:rsidR="00500FBC" w:rsidRPr="008821CD">
        <w:rPr>
          <w:b w:val="0"/>
          <w:bCs w:val="0"/>
          <w:color w:val="auto"/>
          <w:sz w:val="20"/>
        </w:rPr>
        <w:t xml:space="preserve"> qu’un</w:t>
      </w:r>
      <w:r w:rsidR="00672C92" w:rsidRPr="008821CD">
        <w:rPr>
          <w:b w:val="0"/>
          <w:bCs w:val="0"/>
          <w:color w:val="auto"/>
          <w:sz w:val="20"/>
        </w:rPr>
        <w:t xml:space="preserve"> cadre international sur le droit de </w:t>
      </w:r>
      <w:r w:rsidR="00454246" w:rsidRPr="008821CD">
        <w:rPr>
          <w:b w:val="0"/>
          <w:bCs w:val="0"/>
          <w:color w:val="auto"/>
          <w:sz w:val="20"/>
        </w:rPr>
        <w:t>catastrophes</w:t>
      </w:r>
      <w:r w:rsidR="00672C92" w:rsidRPr="008821CD">
        <w:rPr>
          <w:b w:val="0"/>
          <w:bCs w:val="0"/>
          <w:color w:val="auto"/>
          <w:sz w:val="20"/>
        </w:rPr>
        <w:t xml:space="preserve"> est </w:t>
      </w:r>
      <w:r w:rsidR="00391ECC" w:rsidRPr="008821CD">
        <w:rPr>
          <w:b w:val="0"/>
          <w:bCs w:val="0"/>
          <w:color w:val="auto"/>
          <w:sz w:val="20"/>
        </w:rPr>
        <w:t>en cours</w:t>
      </w:r>
      <w:r w:rsidR="00672C92" w:rsidRPr="008821CD">
        <w:rPr>
          <w:b w:val="0"/>
          <w:bCs w:val="0"/>
          <w:color w:val="auto"/>
          <w:sz w:val="20"/>
        </w:rPr>
        <w:t xml:space="preserve"> de n</w:t>
      </w:r>
      <w:r w:rsidR="00391ECC" w:rsidRPr="008821CD">
        <w:rPr>
          <w:b w:val="0"/>
          <w:bCs w:val="0"/>
          <w:color w:val="auto"/>
          <w:sz w:val="20"/>
        </w:rPr>
        <w:t>é</w:t>
      </w:r>
      <w:r w:rsidR="00672C92" w:rsidRPr="008821CD">
        <w:rPr>
          <w:b w:val="0"/>
          <w:bCs w:val="0"/>
          <w:color w:val="auto"/>
          <w:sz w:val="20"/>
        </w:rPr>
        <w:t>gociation</w:t>
      </w:r>
      <w:r w:rsidR="00454246" w:rsidRPr="008821CD">
        <w:rPr>
          <w:b w:val="0"/>
          <w:bCs w:val="0"/>
          <w:color w:val="auto"/>
          <w:sz w:val="20"/>
        </w:rPr>
        <w:t xml:space="preserve">. </w:t>
      </w:r>
      <w:r w:rsidR="00500FBC" w:rsidRPr="008821CD">
        <w:rPr>
          <w:b w:val="0"/>
          <w:bCs w:val="0"/>
          <w:color w:val="auto"/>
          <w:sz w:val="20"/>
        </w:rPr>
        <w:t>Pour rappel, l</w:t>
      </w:r>
      <w:r w:rsidR="00454246" w:rsidRPr="008821CD">
        <w:rPr>
          <w:b w:val="0"/>
          <w:bCs w:val="0"/>
          <w:color w:val="auto"/>
          <w:sz w:val="20"/>
        </w:rPr>
        <w:t>e</w:t>
      </w:r>
      <w:r w:rsidR="00F63449" w:rsidRPr="008821CD">
        <w:rPr>
          <w:b w:val="0"/>
          <w:bCs w:val="0"/>
          <w:color w:val="auto"/>
          <w:sz w:val="20"/>
        </w:rPr>
        <w:t xml:space="preserve">s pays </w:t>
      </w:r>
      <w:r w:rsidR="00391ECC" w:rsidRPr="008821CD">
        <w:rPr>
          <w:b w:val="0"/>
          <w:bCs w:val="0"/>
          <w:color w:val="auto"/>
          <w:sz w:val="20"/>
        </w:rPr>
        <w:t xml:space="preserve">disposent </w:t>
      </w:r>
      <w:r w:rsidR="00F63449" w:rsidRPr="008821CD">
        <w:rPr>
          <w:b w:val="0"/>
          <w:bCs w:val="0"/>
          <w:color w:val="auto"/>
          <w:sz w:val="20"/>
        </w:rPr>
        <w:t xml:space="preserve">jusqu’à </w:t>
      </w:r>
      <w:r w:rsidR="00892BB0" w:rsidRPr="008821CD">
        <w:rPr>
          <w:b w:val="0"/>
          <w:bCs w:val="0"/>
          <w:color w:val="auto"/>
          <w:sz w:val="20"/>
        </w:rPr>
        <w:t>décembre</w:t>
      </w:r>
      <w:r w:rsidR="00F63449" w:rsidRPr="008821CD">
        <w:rPr>
          <w:b w:val="0"/>
          <w:bCs w:val="0"/>
          <w:color w:val="auto"/>
          <w:sz w:val="20"/>
        </w:rPr>
        <w:t xml:space="preserve"> 2025 pour </w:t>
      </w:r>
      <w:r w:rsidR="00391ECC" w:rsidRPr="008821CD">
        <w:rPr>
          <w:b w:val="0"/>
          <w:bCs w:val="0"/>
          <w:color w:val="auto"/>
          <w:sz w:val="20"/>
        </w:rPr>
        <w:t>soumettre</w:t>
      </w:r>
      <w:r w:rsidR="00F63449" w:rsidRPr="008821CD">
        <w:rPr>
          <w:b w:val="0"/>
          <w:bCs w:val="0"/>
          <w:color w:val="auto"/>
          <w:sz w:val="20"/>
        </w:rPr>
        <w:t xml:space="preserve"> leurs commentaires sur le projet </w:t>
      </w:r>
      <w:r w:rsidR="004E5375" w:rsidRPr="008821CD">
        <w:rPr>
          <w:b w:val="0"/>
          <w:bCs w:val="0"/>
          <w:color w:val="auto"/>
          <w:sz w:val="20"/>
        </w:rPr>
        <w:t>de convention</w:t>
      </w:r>
      <w:r w:rsidR="0070542A" w:rsidRPr="008821CD">
        <w:rPr>
          <w:b w:val="0"/>
          <w:bCs w:val="0"/>
          <w:color w:val="auto"/>
          <w:sz w:val="20"/>
        </w:rPr>
        <w:t xml:space="preserve"> international (</w:t>
      </w:r>
      <w:r w:rsidR="00873375" w:rsidRPr="008821CD">
        <w:rPr>
          <w:b w:val="0"/>
          <w:bCs w:val="0"/>
          <w:color w:val="auto"/>
          <w:sz w:val="20"/>
        </w:rPr>
        <w:t>cf</w:t>
      </w:r>
      <w:r w:rsidR="00892BB0" w:rsidRPr="008821CD">
        <w:rPr>
          <w:b w:val="0"/>
          <w:bCs w:val="0"/>
          <w:color w:val="auto"/>
          <w:sz w:val="20"/>
        </w:rPr>
        <w:t xml:space="preserve"> annexe</w:t>
      </w:r>
      <w:r w:rsidR="0070542A" w:rsidRPr="008821CD">
        <w:rPr>
          <w:b w:val="0"/>
          <w:bCs w:val="0"/>
          <w:color w:val="auto"/>
          <w:sz w:val="20"/>
        </w:rPr>
        <w:t xml:space="preserve"> 2</w:t>
      </w:r>
      <w:r w:rsidR="00892BB0" w:rsidRPr="008821CD">
        <w:rPr>
          <w:b w:val="0"/>
          <w:bCs w:val="0"/>
          <w:color w:val="auto"/>
          <w:sz w:val="20"/>
        </w:rPr>
        <w:t xml:space="preserve">). </w:t>
      </w:r>
      <w:r w:rsidR="00500FBC" w:rsidRPr="008821CD">
        <w:rPr>
          <w:b w:val="0"/>
          <w:bCs w:val="0"/>
          <w:color w:val="auto"/>
          <w:sz w:val="20"/>
        </w:rPr>
        <w:t>La COI et FICR souhaite</w:t>
      </w:r>
      <w:r w:rsidR="00631254" w:rsidRPr="008821CD">
        <w:rPr>
          <w:b w:val="0"/>
          <w:bCs w:val="0"/>
          <w:color w:val="auto"/>
          <w:sz w:val="20"/>
        </w:rPr>
        <w:t>nt</w:t>
      </w:r>
      <w:r w:rsidR="00500FBC" w:rsidRPr="008821CD">
        <w:rPr>
          <w:b w:val="0"/>
          <w:bCs w:val="0"/>
          <w:color w:val="auto"/>
          <w:sz w:val="20"/>
        </w:rPr>
        <w:t xml:space="preserve"> accompagner les </w:t>
      </w:r>
      <w:r w:rsidR="00310ED9">
        <w:rPr>
          <w:b w:val="0"/>
          <w:bCs w:val="0"/>
          <w:color w:val="auto"/>
          <w:sz w:val="20"/>
        </w:rPr>
        <w:t>É</w:t>
      </w:r>
      <w:r w:rsidR="00310ED9" w:rsidRPr="008821CD">
        <w:rPr>
          <w:b w:val="0"/>
          <w:bCs w:val="0"/>
          <w:color w:val="auto"/>
          <w:sz w:val="20"/>
        </w:rPr>
        <w:t>tat</w:t>
      </w:r>
      <w:r w:rsidR="00310ED9">
        <w:rPr>
          <w:b w:val="0"/>
          <w:bCs w:val="0"/>
          <w:color w:val="auto"/>
          <w:sz w:val="20"/>
        </w:rPr>
        <w:t>s</w:t>
      </w:r>
      <w:r w:rsidR="00500FBC" w:rsidRPr="008821CD">
        <w:rPr>
          <w:b w:val="0"/>
          <w:bCs w:val="0"/>
          <w:color w:val="auto"/>
          <w:sz w:val="20"/>
        </w:rPr>
        <w:t xml:space="preserve"> membres </w:t>
      </w:r>
      <w:r w:rsidR="00391ECC" w:rsidRPr="008821CD">
        <w:rPr>
          <w:b w:val="0"/>
          <w:bCs w:val="0"/>
          <w:color w:val="auto"/>
          <w:sz w:val="20"/>
        </w:rPr>
        <w:t>dans la préparation</w:t>
      </w:r>
      <w:r w:rsidR="00857204" w:rsidRPr="008821CD">
        <w:rPr>
          <w:b w:val="0"/>
          <w:bCs w:val="0"/>
          <w:color w:val="auto"/>
          <w:sz w:val="20"/>
        </w:rPr>
        <w:t xml:space="preserve"> à </w:t>
      </w:r>
      <w:r w:rsidR="00391ECC" w:rsidRPr="008821CD">
        <w:rPr>
          <w:b w:val="0"/>
          <w:bCs w:val="0"/>
          <w:color w:val="auto"/>
          <w:sz w:val="20"/>
        </w:rPr>
        <w:t>cette</w:t>
      </w:r>
      <w:r w:rsidR="00857204" w:rsidRPr="008821CD">
        <w:rPr>
          <w:b w:val="0"/>
          <w:bCs w:val="0"/>
          <w:color w:val="auto"/>
          <w:sz w:val="20"/>
        </w:rPr>
        <w:t xml:space="preserve"> </w:t>
      </w:r>
      <w:r w:rsidR="001F00E4" w:rsidRPr="008821CD">
        <w:rPr>
          <w:b w:val="0"/>
          <w:bCs w:val="0"/>
          <w:color w:val="auto"/>
          <w:sz w:val="20"/>
        </w:rPr>
        <w:t>n</w:t>
      </w:r>
      <w:r w:rsidR="00391ECC" w:rsidRPr="008821CD">
        <w:rPr>
          <w:b w:val="0"/>
          <w:bCs w:val="0"/>
          <w:color w:val="auto"/>
          <w:sz w:val="20"/>
        </w:rPr>
        <w:t>é</w:t>
      </w:r>
      <w:r w:rsidR="001F00E4" w:rsidRPr="008821CD">
        <w:rPr>
          <w:b w:val="0"/>
          <w:bCs w:val="0"/>
          <w:color w:val="auto"/>
          <w:sz w:val="20"/>
        </w:rPr>
        <w:t>gociation sur</w:t>
      </w:r>
      <w:r w:rsidR="00857204" w:rsidRPr="008821CD">
        <w:rPr>
          <w:b w:val="0"/>
          <w:bCs w:val="0"/>
          <w:color w:val="auto"/>
          <w:sz w:val="20"/>
        </w:rPr>
        <w:t xml:space="preserve"> </w:t>
      </w:r>
      <w:r w:rsidR="00D6168A" w:rsidRPr="008821CD">
        <w:rPr>
          <w:b w:val="0"/>
          <w:bCs w:val="0"/>
          <w:color w:val="auto"/>
          <w:sz w:val="20"/>
        </w:rPr>
        <w:t>le projet</w:t>
      </w:r>
      <w:r w:rsidR="00500FBC" w:rsidRPr="008821CD">
        <w:rPr>
          <w:b w:val="0"/>
          <w:bCs w:val="0"/>
          <w:color w:val="auto"/>
          <w:sz w:val="20"/>
        </w:rPr>
        <w:t xml:space="preserve"> de Conventio</w:t>
      </w:r>
      <w:r w:rsidR="00391ECC" w:rsidRPr="008821CD">
        <w:rPr>
          <w:b w:val="0"/>
          <w:bCs w:val="0"/>
          <w:color w:val="auto"/>
          <w:sz w:val="20"/>
        </w:rPr>
        <w:t xml:space="preserve">n. </w:t>
      </w:r>
      <w:r w:rsidR="008821CD" w:rsidRPr="008821CD">
        <w:rPr>
          <w:b w:val="0"/>
          <w:bCs w:val="0"/>
          <w:color w:val="auto"/>
          <w:sz w:val="20"/>
        </w:rPr>
        <w:t>À</w:t>
      </w:r>
      <w:r w:rsidR="00391ECC" w:rsidRPr="008821CD">
        <w:rPr>
          <w:b w:val="0"/>
          <w:bCs w:val="0"/>
          <w:color w:val="auto"/>
          <w:sz w:val="20"/>
        </w:rPr>
        <w:t xml:space="preserve"> cet effet, </w:t>
      </w:r>
      <w:r w:rsidR="00857204" w:rsidRPr="008821CD">
        <w:rPr>
          <w:b w:val="0"/>
          <w:bCs w:val="0"/>
          <w:color w:val="auto"/>
          <w:sz w:val="20"/>
        </w:rPr>
        <w:t>une</w:t>
      </w:r>
      <w:r w:rsidR="001620F9" w:rsidRPr="008821CD">
        <w:rPr>
          <w:b w:val="0"/>
          <w:bCs w:val="0"/>
          <w:color w:val="auto"/>
          <w:sz w:val="20"/>
        </w:rPr>
        <w:t xml:space="preserve"> session </w:t>
      </w:r>
      <w:r w:rsidR="007B1E17" w:rsidRPr="008821CD">
        <w:rPr>
          <w:b w:val="0"/>
          <w:bCs w:val="0"/>
          <w:color w:val="auto"/>
          <w:sz w:val="20"/>
        </w:rPr>
        <w:t>de</w:t>
      </w:r>
      <w:r w:rsidR="001620F9" w:rsidRPr="008821CD">
        <w:rPr>
          <w:b w:val="0"/>
          <w:bCs w:val="0"/>
          <w:color w:val="auto"/>
          <w:sz w:val="20"/>
        </w:rPr>
        <w:t xml:space="preserve"> </w:t>
      </w:r>
      <w:r w:rsidR="00873375" w:rsidRPr="008821CD">
        <w:rPr>
          <w:b w:val="0"/>
          <w:bCs w:val="0"/>
          <w:color w:val="auto"/>
          <w:sz w:val="20"/>
        </w:rPr>
        <w:t xml:space="preserve">sensibilisation </w:t>
      </w:r>
      <w:r w:rsidR="00391ECC" w:rsidRPr="008821CD">
        <w:rPr>
          <w:b w:val="0"/>
          <w:bCs w:val="0"/>
          <w:color w:val="auto"/>
          <w:sz w:val="20"/>
        </w:rPr>
        <w:t xml:space="preserve">sera organisée </w:t>
      </w:r>
      <w:r w:rsidR="00310ED9">
        <w:rPr>
          <w:b w:val="0"/>
          <w:bCs w:val="0"/>
          <w:color w:val="auto"/>
          <w:sz w:val="20"/>
        </w:rPr>
        <w:t>avant</w:t>
      </w:r>
      <w:r w:rsidR="00391ECC" w:rsidRPr="008821CD">
        <w:rPr>
          <w:b w:val="0"/>
          <w:bCs w:val="0"/>
          <w:color w:val="auto"/>
          <w:sz w:val="20"/>
        </w:rPr>
        <w:t xml:space="preserve"> la fin </w:t>
      </w:r>
      <w:r w:rsidR="00310ED9">
        <w:rPr>
          <w:b w:val="0"/>
          <w:bCs w:val="0"/>
          <w:color w:val="auto"/>
          <w:sz w:val="20"/>
        </w:rPr>
        <w:t xml:space="preserve">du mois </w:t>
      </w:r>
      <w:r w:rsidR="00391ECC" w:rsidRPr="008821CD">
        <w:rPr>
          <w:b w:val="0"/>
          <w:bCs w:val="0"/>
          <w:color w:val="auto"/>
          <w:sz w:val="20"/>
        </w:rPr>
        <w:t xml:space="preserve">de novembre afin de soutenir les </w:t>
      </w:r>
      <w:r w:rsidR="00310ED9">
        <w:rPr>
          <w:b w:val="0"/>
          <w:bCs w:val="0"/>
          <w:color w:val="auto"/>
          <w:sz w:val="20"/>
        </w:rPr>
        <w:t>É</w:t>
      </w:r>
      <w:r w:rsidR="00310ED9" w:rsidRPr="008821CD">
        <w:rPr>
          <w:b w:val="0"/>
          <w:bCs w:val="0"/>
          <w:color w:val="auto"/>
          <w:sz w:val="20"/>
        </w:rPr>
        <w:t>tats</w:t>
      </w:r>
      <w:r w:rsidR="001620F9" w:rsidRPr="008821CD">
        <w:rPr>
          <w:b w:val="0"/>
          <w:bCs w:val="0"/>
          <w:color w:val="auto"/>
          <w:sz w:val="20"/>
        </w:rPr>
        <w:t xml:space="preserve"> </w:t>
      </w:r>
      <w:r w:rsidR="00873375" w:rsidRPr="008821CD">
        <w:rPr>
          <w:b w:val="0"/>
          <w:bCs w:val="0"/>
          <w:color w:val="auto"/>
          <w:sz w:val="20"/>
        </w:rPr>
        <w:t>membre</w:t>
      </w:r>
      <w:r w:rsidR="00631254" w:rsidRPr="008821CD">
        <w:rPr>
          <w:b w:val="0"/>
          <w:bCs w:val="0"/>
          <w:color w:val="auto"/>
          <w:sz w:val="20"/>
        </w:rPr>
        <w:t>s</w:t>
      </w:r>
      <w:r w:rsidR="00857204" w:rsidRPr="008821CD">
        <w:rPr>
          <w:b w:val="0"/>
          <w:bCs w:val="0"/>
          <w:color w:val="auto"/>
          <w:sz w:val="20"/>
        </w:rPr>
        <w:t>.</w:t>
      </w:r>
    </w:p>
    <w:p w14:paraId="1C9FE5E6" w14:textId="77777777" w:rsidR="007B1E17" w:rsidRPr="008821CD" w:rsidRDefault="007B1E17" w:rsidP="008821CD">
      <w:pPr>
        <w:pStyle w:val="Titrepartie"/>
        <w:numPr>
          <w:ilvl w:val="0"/>
          <w:numId w:val="0"/>
        </w:numPr>
        <w:spacing w:after="0" w:line="240" w:lineRule="auto"/>
        <w:contextualSpacing w:val="0"/>
        <w:rPr>
          <w:b w:val="0"/>
          <w:bCs w:val="0"/>
          <w:sz w:val="20"/>
        </w:rPr>
      </w:pPr>
    </w:p>
    <w:p w14:paraId="067DE896" w14:textId="0F911628" w:rsidR="007B1E17" w:rsidRPr="008821CD" w:rsidRDefault="00C84020" w:rsidP="008821CD">
      <w:pPr>
        <w:pStyle w:val="Titrepartie"/>
        <w:numPr>
          <w:ilvl w:val="2"/>
          <w:numId w:val="20"/>
        </w:numPr>
        <w:spacing w:after="0" w:line="240" w:lineRule="auto"/>
        <w:ind w:left="0" w:firstLine="0"/>
        <w:contextualSpacing w:val="0"/>
        <w:rPr>
          <w:b w:val="0"/>
          <w:bCs w:val="0"/>
          <w:sz w:val="20"/>
        </w:rPr>
      </w:pPr>
      <w:r w:rsidRPr="008821CD">
        <w:rPr>
          <w:b w:val="0"/>
          <w:bCs w:val="0"/>
          <w:sz w:val="20"/>
        </w:rPr>
        <w:t>Aid</w:t>
      </w:r>
      <w:r w:rsidR="00223F56" w:rsidRPr="008821CD">
        <w:rPr>
          <w:b w:val="0"/>
          <w:bCs w:val="0"/>
          <w:sz w:val="20"/>
        </w:rPr>
        <w:t xml:space="preserve"> Australi</w:t>
      </w:r>
      <w:r w:rsidRPr="008821CD">
        <w:rPr>
          <w:b w:val="0"/>
          <w:bCs w:val="0"/>
          <w:sz w:val="20"/>
        </w:rPr>
        <w:t>an</w:t>
      </w:r>
      <w:r w:rsidR="00223F56" w:rsidRPr="008821CD">
        <w:rPr>
          <w:b w:val="0"/>
          <w:bCs w:val="0"/>
          <w:sz w:val="20"/>
        </w:rPr>
        <w:t xml:space="preserve"> </w:t>
      </w:r>
    </w:p>
    <w:p w14:paraId="732017E4" w14:textId="08F644A8" w:rsidR="00041649" w:rsidRPr="008821CD" w:rsidRDefault="00DD39BE" w:rsidP="008821CD">
      <w:pPr>
        <w:pStyle w:val="Paragraphedeliste"/>
        <w:spacing w:after="0" w:line="240" w:lineRule="auto"/>
        <w:ind w:left="0"/>
        <w:contextualSpacing w:val="0"/>
        <w:jc w:val="both"/>
        <w:rPr>
          <w:rFonts w:ascii="Verdana" w:hAnsi="Verdana"/>
          <w:sz w:val="20"/>
          <w:szCs w:val="20"/>
        </w:rPr>
      </w:pPr>
      <w:r w:rsidRPr="008821CD">
        <w:rPr>
          <w:rFonts w:ascii="Verdana" w:hAnsi="Verdana"/>
          <w:sz w:val="20"/>
          <w:szCs w:val="20"/>
        </w:rPr>
        <w:t>Depuis 2011, l</w:t>
      </w:r>
      <w:r w:rsidR="00C84020" w:rsidRPr="008821CD">
        <w:rPr>
          <w:rFonts w:ascii="Verdana" w:hAnsi="Verdana"/>
          <w:sz w:val="20"/>
          <w:szCs w:val="20"/>
        </w:rPr>
        <w:t xml:space="preserve">a COI collabore avec </w:t>
      </w:r>
      <w:r w:rsidR="00631254" w:rsidRPr="008821CD">
        <w:rPr>
          <w:rFonts w:ascii="Verdana" w:hAnsi="Verdana"/>
          <w:sz w:val="20"/>
          <w:szCs w:val="20"/>
        </w:rPr>
        <w:t>l’Australie</w:t>
      </w:r>
      <w:r w:rsidR="00C84020" w:rsidRPr="008821CD">
        <w:rPr>
          <w:rFonts w:ascii="Verdana" w:hAnsi="Verdana"/>
          <w:sz w:val="20"/>
          <w:szCs w:val="20"/>
        </w:rPr>
        <w:t xml:space="preserve"> </w:t>
      </w:r>
      <w:r w:rsidR="00310ED9">
        <w:rPr>
          <w:rFonts w:ascii="Verdana" w:hAnsi="Verdana"/>
          <w:sz w:val="20"/>
          <w:szCs w:val="20"/>
        </w:rPr>
        <w:t>dans</w:t>
      </w:r>
      <w:r w:rsidR="00C84020" w:rsidRPr="008821CD">
        <w:rPr>
          <w:rFonts w:ascii="Verdana" w:hAnsi="Verdana"/>
          <w:sz w:val="20"/>
          <w:szCs w:val="20"/>
        </w:rPr>
        <w:t xml:space="preserve"> le domaine de la réduction des risques des catastrophes. Un accord de don a été signé entre la COI et </w:t>
      </w:r>
      <w:r w:rsidR="00310ED9">
        <w:rPr>
          <w:rFonts w:ascii="Verdana" w:hAnsi="Verdana"/>
          <w:sz w:val="20"/>
          <w:szCs w:val="20"/>
        </w:rPr>
        <w:t xml:space="preserve">le Gouvernement </w:t>
      </w:r>
      <w:r w:rsidR="00C84020" w:rsidRPr="008821CD">
        <w:rPr>
          <w:rFonts w:ascii="Verdana" w:hAnsi="Verdana"/>
          <w:sz w:val="20"/>
          <w:szCs w:val="20"/>
        </w:rPr>
        <w:t>Australie</w:t>
      </w:r>
      <w:r w:rsidR="00310ED9">
        <w:rPr>
          <w:rFonts w:ascii="Verdana" w:hAnsi="Verdana"/>
          <w:sz w:val="20"/>
          <w:szCs w:val="20"/>
        </w:rPr>
        <w:t>n</w:t>
      </w:r>
      <w:r w:rsidR="00C84020" w:rsidRPr="008821CD">
        <w:rPr>
          <w:rFonts w:ascii="Verdana" w:hAnsi="Verdana"/>
          <w:sz w:val="20"/>
          <w:szCs w:val="20"/>
        </w:rPr>
        <w:t xml:space="preserve"> </w:t>
      </w:r>
      <w:r w:rsidR="006A44D9" w:rsidRPr="008821CD">
        <w:rPr>
          <w:rFonts w:ascii="Verdana" w:hAnsi="Verdana"/>
          <w:sz w:val="20"/>
          <w:szCs w:val="20"/>
        </w:rPr>
        <w:t xml:space="preserve">dans le cadre du projet </w:t>
      </w:r>
      <w:r w:rsidR="00310ED9">
        <w:rPr>
          <w:rFonts w:ascii="Verdana" w:hAnsi="Verdana"/>
          <w:sz w:val="20"/>
          <w:szCs w:val="20"/>
        </w:rPr>
        <w:t>« </w:t>
      </w:r>
      <w:r w:rsidR="006A44D9" w:rsidRPr="008821CD">
        <w:rPr>
          <w:rFonts w:ascii="Verdana" w:hAnsi="Verdana"/>
          <w:sz w:val="20"/>
          <w:szCs w:val="20"/>
        </w:rPr>
        <w:t>Risques naturels</w:t>
      </w:r>
      <w:r w:rsidR="00310ED9">
        <w:rPr>
          <w:rFonts w:ascii="Verdana" w:hAnsi="Verdana"/>
          <w:sz w:val="20"/>
          <w:szCs w:val="20"/>
        </w:rPr>
        <w:t> »</w:t>
      </w:r>
      <w:r w:rsidR="006A44D9" w:rsidRPr="008821CD">
        <w:rPr>
          <w:rFonts w:ascii="Verdana" w:hAnsi="Verdana"/>
          <w:sz w:val="20"/>
          <w:szCs w:val="20"/>
        </w:rPr>
        <w:t xml:space="preserve"> </w:t>
      </w:r>
      <w:r w:rsidRPr="008821CD">
        <w:rPr>
          <w:rFonts w:ascii="Verdana" w:hAnsi="Verdana"/>
          <w:sz w:val="20"/>
          <w:szCs w:val="20"/>
        </w:rPr>
        <w:t>pour soutenir des</w:t>
      </w:r>
      <w:r w:rsidR="00C84020" w:rsidRPr="008821CD">
        <w:rPr>
          <w:rFonts w:ascii="Verdana" w:hAnsi="Verdana"/>
          <w:sz w:val="20"/>
          <w:szCs w:val="20"/>
        </w:rPr>
        <w:t xml:space="preserve"> </w:t>
      </w:r>
      <w:r w:rsidR="006A44D9" w:rsidRPr="008821CD">
        <w:rPr>
          <w:rFonts w:ascii="Verdana" w:hAnsi="Verdana"/>
          <w:sz w:val="20"/>
          <w:szCs w:val="20"/>
        </w:rPr>
        <w:t>actions pilotes aux</w:t>
      </w:r>
      <w:r w:rsidR="00C84020" w:rsidRPr="008821CD">
        <w:rPr>
          <w:rFonts w:ascii="Verdana" w:hAnsi="Verdana"/>
          <w:sz w:val="20"/>
          <w:szCs w:val="20"/>
        </w:rPr>
        <w:t xml:space="preserve"> Comores et </w:t>
      </w:r>
      <w:r w:rsidR="00310ED9">
        <w:rPr>
          <w:rFonts w:ascii="Verdana" w:hAnsi="Verdana"/>
          <w:sz w:val="20"/>
          <w:szCs w:val="20"/>
        </w:rPr>
        <w:t xml:space="preserve">à </w:t>
      </w:r>
      <w:r w:rsidR="00C84020" w:rsidRPr="008821CD">
        <w:rPr>
          <w:rFonts w:ascii="Verdana" w:hAnsi="Verdana"/>
          <w:sz w:val="20"/>
          <w:szCs w:val="20"/>
        </w:rPr>
        <w:t>Madagascar</w:t>
      </w:r>
      <w:r w:rsidRPr="008821CD">
        <w:rPr>
          <w:rFonts w:ascii="Verdana" w:hAnsi="Verdana"/>
          <w:sz w:val="20"/>
          <w:szCs w:val="20"/>
        </w:rPr>
        <w:t>, notamment pour intégrer la gestion d</w:t>
      </w:r>
      <w:r w:rsidR="006A44D9" w:rsidRPr="008821CD">
        <w:rPr>
          <w:rFonts w:ascii="Verdana" w:hAnsi="Verdana"/>
          <w:sz w:val="20"/>
          <w:szCs w:val="20"/>
        </w:rPr>
        <w:t xml:space="preserve">es risques dans les politiques d’aménagement du territoire à Mohéli et Tamatave. En </w:t>
      </w:r>
      <w:r w:rsidR="00C84020" w:rsidRPr="008821CD">
        <w:rPr>
          <w:rFonts w:ascii="Verdana" w:hAnsi="Verdana"/>
          <w:sz w:val="20"/>
          <w:szCs w:val="20"/>
        </w:rPr>
        <w:t>2023</w:t>
      </w:r>
      <w:r w:rsidR="00631254" w:rsidRPr="008821CD">
        <w:rPr>
          <w:rFonts w:ascii="Verdana" w:hAnsi="Verdana"/>
          <w:sz w:val="20"/>
          <w:szCs w:val="20"/>
        </w:rPr>
        <w:t>,</w:t>
      </w:r>
      <w:r w:rsidR="00C84020" w:rsidRPr="008821CD">
        <w:rPr>
          <w:rFonts w:ascii="Verdana" w:hAnsi="Verdana"/>
          <w:sz w:val="20"/>
          <w:szCs w:val="20"/>
        </w:rPr>
        <w:t xml:space="preserve"> un accord de partenariat avec REDR Australia</w:t>
      </w:r>
      <w:r w:rsidR="00631254" w:rsidRPr="008821CD">
        <w:rPr>
          <w:rFonts w:ascii="Verdana" w:hAnsi="Verdana"/>
          <w:sz w:val="20"/>
          <w:szCs w:val="20"/>
        </w:rPr>
        <w:t xml:space="preserve"> a été établi</w:t>
      </w:r>
      <w:r w:rsidR="00C84020" w:rsidRPr="008821CD">
        <w:rPr>
          <w:rFonts w:ascii="Verdana" w:hAnsi="Verdana"/>
          <w:sz w:val="20"/>
          <w:szCs w:val="20"/>
        </w:rPr>
        <w:t xml:space="preserve"> pour le déploiement d’une assistance technique auprès de la COI.</w:t>
      </w:r>
      <w:r w:rsidR="00041649" w:rsidRPr="008821CD">
        <w:rPr>
          <w:rFonts w:ascii="Verdana" w:hAnsi="Verdana"/>
          <w:sz w:val="20"/>
          <w:szCs w:val="20"/>
        </w:rPr>
        <w:t xml:space="preserve"> Cette </w:t>
      </w:r>
      <w:r w:rsidR="00310ED9">
        <w:rPr>
          <w:rFonts w:ascii="Verdana" w:hAnsi="Verdana"/>
          <w:sz w:val="20"/>
          <w:szCs w:val="20"/>
        </w:rPr>
        <w:t>mission s’est achevée</w:t>
      </w:r>
      <w:r w:rsidR="00041649" w:rsidRPr="008821CD">
        <w:rPr>
          <w:rFonts w:ascii="Verdana" w:hAnsi="Verdana"/>
          <w:sz w:val="20"/>
          <w:szCs w:val="20"/>
        </w:rPr>
        <w:t xml:space="preserve"> en novembre 2024. </w:t>
      </w:r>
      <w:r w:rsidR="00C84020" w:rsidRPr="008821CD">
        <w:rPr>
          <w:rFonts w:ascii="Verdana" w:hAnsi="Verdana"/>
          <w:sz w:val="20"/>
          <w:szCs w:val="20"/>
        </w:rPr>
        <w:t xml:space="preserve"> </w:t>
      </w:r>
    </w:p>
    <w:p w14:paraId="16B5A806" w14:textId="77777777" w:rsidR="00DD39BE" w:rsidRPr="008821CD" w:rsidRDefault="00DD39BE" w:rsidP="008821CD">
      <w:pPr>
        <w:pStyle w:val="Paragraphedeliste"/>
        <w:spacing w:after="0" w:line="240" w:lineRule="auto"/>
        <w:ind w:left="0"/>
        <w:contextualSpacing w:val="0"/>
        <w:jc w:val="both"/>
        <w:rPr>
          <w:rFonts w:ascii="Verdana" w:hAnsi="Verdana"/>
          <w:color w:val="EE0000"/>
          <w:sz w:val="20"/>
          <w:szCs w:val="20"/>
        </w:rPr>
      </w:pPr>
    </w:p>
    <w:p w14:paraId="6CE12C49" w14:textId="36D4328A" w:rsidR="00DD39BE" w:rsidRPr="008821CD" w:rsidRDefault="001137C4" w:rsidP="008821CD">
      <w:pPr>
        <w:pStyle w:val="Paragraphedeliste"/>
        <w:spacing w:after="0" w:line="240" w:lineRule="auto"/>
        <w:ind w:left="0"/>
        <w:contextualSpacing w:val="0"/>
        <w:jc w:val="both"/>
        <w:rPr>
          <w:rFonts w:ascii="Verdana" w:hAnsi="Verdana"/>
          <w:sz w:val="20"/>
          <w:szCs w:val="20"/>
        </w:rPr>
      </w:pPr>
      <w:r w:rsidRPr="008821CD">
        <w:rPr>
          <w:rFonts w:ascii="Verdana" w:hAnsi="Verdana"/>
          <w:sz w:val="20"/>
          <w:szCs w:val="20"/>
        </w:rPr>
        <w:t>A la</w:t>
      </w:r>
      <w:r w:rsidR="00C84020" w:rsidRPr="008821CD">
        <w:rPr>
          <w:rFonts w:ascii="Verdana" w:hAnsi="Verdana"/>
          <w:sz w:val="20"/>
          <w:szCs w:val="20"/>
        </w:rPr>
        <w:t xml:space="preserve"> fin du cycle de programmation d</w:t>
      </w:r>
      <w:r w:rsidR="00DD39BE" w:rsidRPr="008821CD">
        <w:rPr>
          <w:rFonts w:ascii="Verdana" w:hAnsi="Verdana"/>
          <w:sz w:val="20"/>
          <w:szCs w:val="20"/>
        </w:rPr>
        <w:t>’</w:t>
      </w:r>
      <w:r w:rsidR="00C84020" w:rsidRPr="008821CD">
        <w:rPr>
          <w:rFonts w:ascii="Verdana" w:hAnsi="Verdana"/>
          <w:sz w:val="20"/>
          <w:szCs w:val="20"/>
        </w:rPr>
        <w:t>AusAid</w:t>
      </w:r>
      <w:r w:rsidR="006A44D9" w:rsidRPr="008821CD">
        <w:rPr>
          <w:rFonts w:ascii="Verdana" w:hAnsi="Verdana"/>
          <w:sz w:val="20"/>
          <w:szCs w:val="20"/>
        </w:rPr>
        <w:t xml:space="preserve"> en 2024</w:t>
      </w:r>
      <w:r w:rsidR="00C84020" w:rsidRPr="008821CD">
        <w:rPr>
          <w:rFonts w:ascii="Verdana" w:hAnsi="Verdana"/>
          <w:sz w:val="20"/>
          <w:szCs w:val="20"/>
        </w:rPr>
        <w:t xml:space="preserve">, le Gouvernement </w:t>
      </w:r>
      <w:r w:rsidR="00DD39BE" w:rsidRPr="008821CD">
        <w:rPr>
          <w:rFonts w:ascii="Verdana" w:hAnsi="Verdana"/>
          <w:sz w:val="20"/>
          <w:szCs w:val="20"/>
        </w:rPr>
        <w:t>australien</w:t>
      </w:r>
      <w:r w:rsidR="00C84020" w:rsidRPr="008821CD">
        <w:rPr>
          <w:rFonts w:ascii="Verdana" w:hAnsi="Verdana"/>
          <w:sz w:val="20"/>
          <w:szCs w:val="20"/>
        </w:rPr>
        <w:t xml:space="preserve"> a lancé un appel d’offre</w:t>
      </w:r>
      <w:r w:rsidR="00631254" w:rsidRPr="008821CD">
        <w:rPr>
          <w:rFonts w:ascii="Verdana" w:hAnsi="Verdana"/>
          <w:sz w:val="20"/>
          <w:szCs w:val="20"/>
        </w:rPr>
        <w:t>s</w:t>
      </w:r>
      <w:r w:rsidR="00C84020" w:rsidRPr="008821CD">
        <w:rPr>
          <w:rFonts w:ascii="Verdana" w:hAnsi="Verdana"/>
          <w:sz w:val="20"/>
          <w:szCs w:val="20"/>
        </w:rPr>
        <w:t xml:space="preserve"> ouvert</w:t>
      </w:r>
      <w:r w:rsidR="00DD39BE" w:rsidRPr="008821CD">
        <w:rPr>
          <w:rFonts w:ascii="Verdana" w:hAnsi="Verdana"/>
          <w:sz w:val="20"/>
          <w:szCs w:val="20"/>
        </w:rPr>
        <w:t>, dont le</w:t>
      </w:r>
      <w:r w:rsidR="00C84020" w:rsidRPr="008821CD">
        <w:rPr>
          <w:rFonts w:ascii="Verdana" w:hAnsi="Verdana"/>
          <w:sz w:val="20"/>
          <w:szCs w:val="20"/>
        </w:rPr>
        <w:t xml:space="preserve"> contrat </w:t>
      </w:r>
      <w:r w:rsidR="00631254" w:rsidRPr="008821CD">
        <w:rPr>
          <w:rFonts w:ascii="Verdana" w:hAnsi="Verdana"/>
          <w:sz w:val="20"/>
          <w:szCs w:val="20"/>
        </w:rPr>
        <w:t>a été attribué</w:t>
      </w:r>
      <w:r w:rsidR="00C84020" w:rsidRPr="008821CD">
        <w:rPr>
          <w:rFonts w:ascii="Verdana" w:hAnsi="Verdana"/>
          <w:sz w:val="20"/>
          <w:szCs w:val="20"/>
        </w:rPr>
        <w:t xml:space="preserve"> </w:t>
      </w:r>
      <w:r w:rsidR="00631254" w:rsidRPr="008821CD">
        <w:rPr>
          <w:rFonts w:ascii="Verdana" w:hAnsi="Verdana"/>
          <w:sz w:val="20"/>
          <w:szCs w:val="20"/>
        </w:rPr>
        <w:t xml:space="preserve">à la </w:t>
      </w:r>
      <w:r w:rsidR="00C84020" w:rsidRPr="008821CD">
        <w:rPr>
          <w:rFonts w:ascii="Verdana" w:hAnsi="Verdana"/>
          <w:sz w:val="20"/>
          <w:szCs w:val="20"/>
        </w:rPr>
        <w:t>société T</w:t>
      </w:r>
      <w:r w:rsidR="00861187">
        <w:rPr>
          <w:rFonts w:ascii="Verdana" w:hAnsi="Verdana"/>
          <w:sz w:val="20"/>
          <w:szCs w:val="20"/>
        </w:rPr>
        <w:t>etra</w:t>
      </w:r>
      <w:r w:rsidR="00C84020" w:rsidRPr="008821CD">
        <w:rPr>
          <w:rFonts w:ascii="Verdana" w:hAnsi="Verdana"/>
          <w:sz w:val="20"/>
          <w:szCs w:val="20"/>
        </w:rPr>
        <w:t xml:space="preserve"> T</w:t>
      </w:r>
      <w:r w:rsidR="00861187">
        <w:rPr>
          <w:rFonts w:ascii="Verdana" w:hAnsi="Verdana"/>
          <w:sz w:val="20"/>
          <w:szCs w:val="20"/>
        </w:rPr>
        <w:t>ech</w:t>
      </w:r>
      <w:r w:rsidR="00C84020" w:rsidRPr="008821CD">
        <w:rPr>
          <w:rFonts w:ascii="Verdana" w:hAnsi="Verdana"/>
          <w:sz w:val="20"/>
          <w:szCs w:val="20"/>
        </w:rPr>
        <w:t xml:space="preserve"> </w:t>
      </w:r>
      <w:r w:rsidR="00DD39BE" w:rsidRPr="008821CD">
        <w:rPr>
          <w:rFonts w:ascii="Verdana" w:hAnsi="Verdana"/>
          <w:sz w:val="20"/>
          <w:szCs w:val="20"/>
        </w:rPr>
        <w:t>succédant ainsi à</w:t>
      </w:r>
      <w:r w:rsidR="0070542A" w:rsidRPr="008821CD">
        <w:rPr>
          <w:rFonts w:ascii="Verdana" w:hAnsi="Verdana"/>
          <w:sz w:val="20"/>
          <w:szCs w:val="20"/>
        </w:rPr>
        <w:t xml:space="preserve"> RedR</w:t>
      </w:r>
      <w:r w:rsidR="00DD39BE" w:rsidRPr="008821CD">
        <w:rPr>
          <w:rFonts w:ascii="Verdana" w:hAnsi="Verdana"/>
          <w:sz w:val="20"/>
          <w:szCs w:val="20"/>
        </w:rPr>
        <w:t>,</w:t>
      </w:r>
      <w:r w:rsidR="0070542A" w:rsidRPr="008821CD">
        <w:rPr>
          <w:rFonts w:ascii="Verdana" w:hAnsi="Verdana"/>
          <w:sz w:val="20"/>
          <w:szCs w:val="20"/>
        </w:rPr>
        <w:t xml:space="preserve"> pour assurer</w:t>
      </w:r>
      <w:r w:rsidR="00C84020" w:rsidRPr="008821CD">
        <w:rPr>
          <w:rFonts w:ascii="Verdana" w:hAnsi="Verdana"/>
          <w:sz w:val="20"/>
          <w:szCs w:val="20"/>
        </w:rPr>
        <w:t xml:space="preserve"> la gestion </w:t>
      </w:r>
      <w:r w:rsidR="00041649" w:rsidRPr="008821CD">
        <w:rPr>
          <w:rFonts w:ascii="Verdana" w:hAnsi="Verdana"/>
          <w:sz w:val="20"/>
          <w:szCs w:val="20"/>
        </w:rPr>
        <w:t xml:space="preserve">du </w:t>
      </w:r>
      <w:r w:rsidR="00C84020" w:rsidRPr="008821CD">
        <w:rPr>
          <w:rFonts w:ascii="Verdana" w:hAnsi="Verdana"/>
          <w:sz w:val="20"/>
          <w:szCs w:val="20"/>
        </w:rPr>
        <w:t>fonds d</w:t>
      </w:r>
      <w:r w:rsidR="00DD39BE" w:rsidRPr="008821CD">
        <w:rPr>
          <w:rFonts w:ascii="Verdana" w:hAnsi="Verdana"/>
          <w:sz w:val="20"/>
          <w:szCs w:val="20"/>
        </w:rPr>
        <w:t>’</w:t>
      </w:r>
      <w:r w:rsidR="00C84020" w:rsidRPr="008821CD">
        <w:rPr>
          <w:rFonts w:ascii="Verdana" w:hAnsi="Verdana"/>
          <w:sz w:val="20"/>
          <w:szCs w:val="20"/>
        </w:rPr>
        <w:t>AusA</w:t>
      </w:r>
      <w:r w:rsidR="00DD39BE" w:rsidRPr="008821CD">
        <w:rPr>
          <w:rFonts w:ascii="Verdana" w:hAnsi="Verdana"/>
          <w:sz w:val="20"/>
          <w:szCs w:val="20"/>
        </w:rPr>
        <w:t>id</w:t>
      </w:r>
      <w:r w:rsidR="00C84020" w:rsidRPr="008821CD">
        <w:rPr>
          <w:rFonts w:ascii="Verdana" w:hAnsi="Verdana"/>
          <w:sz w:val="20"/>
          <w:szCs w:val="20"/>
        </w:rPr>
        <w:t xml:space="preserve"> pour une période de 10</w:t>
      </w:r>
      <w:r w:rsidR="00DD39BE" w:rsidRPr="008821CD">
        <w:rPr>
          <w:rFonts w:ascii="Verdana" w:hAnsi="Verdana"/>
          <w:sz w:val="20"/>
          <w:szCs w:val="20"/>
        </w:rPr>
        <w:t xml:space="preserve"> </w:t>
      </w:r>
      <w:r w:rsidR="00C84020" w:rsidRPr="008821CD">
        <w:rPr>
          <w:rFonts w:ascii="Verdana" w:hAnsi="Verdana"/>
          <w:sz w:val="20"/>
          <w:szCs w:val="20"/>
        </w:rPr>
        <w:t>ans.</w:t>
      </w:r>
      <w:r w:rsidR="00DD39BE" w:rsidRPr="008821CD">
        <w:rPr>
          <w:rFonts w:ascii="Verdana" w:hAnsi="Verdana"/>
          <w:sz w:val="20"/>
          <w:szCs w:val="20"/>
        </w:rPr>
        <w:t xml:space="preserve"> </w:t>
      </w:r>
      <w:r w:rsidR="00DD39BE" w:rsidRPr="008821CD">
        <w:rPr>
          <w:rFonts w:ascii="Verdana" w:eastAsia="Times New Roman" w:hAnsi="Verdana" w:cs="Arial"/>
          <w:sz w:val="20"/>
          <w:szCs w:val="20"/>
          <w:lang w:eastAsia="zh-CN"/>
        </w:rPr>
        <w:t>Cette société, créée en 1966, fournit des services d’ingénierie, de conseil et techniques dans plusieurs secteurs, notamment l’environnement, les infrastructures durables et le développement international. Depuis juin 2024, T</w:t>
      </w:r>
      <w:r w:rsidR="00861187">
        <w:rPr>
          <w:rFonts w:ascii="Verdana" w:eastAsia="Times New Roman" w:hAnsi="Verdana" w:cs="Arial"/>
          <w:sz w:val="20"/>
          <w:szCs w:val="20"/>
          <w:lang w:eastAsia="zh-CN"/>
        </w:rPr>
        <w:t>etra</w:t>
      </w:r>
      <w:r w:rsidR="00DD39BE" w:rsidRPr="008821CD">
        <w:rPr>
          <w:rFonts w:ascii="Verdana" w:eastAsia="Times New Roman" w:hAnsi="Verdana" w:cs="Arial"/>
          <w:sz w:val="20"/>
          <w:szCs w:val="20"/>
          <w:lang w:eastAsia="zh-CN"/>
        </w:rPr>
        <w:t xml:space="preserve"> T</w:t>
      </w:r>
      <w:r w:rsidR="00861187">
        <w:rPr>
          <w:rFonts w:ascii="Verdana" w:eastAsia="Times New Roman" w:hAnsi="Verdana" w:cs="Arial"/>
          <w:sz w:val="20"/>
          <w:szCs w:val="20"/>
          <w:lang w:eastAsia="zh-CN"/>
        </w:rPr>
        <w:t>ech</w:t>
      </w:r>
      <w:r w:rsidR="00DD39BE" w:rsidRPr="008821CD">
        <w:rPr>
          <w:rFonts w:ascii="Verdana" w:eastAsia="Times New Roman" w:hAnsi="Verdana" w:cs="Arial"/>
          <w:sz w:val="20"/>
          <w:szCs w:val="20"/>
          <w:lang w:eastAsia="zh-CN"/>
        </w:rPr>
        <w:t xml:space="preserve"> gère l’aide australienne dans la gestion des catastrophes et l’assistance humanitaire.</w:t>
      </w:r>
    </w:p>
    <w:p w14:paraId="2439BBF1" w14:textId="77777777" w:rsidR="006B6B47" w:rsidRPr="008821CD" w:rsidRDefault="006B6B47" w:rsidP="008821CD">
      <w:pPr>
        <w:pStyle w:val="Paragraphedeliste"/>
        <w:spacing w:after="0" w:line="240" w:lineRule="auto"/>
        <w:ind w:left="0"/>
        <w:contextualSpacing w:val="0"/>
        <w:jc w:val="both"/>
        <w:rPr>
          <w:rFonts w:ascii="Verdana" w:hAnsi="Verdana"/>
          <w:color w:val="EE0000"/>
          <w:sz w:val="20"/>
          <w:szCs w:val="20"/>
        </w:rPr>
      </w:pPr>
    </w:p>
    <w:p w14:paraId="2F18AB59" w14:textId="5864180A" w:rsidR="006B6B47" w:rsidRPr="008821CD" w:rsidRDefault="006B6B47" w:rsidP="008821CD">
      <w:pPr>
        <w:pStyle w:val="Paragraphedeliste"/>
        <w:spacing w:after="0" w:line="240" w:lineRule="auto"/>
        <w:ind w:left="0"/>
        <w:contextualSpacing w:val="0"/>
        <w:jc w:val="both"/>
        <w:rPr>
          <w:rFonts w:ascii="Verdana" w:hAnsi="Verdana"/>
          <w:sz w:val="20"/>
          <w:szCs w:val="20"/>
        </w:rPr>
      </w:pPr>
      <w:r w:rsidRPr="008821CD">
        <w:rPr>
          <w:rFonts w:ascii="Verdana" w:hAnsi="Verdana"/>
          <w:sz w:val="20"/>
          <w:szCs w:val="20"/>
        </w:rPr>
        <w:t>La COI souhaite poursuivre cette collaboration</w:t>
      </w:r>
      <w:r w:rsidR="00B05A11" w:rsidRPr="008821CD">
        <w:rPr>
          <w:rFonts w:ascii="Verdana" w:hAnsi="Verdana"/>
          <w:sz w:val="20"/>
          <w:szCs w:val="20"/>
        </w:rPr>
        <w:t xml:space="preserve"> avec Australie,</w:t>
      </w:r>
      <w:r w:rsidRPr="008821CD">
        <w:rPr>
          <w:rFonts w:ascii="Verdana" w:hAnsi="Verdana"/>
          <w:sz w:val="20"/>
          <w:szCs w:val="20"/>
        </w:rPr>
        <w:t xml:space="preserve"> et des échanges ont eu lieu pour le renouvellement d</w:t>
      </w:r>
      <w:r w:rsidR="00B05A11" w:rsidRPr="008821CD">
        <w:rPr>
          <w:rFonts w:ascii="Verdana" w:hAnsi="Verdana"/>
          <w:sz w:val="20"/>
          <w:szCs w:val="20"/>
        </w:rPr>
        <w:t>e ce partenariat.</w:t>
      </w:r>
      <w:r w:rsidRPr="008821CD">
        <w:rPr>
          <w:rFonts w:ascii="Verdana" w:hAnsi="Verdana"/>
          <w:sz w:val="20"/>
          <w:szCs w:val="20"/>
        </w:rPr>
        <w:t xml:space="preserve"> Un accord de collaboration a été </w:t>
      </w:r>
      <w:r w:rsidR="00B05A11" w:rsidRPr="008821CD">
        <w:rPr>
          <w:rFonts w:ascii="Verdana" w:hAnsi="Verdana"/>
          <w:sz w:val="20"/>
          <w:szCs w:val="20"/>
        </w:rPr>
        <w:t xml:space="preserve">proposé avec </w:t>
      </w:r>
      <w:r w:rsidR="00861187">
        <w:rPr>
          <w:rFonts w:ascii="Verdana" w:hAnsi="Verdana"/>
          <w:sz w:val="20"/>
          <w:szCs w:val="20"/>
        </w:rPr>
        <w:t>Tetra Tech</w:t>
      </w:r>
      <w:r w:rsidR="00B05A11" w:rsidRPr="008821CD">
        <w:rPr>
          <w:rFonts w:ascii="Verdana" w:hAnsi="Verdana"/>
          <w:sz w:val="20"/>
          <w:szCs w:val="20"/>
        </w:rPr>
        <w:t xml:space="preserve"> permettant</w:t>
      </w:r>
      <w:r w:rsidRPr="008821CD">
        <w:rPr>
          <w:rFonts w:ascii="Verdana" w:hAnsi="Verdana"/>
          <w:sz w:val="20"/>
          <w:szCs w:val="20"/>
        </w:rPr>
        <w:t xml:space="preserve"> la mise à disposition d’un expert dans le domaine de la Résilience et Réduction des Risques de Catastrophe (RRC), après l’achèvement du Projet RDRM-IO. Cet expert soutiendra plusieurs activités, notamment :</w:t>
      </w:r>
    </w:p>
    <w:p w14:paraId="5CE33719" w14:textId="77777777" w:rsidR="006B6B47" w:rsidRPr="008821CD" w:rsidRDefault="006B6B47" w:rsidP="008821CD">
      <w:pPr>
        <w:pStyle w:val="Paragraphedeliste"/>
        <w:spacing w:after="0" w:line="240" w:lineRule="auto"/>
        <w:ind w:left="0"/>
        <w:contextualSpacing w:val="0"/>
        <w:jc w:val="both"/>
        <w:rPr>
          <w:rFonts w:ascii="Verdana" w:hAnsi="Verdana"/>
          <w:sz w:val="20"/>
          <w:szCs w:val="20"/>
        </w:rPr>
      </w:pPr>
    </w:p>
    <w:p w14:paraId="39E42F4D" w14:textId="458BF3EB" w:rsidR="006B6B47" w:rsidRPr="008821CD" w:rsidRDefault="006B6B47" w:rsidP="008821CD">
      <w:pPr>
        <w:pStyle w:val="Paragraphedeliste"/>
        <w:numPr>
          <w:ilvl w:val="0"/>
          <w:numId w:val="22"/>
        </w:numPr>
        <w:spacing w:after="0" w:line="240" w:lineRule="auto"/>
        <w:ind w:left="0" w:firstLine="0"/>
        <w:contextualSpacing w:val="0"/>
        <w:jc w:val="both"/>
        <w:rPr>
          <w:rFonts w:ascii="Verdana" w:hAnsi="Verdana"/>
          <w:sz w:val="20"/>
          <w:szCs w:val="20"/>
        </w:rPr>
      </w:pPr>
      <w:r w:rsidRPr="008821CD">
        <w:rPr>
          <w:rFonts w:ascii="Verdana" w:hAnsi="Verdana"/>
          <w:sz w:val="20"/>
          <w:szCs w:val="20"/>
        </w:rPr>
        <w:t>La coordination de la plateforme régionale pour la RRC</w:t>
      </w:r>
    </w:p>
    <w:p w14:paraId="56BBF3E9" w14:textId="53D78818" w:rsidR="006B6B47" w:rsidRPr="008821CD" w:rsidRDefault="006B6B47" w:rsidP="008821CD">
      <w:pPr>
        <w:pStyle w:val="Paragraphedeliste"/>
        <w:numPr>
          <w:ilvl w:val="0"/>
          <w:numId w:val="22"/>
        </w:numPr>
        <w:spacing w:after="0" w:line="240" w:lineRule="auto"/>
        <w:ind w:left="0" w:firstLine="0"/>
        <w:contextualSpacing w:val="0"/>
        <w:jc w:val="both"/>
        <w:rPr>
          <w:rFonts w:ascii="Verdana" w:hAnsi="Verdana"/>
          <w:sz w:val="20"/>
          <w:szCs w:val="20"/>
        </w:rPr>
      </w:pPr>
      <w:r w:rsidRPr="008821CD">
        <w:rPr>
          <w:rFonts w:ascii="Verdana" w:hAnsi="Verdana"/>
          <w:sz w:val="20"/>
          <w:szCs w:val="20"/>
        </w:rPr>
        <w:t>L’exploration de la faisabilité d’un fonds de contingence</w:t>
      </w:r>
    </w:p>
    <w:p w14:paraId="4D336B6A" w14:textId="16170283" w:rsidR="006B6B47" w:rsidRPr="008821CD" w:rsidRDefault="006B6B47" w:rsidP="008821CD">
      <w:pPr>
        <w:pStyle w:val="Paragraphedeliste"/>
        <w:numPr>
          <w:ilvl w:val="0"/>
          <w:numId w:val="22"/>
        </w:numPr>
        <w:spacing w:after="0" w:line="240" w:lineRule="auto"/>
        <w:ind w:left="0" w:firstLine="0"/>
        <w:contextualSpacing w:val="0"/>
        <w:jc w:val="both"/>
        <w:rPr>
          <w:rFonts w:ascii="Verdana" w:hAnsi="Verdana"/>
          <w:sz w:val="20"/>
          <w:szCs w:val="20"/>
        </w:rPr>
      </w:pPr>
      <w:r w:rsidRPr="008821CD">
        <w:rPr>
          <w:rFonts w:ascii="Verdana" w:hAnsi="Verdana"/>
          <w:sz w:val="20"/>
          <w:szCs w:val="20"/>
        </w:rPr>
        <w:t>La mise en œuvre d’initiatives régionales sur la résilience urbaine</w:t>
      </w:r>
    </w:p>
    <w:p w14:paraId="264B19A0" w14:textId="29D2C11E" w:rsidR="006B6B47" w:rsidRPr="008821CD" w:rsidRDefault="006B6B47" w:rsidP="008821CD">
      <w:pPr>
        <w:pStyle w:val="Paragraphedeliste"/>
        <w:numPr>
          <w:ilvl w:val="0"/>
          <w:numId w:val="22"/>
        </w:numPr>
        <w:spacing w:after="0" w:line="240" w:lineRule="auto"/>
        <w:ind w:left="0" w:firstLine="0"/>
        <w:contextualSpacing w:val="0"/>
        <w:jc w:val="both"/>
        <w:rPr>
          <w:rFonts w:ascii="Verdana" w:hAnsi="Verdana"/>
          <w:sz w:val="20"/>
          <w:szCs w:val="20"/>
        </w:rPr>
      </w:pPr>
      <w:r w:rsidRPr="008821CD">
        <w:rPr>
          <w:rFonts w:ascii="Verdana" w:hAnsi="Verdana"/>
          <w:sz w:val="20"/>
          <w:szCs w:val="20"/>
        </w:rPr>
        <w:t>Le soutien au Secrétariat général dans la formulation des programmes de RRC</w:t>
      </w:r>
    </w:p>
    <w:p w14:paraId="2ECB13EA" w14:textId="77777777" w:rsidR="006B6B47" w:rsidRPr="008821CD" w:rsidRDefault="006B6B47" w:rsidP="008821CD">
      <w:pPr>
        <w:pStyle w:val="Paragraphedeliste"/>
        <w:spacing w:after="0" w:line="240" w:lineRule="auto"/>
        <w:ind w:left="0"/>
        <w:contextualSpacing w:val="0"/>
        <w:jc w:val="both"/>
        <w:rPr>
          <w:rFonts w:ascii="Verdana" w:hAnsi="Verdana"/>
          <w:sz w:val="20"/>
          <w:szCs w:val="20"/>
        </w:rPr>
      </w:pPr>
    </w:p>
    <w:p w14:paraId="5F4395F5" w14:textId="69012B62" w:rsidR="00C84020" w:rsidRPr="008821CD" w:rsidRDefault="00C84020" w:rsidP="008821CD">
      <w:pPr>
        <w:pStyle w:val="Paragraphedeliste"/>
        <w:spacing w:after="0" w:line="240" w:lineRule="auto"/>
        <w:ind w:left="0"/>
        <w:contextualSpacing w:val="0"/>
        <w:jc w:val="both"/>
        <w:rPr>
          <w:rFonts w:ascii="Verdana" w:hAnsi="Verdana"/>
          <w:sz w:val="20"/>
          <w:szCs w:val="20"/>
        </w:rPr>
      </w:pPr>
      <w:r w:rsidRPr="008821CD">
        <w:rPr>
          <w:rFonts w:ascii="Verdana" w:hAnsi="Verdana"/>
          <w:sz w:val="20"/>
          <w:szCs w:val="20"/>
        </w:rPr>
        <w:t>L</w:t>
      </w:r>
      <w:r w:rsidR="005C21BF" w:rsidRPr="008821CD">
        <w:rPr>
          <w:rFonts w:ascii="Verdana" w:hAnsi="Verdana"/>
          <w:sz w:val="20"/>
          <w:szCs w:val="20"/>
        </w:rPr>
        <w:t>e projet d</w:t>
      </w:r>
      <w:r w:rsidRPr="008821CD">
        <w:rPr>
          <w:rFonts w:ascii="Verdana" w:hAnsi="Verdana"/>
          <w:sz w:val="20"/>
          <w:szCs w:val="20"/>
        </w:rPr>
        <w:t xml:space="preserve">’accord </w:t>
      </w:r>
      <w:r w:rsidR="005C21BF" w:rsidRPr="008821CD">
        <w:rPr>
          <w:rFonts w:ascii="Verdana" w:hAnsi="Verdana"/>
          <w:sz w:val="20"/>
          <w:szCs w:val="20"/>
        </w:rPr>
        <w:t xml:space="preserve">présenté </w:t>
      </w:r>
      <w:r w:rsidR="006B6B47" w:rsidRPr="008821CD">
        <w:rPr>
          <w:rFonts w:ascii="Verdana" w:hAnsi="Verdana"/>
          <w:sz w:val="20"/>
          <w:szCs w:val="20"/>
        </w:rPr>
        <w:t>en annexe</w:t>
      </w:r>
      <w:r w:rsidR="005C21BF" w:rsidRPr="008821CD">
        <w:rPr>
          <w:rFonts w:ascii="Verdana" w:hAnsi="Verdana"/>
          <w:sz w:val="20"/>
          <w:szCs w:val="20"/>
        </w:rPr>
        <w:t xml:space="preserve"> </w:t>
      </w:r>
      <w:r w:rsidR="0070542A" w:rsidRPr="008821CD">
        <w:rPr>
          <w:rFonts w:ascii="Verdana" w:hAnsi="Verdana"/>
          <w:sz w:val="20"/>
          <w:szCs w:val="20"/>
        </w:rPr>
        <w:t>3</w:t>
      </w:r>
      <w:r w:rsidR="00662B17" w:rsidRPr="008821CD">
        <w:rPr>
          <w:rFonts w:ascii="Verdana" w:hAnsi="Verdana"/>
          <w:sz w:val="20"/>
          <w:szCs w:val="20"/>
        </w:rPr>
        <w:t xml:space="preserve"> est</w:t>
      </w:r>
      <w:r w:rsidR="005C21BF" w:rsidRPr="008821CD">
        <w:rPr>
          <w:rFonts w:ascii="Verdana" w:hAnsi="Verdana"/>
          <w:sz w:val="20"/>
          <w:szCs w:val="20"/>
        </w:rPr>
        <w:t xml:space="preserve"> un</w:t>
      </w:r>
      <w:r w:rsidR="006B6B47" w:rsidRPr="008821CD">
        <w:rPr>
          <w:rFonts w:ascii="Verdana" w:hAnsi="Verdana"/>
          <w:sz w:val="20"/>
          <w:szCs w:val="20"/>
        </w:rPr>
        <w:t xml:space="preserve">e base </w:t>
      </w:r>
      <w:r w:rsidR="005C21BF" w:rsidRPr="008821CD">
        <w:rPr>
          <w:rFonts w:ascii="Verdana" w:hAnsi="Verdana"/>
          <w:sz w:val="20"/>
          <w:szCs w:val="20"/>
        </w:rPr>
        <w:t>générique de collaboration</w:t>
      </w:r>
      <w:r w:rsidR="00662B17" w:rsidRPr="008821CD">
        <w:rPr>
          <w:rFonts w:ascii="Verdana" w:hAnsi="Verdana"/>
          <w:sz w:val="20"/>
          <w:szCs w:val="20"/>
        </w:rPr>
        <w:t xml:space="preserve">. Des arrangements administratifs seront mis en place pour le déploiement de l’expert ou tout autre </w:t>
      </w:r>
      <w:r w:rsidR="00310ED9">
        <w:rPr>
          <w:rFonts w:ascii="Verdana" w:hAnsi="Verdana"/>
          <w:sz w:val="20"/>
          <w:szCs w:val="20"/>
        </w:rPr>
        <w:t>appui</w:t>
      </w:r>
      <w:r w:rsidR="00662B17" w:rsidRPr="008821CD">
        <w:rPr>
          <w:rFonts w:ascii="Verdana" w:hAnsi="Verdana"/>
          <w:sz w:val="20"/>
          <w:szCs w:val="20"/>
        </w:rPr>
        <w:t>.</w:t>
      </w:r>
      <w:r w:rsidRPr="008821CD">
        <w:rPr>
          <w:rFonts w:ascii="Verdana" w:hAnsi="Verdana"/>
          <w:sz w:val="20"/>
          <w:szCs w:val="20"/>
        </w:rPr>
        <w:t xml:space="preserve"> </w:t>
      </w:r>
      <w:r w:rsidR="00662B17" w:rsidRPr="008821CD">
        <w:rPr>
          <w:rFonts w:ascii="Verdana" w:hAnsi="Verdana"/>
          <w:sz w:val="20"/>
          <w:szCs w:val="20"/>
        </w:rPr>
        <w:t xml:space="preserve">Le projet d’accord est </w:t>
      </w:r>
      <w:r w:rsidR="00310ED9">
        <w:rPr>
          <w:rFonts w:ascii="Verdana" w:hAnsi="Verdana"/>
          <w:sz w:val="20"/>
          <w:szCs w:val="20"/>
        </w:rPr>
        <w:t>soumis</w:t>
      </w:r>
      <w:r w:rsidR="00662B17" w:rsidRPr="008821CD">
        <w:rPr>
          <w:rFonts w:ascii="Verdana" w:hAnsi="Verdana"/>
          <w:sz w:val="20"/>
          <w:szCs w:val="20"/>
        </w:rPr>
        <w:t xml:space="preserve"> en vue</w:t>
      </w:r>
      <w:r w:rsidR="006B6B47" w:rsidRPr="008821CD">
        <w:rPr>
          <w:rFonts w:ascii="Verdana" w:hAnsi="Verdana"/>
          <w:sz w:val="20"/>
          <w:szCs w:val="20"/>
        </w:rPr>
        <w:t xml:space="preserve"> de</w:t>
      </w:r>
      <w:r w:rsidR="00662B17" w:rsidRPr="008821CD">
        <w:rPr>
          <w:rFonts w:ascii="Verdana" w:hAnsi="Verdana"/>
          <w:sz w:val="20"/>
          <w:szCs w:val="20"/>
        </w:rPr>
        <w:t xml:space="preserve"> </w:t>
      </w:r>
      <w:r w:rsidR="006B6B47" w:rsidRPr="008821CD">
        <w:rPr>
          <w:rFonts w:ascii="Verdana" w:hAnsi="Verdana"/>
          <w:sz w:val="20"/>
          <w:szCs w:val="20"/>
        </w:rPr>
        <w:t>s</w:t>
      </w:r>
      <w:r w:rsidR="00662B17" w:rsidRPr="008821CD">
        <w:rPr>
          <w:rFonts w:ascii="Verdana" w:hAnsi="Verdana"/>
          <w:sz w:val="20"/>
          <w:szCs w:val="20"/>
        </w:rPr>
        <w:t>a finalisation</w:t>
      </w:r>
      <w:r w:rsidR="006B6B47" w:rsidRPr="008821CD">
        <w:rPr>
          <w:rFonts w:ascii="Verdana" w:hAnsi="Verdana"/>
          <w:sz w:val="20"/>
          <w:szCs w:val="20"/>
        </w:rPr>
        <w:t xml:space="preserve"> et de </w:t>
      </w:r>
      <w:r w:rsidR="00310ED9">
        <w:rPr>
          <w:rFonts w:ascii="Verdana" w:hAnsi="Verdana"/>
          <w:sz w:val="20"/>
          <w:szCs w:val="20"/>
        </w:rPr>
        <w:t>s</w:t>
      </w:r>
      <w:r w:rsidR="006B6B47" w:rsidRPr="008821CD">
        <w:rPr>
          <w:rFonts w:ascii="Verdana" w:hAnsi="Verdana"/>
          <w:sz w:val="20"/>
          <w:szCs w:val="20"/>
        </w:rPr>
        <w:t xml:space="preserve">a </w:t>
      </w:r>
      <w:r w:rsidR="00662B17" w:rsidRPr="008821CD">
        <w:rPr>
          <w:rFonts w:ascii="Verdana" w:hAnsi="Verdana"/>
          <w:sz w:val="20"/>
          <w:szCs w:val="20"/>
        </w:rPr>
        <w:t xml:space="preserve">signature. </w:t>
      </w:r>
    </w:p>
    <w:p w14:paraId="1C4F1749" w14:textId="77777777" w:rsidR="006B6B47" w:rsidRPr="008821CD" w:rsidRDefault="006B6B47" w:rsidP="008821CD">
      <w:pPr>
        <w:pStyle w:val="Paragraphedeliste"/>
        <w:spacing w:after="0" w:line="240" w:lineRule="auto"/>
        <w:ind w:left="0"/>
        <w:contextualSpacing w:val="0"/>
        <w:jc w:val="both"/>
        <w:rPr>
          <w:rFonts w:ascii="Verdana" w:hAnsi="Verdana"/>
          <w:sz w:val="20"/>
          <w:szCs w:val="20"/>
        </w:rPr>
      </w:pPr>
    </w:p>
    <w:p w14:paraId="2F7F5914" w14:textId="7135BB9E" w:rsidR="00955BB3" w:rsidRPr="008821CD" w:rsidRDefault="00955BB3" w:rsidP="008821CD">
      <w:pPr>
        <w:pStyle w:val="Titrepartie"/>
        <w:spacing w:after="0" w:line="240" w:lineRule="auto"/>
        <w:ind w:left="0" w:firstLine="0"/>
        <w:contextualSpacing w:val="0"/>
        <w:rPr>
          <w:sz w:val="20"/>
        </w:rPr>
      </w:pPr>
      <w:r w:rsidRPr="008821CD">
        <w:rPr>
          <w:sz w:val="20"/>
        </w:rPr>
        <w:t>Proposition de décision</w:t>
      </w:r>
    </w:p>
    <w:p w14:paraId="65219A54" w14:textId="77777777" w:rsidR="008821CD" w:rsidRDefault="008821CD" w:rsidP="008821CD">
      <w:pPr>
        <w:pStyle w:val="Paragraphe"/>
        <w:spacing w:after="0" w:line="240" w:lineRule="auto"/>
      </w:pPr>
    </w:p>
    <w:p w14:paraId="0FFB06C3" w14:textId="38C7D420" w:rsidR="004C06B3" w:rsidRDefault="004C06B3" w:rsidP="008821CD">
      <w:pPr>
        <w:pStyle w:val="Paragraphe"/>
        <w:spacing w:after="0" w:line="240" w:lineRule="auto"/>
      </w:pPr>
      <w:bookmarkStart w:id="4" w:name="_Hlk213079622"/>
      <w:r w:rsidRPr="008821CD">
        <w:t>Le Comité des OPL :</w:t>
      </w:r>
    </w:p>
    <w:p w14:paraId="7B1868E8" w14:textId="77777777" w:rsidR="008821CD" w:rsidRPr="008821CD" w:rsidRDefault="008821CD" w:rsidP="008821CD">
      <w:pPr>
        <w:pStyle w:val="Paragraphe"/>
        <w:spacing w:after="0" w:line="240" w:lineRule="auto"/>
      </w:pPr>
    </w:p>
    <w:p w14:paraId="1323FA21" w14:textId="1D3DFC95" w:rsidR="00662B17" w:rsidRPr="008821CD" w:rsidRDefault="004C06B3" w:rsidP="008821CD">
      <w:pPr>
        <w:pStyle w:val="Paragraphe"/>
        <w:numPr>
          <w:ilvl w:val="0"/>
          <w:numId w:val="6"/>
        </w:numPr>
        <w:spacing w:after="0" w:line="240" w:lineRule="auto"/>
        <w:ind w:left="567" w:hanging="567"/>
      </w:pPr>
      <w:bookmarkStart w:id="5" w:name="_Hlk213404363"/>
      <w:r w:rsidRPr="008821CD">
        <w:t xml:space="preserve">Prend note des informations fournies sur l’état d’avancement du projet RDRM-IO </w:t>
      </w:r>
      <w:r w:rsidR="001137C4" w:rsidRPr="008821CD">
        <w:t xml:space="preserve">et demande au Secretariat général de prendre les mesures nécessaires pour assurer </w:t>
      </w:r>
      <w:r w:rsidR="00310ED9">
        <w:t>la</w:t>
      </w:r>
      <w:r w:rsidR="001137C4" w:rsidRPr="008821CD">
        <w:t xml:space="preserve"> bonne </w:t>
      </w:r>
      <w:r w:rsidR="00B76310" w:rsidRPr="008821CD">
        <w:t>réalisation</w:t>
      </w:r>
      <w:r w:rsidR="001137C4" w:rsidRPr="008821CD">
        <w:t xml:space="preserve"> des activités du projet et </w:t>
      </w:r>
      <w:r w:rsidR="00310ED9">
        <w:t>garantir sa</w:t>
      </w:r>
      <w:r w:rsidR="001137C4" w:rsidRPr="008821CD">
        <w:t xml:space="preserve"> clôture dans le</w:t>
      </w:r>
      <w:r w:rsidR="00B76310" w:rsidRPr="008821CD">
        <w:t>s</w:t>
      </w:r>
      <w:r w:rsidR="001137C4" w:rsidRPr="008821CD">
        <w:t xml:space="preserve"> délai</w:t>
      </w:r>
      <w:r w:rsidR="00B76310" w:rsidRPr="008821CD">
        <w:t>s</w:t>
      </w:r>
      <w:r w:rsidR="008821CD">
        <w:t> ;</w:t>
      </w:r>
    </w:p>
    <w:p w14:paraId="69111098" w14:textId="331BA918" w:rsidR="00662B17" w:rsidRDefault="00662B17" w:rsidP="008821CD">
      <w:pPr>
        <w:pStyle w:val="Paragraphe"/>
        <w:numPr>
          <w:ilvl w:val="0"/>
          <w:numId w:val="6"/>
        </w:numPr>
        <w:spacing w:after="0" w:line="240" w:lineRule="auto"/>
        <w:ind w:left="567" w:hanging="567"/>
      </w:pPr>
      <w:r w:rsidRPr="008821CD">
        <w:lastRenderedPageBreak/>
        <w:t>Donne mandat au Secrétaire général pour signer l</w:t>
      </w:r>
      <w:r w:rsidR="00310ED9">
        <w:t xml:space="preserve">es </w:t>
      </w:r>
      <w:r w:rsidRPr="008821CD">
        <w:t>accord</w:t>
      </w:r>
      <w:r w:rsidR="00310ED9">
        <w:t>s</w:t>
      </w:r>
      <w:r w:rsidRPr="008821CD">
        <w:t xml:space="preserve"> avec UN</w:t>
      </w:r>
      <w:r w:rsidR="00E622C7" w:rsidRPr="008821CD">
        <w:t>-</w:t>
      </w:r>
      <w:r w:rsidRPr="008821CD">
        <w:t>Habitat et Tetra</w:t>
      </w:r>
      <w:r w:rsidR="00A36199">
        <w:t xml:space="preserve"> T</w:t>
      </w:r>
      <w:r w:rsidRPr="008821CD">
        <w:t>ec</w:t>
      </w:r>
      <w:r w:rsidR="00A36199">
        <w:t>h</w:t>
      </w:r>
      <w:r w:rsidRPr="008821CD">
        <w:t xml:space="preserve"> </w:t>
      </w:r>
      <w:r w:rsidR="004C06B3" w:rsidRPr="008821CD">
        <w:t>et</w:t>
      </w:r>
      <w:r w:rsidR="0070542A" w:rsidRPr="008821CD">
        <w:t> ;</w:t>
      </w:r>
      <w:r w:rsidR="004C06B3" w:rsidRPr="008821CD">
        <w:t xml:space="preserve"> </w:t>
      </w:r>
    </w:p>
    <w:p w14:paraId="13520747" w14:textId="77777777" w:rsidR="00A36199" w:rsidRPr="008821CD" w:rsidRDefault="00A36199" w:rsidP="00A36199">
      <w:pPr>
        <w:pStyle w:val="Paragraphe"/>
        <w:spacing w:after="0" w:line="240" w:lineRule="auto"/>
        <w:ind w:left="567"/>
      </w:pPr>
    </w:p>
    <w:p w14:paraId="2C3F3298" w14:textId="4020A745" w:rsidR="004C06B3" w:rsidRPr="008821CD" w:rsidRDefault="00662B17" w:rsidP="008821CD">
      <w:pPr>
        <w:pStyle w:val="Paragraphe"/>
        <w:numPr>
          <w:ilvl w:val="0"/>
          <w:numId w:val="6"/>
        </w:numPr>
        <w:spacing w:after="0" w:line="240" w:lineRule="auto"/>
        <w:ind w:left="567" w:hanging="567"/>
      </w:pPr>
      <w:r w:rsidRPr="008821CD">
        <w:t xml:space="preserve">Demande au Secrétaire </w:t>
      </w:r>
      <w:r w:rsidR="001137C4" w:rsidRPr="008821CD">
        <w:t>général de</w:t>
      </w:r>
      <w:r w:rsidRPr="008821CD">
        <w:t xml:space="preserve"> poursuivre la </w:t>
      </w:r>
      <w:r w:rsidR="00A36199">
        <w:t>collaboration avec les a</w:t>
      </w:r>
      <w:r w:rsidR="004C06B3" w:rsidRPr="008821CD">
        <w:t xml:space="preserve">gences du système de Nations </w:t>
      </w:r>
      <w:r w:rsidR="00A36199">
        <w:t>U</w:t>
      </w:r>
      <w:r w:rsidR="004C06B3" w:rsidRPr="008821CD">
        <w:t>nies</w:t>
      </w:r>
      <w:r w:rsidR="001137C4" w:rsidRPr="008821CD">
        <w:t>, notamment UNDRR et UN</w:t>
      </w:r>
      <w:r w:rsidR="00E622C7" w:rsidRPr="008821CD">
        <w:t>-</w:t>
      </w:r>
      <w:r w:rsidR="001137C4" w:rsidRPr="008821CD">
        <w:t xml:space="preserve"> Habitat, </w:t>
      </w:r>
      <w:r w:rsidR="00A36199">
        <w:t>ainsi qu’avec d’a</w:t>
      </w:r>
      <w:r w:rsidR="001137C4" w:rsidRPr="008821CD">
        <w:t xml:space="preserve">utres partenaires dans la perspective </w:t>
      </w:r>
      <w:r w:rsidR="00A36199">
        <w:t xml:space="preserve">en vue </w:t>
      </w:r>
      <w:r w:rsidR="001137C4" w:rsidRPr="008821CD">
        <w:t xml:space="preserve">de développer des projets dans le domaine de la réduction des risques des catastrophe en concertation avec les </w:t>
      </w:r>
      <w:r w:rsidR="00A36199">
        <w:t>É</w:t>
      </w:r>
      <w:r w:rsidR="00A36199" w:rsidRPr="008821CD">
        <w:t>tats</w:t>
      </w:r>
      <w:r w:rsidR="001137C4" w:rsidRPr="008821CD">
        <w:t xml:space="preserve"> membres</w:t>
      </w:r>
      <w:r w:rsidR="008821CD">
        <w:t>.</w:t>
      </w:r>
    </w:p>
    <w:bookmarkEnd w:id="4"/>
    <w:bookmarkEnd w:id="5"/>
    <w:p w14:paraId="29A2DD8D" w14:textId="400E433F" w:rsidR="0017410D" w:rsidRDefault="0017410D" w:rsidP="008821CD">
      <w:pPr>
        <w:pStyle w:val="Paragraphe"/>
        <w:spacing w:after="0" w:line="240" w:lineRule="auto"/>
      </w:pPr>
    </w:p>
    <w:p w14:paraId="7365D652" w14:textId="77777777" w:rsidR="00A36199" w:rsidRPr="008821CD" w:rsidRDefault="00A36199" w:rsidP="008821CD">
      <w:pPr>
        <w:pStyle w:val="Paragraphe"/>
        <w:spacing w:after="0" w:line="240" w:lineRule="auto"/>
      </w:pPr>
    </w:p>
    <w:p w14:paraId="7EAEB404" w14:textId="72ACB4A7" w:rsidR="00955BB3" w:rsidRPr="008821CD" w:rsidRDefault="00955BB3" w:rsidP="008821CD">
      <w:pPr>
        <w:pStyle w:val="Titrepartie"/>
        <w:spacing w:after="0" w:line="240" w:lineRule="auto"/>
        <w:ind w:left="0" w:firstLine="0"/>
        <w:contextualSpacing w:val="0"/>
      </w:pPr>
      <w:r w:rsidRPr="008821CD">
        <w:t>Rappel des décisions antérieures</w:t>
      </w:r>
    </w:p>
    <w:bookmarkEnd w:id="0"/>
    <w:p w14:paraId="61021537" w14:textId="77777777" w:rsidR="00A36199" w:rsidRDefault="00A36199" w:rsidP="008821CD">
      <w:pPr>
        <w:pStyle w:val="Exergue"/>
      </w:pPr>
    </w:p>
    <w:p w14:paraId="00A344EF" w14:textId="4CEDFCA5" w:rsidR="00B22DE0" w:rsidRPr="008821CD" w:rsidRDefault="00B22DE0" w:rsidP="008821CD">
      <w:pPr>
        <w:pStyle w:val="Exergue"/>
      </w:pPr>
      <w:r w:rsidRPr="008821CD">
        <w:t xml:space="preserve">Cf. Recommandation COPL </w:t>
      </w:r>
      <w:r w:rsidR="0070542A" w:rsidRPr="008821CD">
        <w:t>1</w:t>
      </w:r>
      <w:r w:rsidRPr="008821CD">
        <w:t>/</w:t>
      </w:r>
      <w:r w:rsidR="0070542A" w:rsidRPr="008821CD">
        <w:t>2025</w:t>
      </w:r>
    </w:p>
    <w:p w14:paraId="1717699C" w14:textId="77777777" w:rsidR="009E5096" w:rsidRPr="008821CD" w:rsidRDefault="009E5096" w:rsidP="008821CD">
      <w:pPr>
        <w:pStyle w:val="Exergue"/>
      </w:pPr>
    </w:p>
    <w:p w14:paraId="0BB5245E" w14:textId="77777777" w:rsidR="009E5096" w:rsidRPr="008821CD" w:rsidRDefault="009E5096" w:rsidP="008821CD">
      <w:pPr>
        <w:pStyle w:val="Paragraphe"/>
        <w:spacing w:after="0" w:line="240" w:lineRule="auto"/>
      </w:pPr>
      <w:r w:rsidRPr="008821CD">
        <w:t>Le Comité des OPL :</w:t>
      </w:r>
    </w:p>
    <w:p w14:paraId="060B0CB4" w14:textId="54807E85" w:rsidR="009E5096" w:rsidRPr="008821CD" w:rsidRDefault="009E5096" w:rsidP="008821CD">
      <w:pPr>
        <w:pStyle w:val="Paragraphe"/>
        <w:numPr>
          <w:ilvl w:val="0"/>
          <w:numId w:val="25"/>
        </w:numPr>
        <w:spacing w:after="0" w:line="240" w:lineRule="auto"/>
        <w:ind w:left="0" w:firstLine="0"/>
      </w:pPr>
      <w:r w:rsidRPr="008821CD">
        <w:t xml:space="preserve">Prend note des informations fournies sur les activités du secrétariat général sur l’environnement, le changement climatique et la Commission Climat des </w:t>
      </w:r>
      <w:r w:rsidR="00C86F33" w:rsidRPr="008821CD">
        <w:t>Éta</w:t>
      </w:r>
      <w:r w:rsidR="00C86F33">
        <w:t>t</w:t>
      </w:r>
      <w:r w:rsidR="00C86F33" w:rsidRPr="008821CD">
        <w:t>s</w:t>
      </w:r>
      <w:r w:rsidRPr="008821CD">
        <w:t xml:space="preserve"> insulaire</w:t>
      </w:r>
      <w:r w:rsidR="00C86F33">
        <w:t>s</w:t>
      </w:r>
      <w:r w:rsidRPr="008821CD">
        <w:t xml:space="preserve"> de l’Afrique</w:t>
      </w:r>
    </w:p>
    <w:p w14:paraId="4BD7B8EC" w14:textId="06728F27" w:rsidR="009E5096" w:rsidRPr="008821CD" w:rsidRDefault="00A36483" w:rsidP="008821CD">
      <w:pPr>
        <w:pStyle w:val="Paragraphe"/>
        <w:numPr>
          <w:ilvl w:val="0"/>
          <w:numId w:val="25"/>
        </w:numPr>
        <w:spacing w:after="0" w:line="240" w:lineRule="auto"/>
        <w:ind w:left="0" w:firstLine="0"/>
      </w:pPr>
      <w:r w:rsidRPr="008821CD">
        <w:t>Demande au</w:t>
      </w:r>
      <w:r w:rsidR="009E5096" w:rsidRPr="008821CD">
        <w:t xml:space="preserve"> </w:t>
      </w:r>
      <w:r w:rsidRPr="008821CD">
        <w:t>Secrétaire</w:t>
      </w:r>
      <w:r w:rsidR="009E5096" w:rsidRPr="008821CD">
        <w:t xml:space="preserve"> </w:t>
      </w:r>
      <w:r w:rsidRPr="008821CD">
        <w:t>général</w:t>
      </w:r>
      <w:r w:rsidR="009E5096" w:rsidRPr="008821CD">
        <w:t> :</w:t>
      </w:r>
    </w:p>
    <w:p w14:paraId="70F31501" w14:textId="2478B67A" w:rsidR="009E5096" w:rsidRPr="008821CD" w:rsidRDefault="00A36483" w:rsidP="008821CD">
      <w:pPr>
        <w:pStyle w:val="Paragraphe"/>
        <w:numPr>
          <w:ilvl w:val="0"/>
          <w:numId w:val="27"/>
        </w:numPr>
        <w:spacing w:after="0" w:line="240" w:lineRule="auto"/>
        <w:ind w:left="0" w:firstLine="0"/>
        <w:rPr>
          <w:b/>
          <w:bCs/>
          <w:i/>
          <w:iCs/>
        </w:rPr>
      </w:pPr>
      <w:r w:rsidRPr="008821CD">
        <w:rPr>
          <w:b/>
          <w:bCs/>
          <w:i/>
          <w:iCs/>
        </w:rPr>
        <w:t>D’accélérer la mise en œuvre des projets Hydromet et RDRM-IO</w:t>
      </w:r>
    </w:p>
    <w:p w14:paraId="3879A95F" w14:textId="79614F07" w:rsidR="009E5096" w:rsidRPr="008821CD" w:rsidRDefault="00A36483" w:rsidP="008821CD">
      <w:pPr>
        <w:pStyle w:val="Paragraphe"/>
        <w:numPr>
          <w:ilvl w:val="0"/>
          <w:numId w:val="27"/>
        </w:numPr>
        <w:spacing w:after="0" w:line="240" w:lineRule="auto"/>
        <w:ind w:left="0" w:firstLine="0"/>
      </w:pPr>
      <w:r w:rsidRPr="008821CD">
        <w:t>De poursuivre le dialogue avec les partenaires pour une révision de la Convention de Financement avec l AFD en vue d’une extension du fonds de l’Union Européenne sur le projet Hydromet</w:t>
      </w:r>
    </w:p>
    <w:p w14:paraId="2E636B78" w14:textId="3FD7F5FC" w:rsidR="009E5096" w:rsidRPr="008821CD" w:rsidRDefault="00A36483" w:rsidP="008821CD">
      <w:pPr>
        <w:pStyle w:val="Paragraphe"/>
        <w:numPr>
          <w:ilvl w:val="0"/>
          <w:numId w:val="27"/>
        </w:numPr>
        <w:spacing w:after="0" w:line="240" w:lineRule="auto"/>
        <w:ind w:left="0" w:firstLine="0"/>
        <w:rPr>
          <w:b/>
          <w:bCs/>
          <w:i/>
          <w:iCs/>
        </w:rPr>
      </w:pPr>
      <w:r w:rsidRPr="008821CD">
        <w:rPr>
          <w:b/>
          <w:bCs/>
          <w:i/>
          <w:iCs/>
        </w:rPr>
        <w:t>De réitérer la décision c) du COPIL2/24, rappelant au Secrétaire général de communiquer dans un délai raisonnable, les détails sur les matériels et communiquer dans un délai raisonnable, les détails sur les matériels et équipements qui seront donnés dans le cadre des programmes Hydromet et RDRM-IO, en vue de faciliter les exonérations fiscales et le dédouanement</w:t>
      </w:r>
    </w:p>
    <w:p w14:paraId="371E98C9" w14:textId="77777777" w:rsidR="009E5096" w:rsidRPr="008821CD" w:rsidRDefault="009E5096" w:rsidP="008821CD">
      <w:pPr>
        <w:pStyle w:val="Paragraphe"/>
        <w:numPr>
          <w:ilvl w:val="0"/>
          <w:numId w:val="23"/>
        </w:numPr>
        <w:spacing w:after="0" w:line="240" w:lineRule="auto"/>
        <w:ind w:left="0" w:firstLine="0"/>
        <w:rPr>
          <w:b/>
          <w:bCs/>
          <w:i/>
          <w:iCs/>
        </w:rPr>
      </w:pPr>
      <w:r w:rsidRPr="008821CD">
        <w:rPr>
          <w:b/>
          <w:bCs/>
          <w:i/>
          <w:iCs/>
        </w:rPr>
        <w:t>Veiller à une bonne mise en œuvre du projet Hydromet et RDRM-IO</w:t>
      </w:r>
    </w:p>
    <w:p w14:paraId="113ADEF3" w14:textId="6D48C5B8" w:rsidR="009E5096" w:rsidRPr="008821CD" w:rsidRDefault="00A36483" w:rsidP="008821CD">
      <w:pPr>
        <w:pStyle w:val="Paragraphe"/>
        <w:numPr>
          <w:ilvl w:val="0"/>
          <w:numId w:val="26"/>
        </w:numPr>
        <w:spacing w:after="0" w:line="240" w:lineRule="auto"/>
        <w:ind w:left="0" w:firstLine="0"/>
        <w:rPr>
          <w:b/>
          <w:bCs/>
          <w:i/>
          <w:iCs/>
        </w:rPr>
      </w:pPr>
      <w:r w:rsidRPr="008821CD">
        <w:rPr>
          <w:b/>
          <w:bCs/>
          <w:i/>
          <w:iCs/>
        </w:rPr>
        <w:t>Demande au</w:t>
      </w:r>
      <w:r w:rsidR="009E5096" w:rsidRPr="008821CD">
        <w:rPr>
          <w:b/>
          <w:bCs/>
          <w:i/>
          <w:iCs/>
        </w:rPr>
        <w:t xml:space="preserve"> Secrétaire général de finaliser l</w:t>
      </w:r>
      <w:r w:rsidRPr="008821CD">
        <w:rPr>
          <w:b/>
          <w:bCs/>
          <w:i/>
          <w:iCs/>
        </w:rPr>
        <w:t>es</w:t>
      </w:r>
      <w:r w:rsidR="009E5096" w:rsidRPr="008821CD">
        <w:rPr>
          <w:b/>
          <w:bCs/>
          <w:i/>
          <w:iCs/>
        </w:rPr>
        <w:t xml:space="preserve"> </w:t>
      </w:r>
      <w:r w:rsidRPr="008821CD">
        <w:rPr>
          <w:b/>
          <w:bCs/>
          <w:i/>
          <w:iCs/>
        </w:rPr>
        <w:t>négociations</w:t>
      </w:r>
      <w:r w:rsidR="009E5096" w:rsidRPr="008821CD">
        <w:rPr>
          <w:b/>
          <w:bCs/>
          <w:i/>
          <w:iCs/>
        </w:rPr>
        <w:t xml:space="preserve"> avec les partenaires </w:t>
      </w:r>
      <w:r w:rsidRPr="008821CD">
        <w:rPr>
          <w:b/>
          <w:bCs/>
          <w:i/>
          <w:iCs/>
        </w:rPr>
        <w:t>suivants</w:t>
      </w:r>
      <w:r w:rsidR="009E5096" w:rsidRPr="008821CD">
        <w:rPr>
          <w:b/>
          <w:bCs/>
          <w:i/>
          <w:iCs/>
        </w:rPr>
        <w:t> :</w:t>
      </w:r>
    </w:p>
    <w:p w14:paraId="1A87D72A" w14:textId="1E3235E1" w:rsidR="009E5096" w:rsidRPr="008821CD" w:rsidRDefault="009E5096" w:rsidP="008821CD">
      <w:pPr>
        <w:pStyle w:val="Paragraphe"/>
        <w:numPr>
          <w:ilvl w:val="0"/>
          <w:numId w:val="24"/>
        </w:numPr>
        <w:spacing w:after="0" w:line="240" w:lineRule="auto"/>
        <w:ind w:left="0" w:firstLine="0"/>
        <w:rPr>
          <w:b/>
          <w:bCs/>
          <w:i/>
          <w:iCs/>
        </w:rPr>
      </w:pPr>
      <w:r w:rsidRPr="008821CD">
        <w:rPr>
          <w:b/>
          <w:bCs/>
          <w:i/>
          <w:iCs/>
        </w:rPr>
        <w:t>Tetra</w:t>
      </w:r>
      <w:r w:rsidR="00861187">
        <w:rPr>
          <w:b/>
          <w:bCs/>
          <w:i/>
          <w:iCs/>
        </w:rPr>
        <w:t xml:space="preserve"> Tech</w:t>
      </w:r>
      <w:r w:rsidRPr="008821CD">
        <w:rPr>
          <w:b/>
          <w:bCs/>
          <w:i/>
          <w:iCs/>
        </w:rPr>
        <w:t xml:space="preserve"> pour accéder à l’aide australienne sur la réduction des risques de catastrophe</w:t>
      </w:r>
    </w:p>
    <w:p w14:paraId="6856134A" w14:textId="010C0536" w:rsidR="009E5096" w:rsidRPr="008821CD" w:rsidRDefault="009E5096" w:rsidP="008821CD">
      <w:pPr>
        <w:pStyle w:val="Paragraphe"/>
        <w:numPr>
          <w:ilvl w:val="0"/>
          <w:numId w:val="24"/>
        </w:numPr>
        <w:spacing w:after="0" w:line="240" w:lineRule="auto"/>
        <w:ind w:left="0" w:firstLine="0"/>
      </w:pPr>
      <w:r w:rsidRPr="008821CD">
        <w:t xml:space="preserve">PNUD pour GEF8 sur le BGI-IP en faveur des </w:t>
      </w:r>
      <w:r w:rsidR="00861187" w:rsidRPr="008821CD">
        <w:t>États</w:t>
      </w:r>
      <w:r w:rsidRPr="008821CD">
        <w:t xml:space="preserve"> insulaires de l’atlantique et l’océan Indien pour la mise en œuvre des activités du programme Blue Green </w:t>
      </w:r>
      <w:r w:rsidR="00A36483" w:rsidRPr="008821CD">
        <w:t>I</w:t>
      </w:r>
      <w:r w:rsidRPr="008821CD">
        <w:t>sland sous financement du Fond</w:t>
      </w:r>
      <w:r w:rsidR="00A36483" w:rsidRPr="008821CD">
        <w:t>s</w:t>
      </w:r>
      <w:r w:rsidRPr="008821CD">
        <w:t xml:space="preserve"> de l’environnement mondiale</w:t>
      </w:r>
    </w:p>
    <w:p w14:paraId="260AFAE3" w14:textId="77777777" w:rsidR="009E5096" w:rsidRPr="008821CD" w:rsidRDefault="009E5096" w:rsidP="008821CD">
      <w:pPr>
        <w:pStyle w:val="Paragraphe"/>
        <w:numPr>
          <w:ilvl w:val="0"/>
          <w:numId w:val="24"/>
        </w:numPr>
        <w:spacing w:after="0" w:line="240" w:lineRule="auto"/>
        <w:ind w:left="0" w:firstLine="0"/>
        <w:rPr>
          <w:b/>
          <w:bCs/>
          <w:i/>
          <w:iCs/>
        </w:rPr>
      </w:pPr>
      <w:r w:rsidRPr="008821CD">
        <w:rPr>
          <w:b/>
          <w:bCs/>
          <w:i/>
          <w:iCs/>
        </w:rPr>
        <w:t xml:space="preserve">ONU Habitat portant sur la résilience urbaine </w:t>
      </w:r>
    </w:p>
    <w:p w14:paraId="6CB73F5F" w14:textId="68EDDCDD" w:rsidR="00A36483" w:rsidRPr="008821CD" w:rsidRDefault="00745563" w:rsidP="008821CD">
      <w:pPr>
        <w:pStyle w:val="Paragraphe"/>
        <w:numPr>
          <w:ilvl w:val="0"/>
          <w:numId w:val="25"/>
        </w:numPr>
        <w:spacing w:after="0" w:line="240" w:lineRule="auto"/>
        <w:ind w:left="0" w:firstLine="0"/>
      </w:pPr>
      <w:r w:rsidRPr="008821CD">
        <w:t xml:space="preserve">Demande au Secrétaire général de procéder à la signature du MoU avec le Programme </w:t>
      </w:r>
      <w:r w:rsidR="00A36483" w:rsidRPr="008821CD">
        <w:t xml:space="preserve">des </w:t>
      </w:r>
      <w:r w:rsidRPr="008821CD">
        <w:t>N</w:t>
      </w:r>
      <w:r w:rsidR="00A36483" w:rsidRPr="008821CD">
        <w:t xml:space="preserve">ations Unie pour l’environnement </w:t>
      </w:r>
      <w:r w:rsidRPr="008821CD">
        <w:t xml:space="preserve">et </w:t>
      </w:r>
      <w:r w:rsidR="00A36483" w:rsidRPr="008821CD">
        <w:t>le Secretariat de la Convention de Nairobi</w:t>
      </w:r>
    </w:p>
    <w:p w14:paraId="0E2A640B" w14:textId="77777777" w:rsidR="00B22DE0" w:rsidRPr="008821CD" w:rsidRDefault="00B22DE0" w:rsidP="008821CD">
      <w:pPr>
        <w:pStyle w:val="Exergue"/>
      </w:pPr>
    </w:p>
    <w:p w14:paraId="379A15CA" w14:textId="77777777" w:rsidR="00163EAB" w:rsidRPr="008821CD" w:rsidRDefault="00163EAB" w:rsidP="008821CD">
      <w:pPr>
        <w:spacing w:after="0" w:line="240" w:lineRule="auto"/>
        <w:jc w:val="both"/>
        <w:rPr>
          <w:rFonts w:ascii="Verdana" w:hAnsi="Verdana"/>
          <w:spacing w:val="6"/>
          <w:sz w:val="20"/>
          <w:szCs w:val="20"/>
        </w:rPr>
      </w:pPr>
    </w:p>
    <w:p w14:paraId="1D6F1669" w14:textId="72833CAD" w:rsidR="00417683" w:rsidRPr="008821CD" w:rsidRDefault="00417683" w:rsidP="008821CD">
      <w:pPr>
        <w:pStyle w:val="Titrepartie"/>
        <w:spacing w:after="0" w:line="240" w:lineRule="auto"/>
        <w:ind w:left="0" w:firstLine="0"/>
        <w:contextualSpacing w:val="0"/>
      </w:pPr>
      <w:r w:rsidRPr="008821CD">
        <w:t>Annexe</w:t>
      </w:r>
      <w:r w:rsidR="008F173C" w:rsidRPr="008821CD">
        <w:t>s</w:t>
      </w:r>
      <w:r w:rsidRPr="008821CD">
        <w:t> :</w:t>
      </w:r>
    </w:p>
    <w:p w14:paraId="374F3417" w14:textId="4244F3FE" w:rsidR="00C325F5" w:rsidRPr="008821CD" w:rsidRDefault="00620B90" w:rsidP="008821CD">
      <w:pPr>
        <w:pStyle w:val="Paragraphe"/>
        <w:numPr>
          <w:ilvl w:val="0"/>
          <w:numId w:val="9"/>
        </w:numPr>
        <w:tabs>
          <w:tab w:val="left" w:pos="567"/>
        </w:tabs>
        <w:spacing w:after="0" w:line="240" w:lineRule="auto"/>
        <w:ind w:left="567" w:hanging="567"/>
        <w:rPr>
          <w:i/>
          <w:iCs/>
        </w:rPr>
      </w:pPr>
      <w:r w:rsidRPr="008821CD">
        <w:rPr>
          <w:i/>
          <w:iCs/>
        </w:rPr>
        <w:t xml:space="preserve">Annexe 1 : </w:t>
      </w:r>
      <w:r w:rsidR="00A015F5" w:rsidRPr="008821CD">
        <w:rPr>
          <w:i/>
          <w:iCs/>
        </w:rPr>
        <w:t>Lettres et MoU entre la COI et UN Habitat</w:t>
      </w:r>
    </w:p>
    <w:p w14:paraId="33C59DCE" w14:textId="789A2B00" w:rsidR="00AB42FB" w:rsidRPr="008821CD" w:rsidRDefault="00AB42FB" w:rsidP="008821CD">
      <w:pPr>
        <w:pStyle w:val="Paragraphe"/>
        <w:numPr>
          <w:ilvl w:val="0"/>
          <w:numId w:val="9"/>
        </w:numPr>
        <w:tabs>
          <w:tab w:val="left" w:pos="567"/>
        </w:tabs>
        <w:spacing w:after="0" w:line="240" w:lineRule="auto"/>
        <w:ind w:left="567" w:hanging="567"/>
        <w:rPr>
          <w:i/>
          <w:iCs/>
        </w:rPr>
      </w:pPr>
      <w:r w:rsidRPr="008821CD">
        <w:rPr>
          <w:i/>
          <w:iCs/>
        </w:rPr>
        <w:t xml:space="preserve">Annexe 2 : </w:t>
      </w:r>
      <w:r w:rsidR="00A015F5" w:rsidRPr="008821CD">
        <w:rPr>
          <w:i/>
          <w:iCs/>
        </w:rPr>
        <w:t xml:space="preserve">Projet de Convention International sur la réduction des Risques des catastrophes </w:t>
      </w:r>
    </w:p>
    <w:p w14:paraId="4648F921" w14:textId="7E3B07BC" w:rsidR="008F173C" w:rsidRPr="008821CD" w:rsidRDefault="00620B90" w:rsidP="008821CD">
      <w:pPr>
        <w:pStyle w:val="Paragraphe"/>
        <w:numPr>
          <w:ilvl w:val="0"/>
          <w:numId w:val="9"/>
        </w:numPr>
        <w:tabs>
          <w:tab w:val="left" w:pos="567"/>
        </w:tabs>
        <w:spacing w:after="0" w:line="240" w:lineRule="auto"/>
        <w:ind w:left="567" w:hanging="567"/>
        <w:rPr>
          <w:i/>
          <w:iCs/>
        </w:rPr>
      </w:pPr>
      <w:r w:rsidRPr="008821CD">
        <w:rPr>
          <w:i/>
          <w:iCs/>
        </w:rPr>
        <w:t xml:space="preserve">Annexe </w:t>
      </w:r>
      <w:r w:rsidR="00AB42FB" w:rsidRPr="008821CD">
        <w:rPr>
          <w:i/>
          <w:iCs/>
        </w:rPr>
        <w:t>3</w:t>
      </w:r>
      <w:r w:rsidRPr="008821CD">
        <w:rPr>
          <w:i/>
          <w:iCs/>
        </w:rPr>
        <w:t xml:space="preserve"> : </w:t>
      </w:r>
      <w:r w:rsidR="00A015F5" w:rsidRPr="008821CD">
        <w:rPr>
          <w:i/>
          <w:iCs/>
        </w:rPr>
        <w:t>Projet de MoU entre la COI et avec Tetra</w:t>
      </w:r>
      <w:r w:rsidR="00861187">
        <w:rPr>
          <w:i/>
          <w:iCs/>
        </w:rPr>
        <w:t xml:space="preserve"> T</w:t>
      </w:r>
      <w:r w:rsidR="00A015F5" w:rsidRPr="008821CD">
        <w:rPr>
          <w:i/>
          <w:iCs/>
        </w:rPr>
        <w:t>ec</w:t>
      </w:r>
      <w:r w:rsidR="00861187">
        <w:rPr>
          <w:i/>
          <w:iCs/>
        </w:rPr>
        <w:t>h</w:t>
      </w:r>
      <w:r w:rsidR="00A015F5" w:rsidRPr="008821CD">
        <w:rPr>
          <w:i/>
          <w:iCs/>
        </w:rPr>
        <w:t xml:space="preserve"> </w:t>
      </w:r>
    </w:p>
    <w:sectPr w:rsidR="008F173C" w:rsidRPr="008821CD"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BF326" w14:textId="77777777" w:rsidR="008867D2" w:rsidRDefault="008867D2">
      <w:pPr>
        <w:spacing w:after="0" w:line="240" w:lineRule="auto"/>
      </w:pPr>
      <w:r>
        <w:separator/>
      </w:r>
    </w:p>
  </w:endnote>
  <w:endnote w:type="continuationSeparator" w:id="0">
    <w:p w14:paraId="73F66DFB" w14:textId="77777777" w:rsidR="008867D2" w:rsidRDefault="0088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371B4" w14:textId="77777777" w:rsidR="008867D2" w:rsidRDefault="008867D2">
      <w:pPr>
        <w:spacing w:after="0" w:line="240" w:lineRule="auto"/>
      </w:pPr>
      <w:r>
        <w:separator/>
      </w:r>
    </w:p>
  </w:footnote>
  <w:footnote w:type="continuationSeparator" w:id="0">
    <w:p w14:paraId="7FCC1FEB" w14:textId="77777777" w:rsidR="008867D2" w:rsidRDefault="0088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2D673E72" w:rsidR="00AA63A3" w:rsidRDefault="00854EEA" w:rsidP="005B3A54">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5B3A54">
      <w:rPr>
        <w:rFonts w:ascii="Verdana" w:hAnsi="Verdana"/>
        <w:b/>
        <w:bCs/>
        <w:sz w:val="20"/>
        <w:szCs w:val="20"/>
      </w:rPr>
      <w:t>2.1</w:t>
    </w:r>
    <w:r w:rsidR="00607C3E">
      <w:rPr>
        <w:rFonts w:ascii="Verdana" w:hAnsi="Verdana"/>
        <w:b/>
        <w:bCs/>
        <w:sz w:val="20"/>
        <w:szCs w:val="20"/>
      </w:rPr>
      <w:t xml:space="preserve">3 </w:t>
    </w:r>
  </w:p>
  <w:p w14:paraId="2AAD49BF" w14:textId="77777777" w:rsidR="00BB0861" w:rsidRDefault="00BB0861" w:rsidP="00BB0861">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897"/>
    <w:multiLevelType w:val="hybridMultilevel"/>
    <w:tmpl w:val="F78C5048"/>
    <w:lvl w:ilvl="0" w:tplc="BA96A9C0">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881827"/>
    <w:multiLevelType w:val="hybridMultilevel"/>
    <w:tmpl w:val="AB9ADFB6"/>
    <w:lvl w:ilvl="0" w:tplc="CCDEE168">
      <w:start w:val="1"/>
      <w:numFmt w:val="lowerLetter"/>
      <w:lvlText w:val="%1)"/>
      <w:lvlJc w:val="left"/>
      <w:pPr>
        <w:ind w:left="720" w:hanging="360"/>
      </w:pPr>
      <w:rPr>
        <w:rFonts w:ascii="Verdana" w:eastAsiaTheme="minorHAnsi" w:hAnsi="Verdana" w:cs="Calibr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A270B9E"/>
    <w:multiLevelType w:val="hybridMultilevel"/>
    <w:tmpl w:val="80CC7C66"/>
    <w:lvl w:ilvl="0" w:tplc="CE1454E8">
      <w:start w:val="1"/>
      <w:numFmt w:val="lowerRoman"/>
      <w:lvlText w:val="%1)"/>
      <w:lvlJc w:val="left"/>
      <w:pPr>
        <w:ind w:left="1080" w:hanging="360"/>
      </w:pPr>
      <w:rPr>
        <w:rFonts w:ascii="Verdana" w:eastAsiaTheme="minorHAnsi" w:hAnsi="Verdana" w:cs="Calibri"/>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BE00DA"/>
    <w:multiLevelType w:val="hybridMultilevel"/>
    <w:tmpl w:val="9D8CB0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193F24"/>
    <w:multiLevelType w:val="hybridMultilevel"/>
    <w:tmpl w:val="B83C4C4E"/>
    <w:lvl w:ilvl="0" w:tplc="00AABB94">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2BE23316"/>
    <w:multiLevelType w:val="hybridMultilevel"/>
    <w:tmpl w:val="CACEDD54"/>
    <w:lvl w:ilvl="0" w:tplc="C30E743E">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2E647E75"/>
    <w:multiLevelType w:val="hybridMultilevel"/>
    <w:tmpl w:val="5E1CCE00"/>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3" w15:restartNumberingAfterBreak="0">
    <w:nsid w:val="31165303"/>
    <w:multiLevelType w:val="multilevel"/>
    <w:tmpl w:val="B656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6A75E0"/>
    <w:multiLevelType w:val="multilevel"/>
    <w:tmpl w:val="DB0AA288"/>
    <w:lvl w:ilvl="0">
      <w:start w:val="3"/>
      <w:numFmt w:val="decimal"/>
      <w:lvlText w:val="%1"/>
      <w:lvlJc w:val="left"/>
      <w:pPr>
        <w:ind w:left="530" w:hanging="530"/>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5E805F5"/>
    <w:multiLevelType w:val="multilevel"/>
    <w:tmpl w:val="89FE563A"/>
    <w:lvl w:ilvl="0">
      <w:start w:val="2"/>
      <w:numFmt w:val="decimal"/>
      <w:lvlText w:val="%1"/>
      <w:lvlJc w:val="left"/>
      <w:pPr>
        <w:ind w:left="600" w:hanging="600"/>
      </w:pPr>
      <w:rPr>
        <w:rFonts w:hint="default"/>
      </w:rPr>
    </w:lvl>
    <w:lvl w:ilvl="1">
      <w:start w:val="3"/>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48D85C17"/>
    <w:multiLevelType w:val="hybridMultilevel"/>
    <w:tmpl w:val="5F300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057A25"/>
    <w:multiLevelType w:val="hybridMultilevel"/>
    <w:tmpl w:val="96BC18F4"/>
    <w:lvl w:ilvl="0" w:tplc="20000019">
      <w:start w:val="3"/>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755B2A"/>
    <w:multiLevelType w:val="hybridMultilevel"/>
    <w:tmpl w:val="FF40FC5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5065B86"/>
    <w:multiLevelType w:val="hybridMultilevel"/>
    <w:tmpl w:val="CD0868FC"/>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ECC47B1"/>
    <w:multiLevelType w:val="multilevel"/>
    <w:tmpl w:val="492A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3254C1"/>
    <w:multiLevelType w:val="hybridMultilevel"/>
    <w:tmpl w:val="CCDCC63C"/>
    <w:lvl w:ilvl="0" w:tplc="2000000F">
      <w:start w:val="1"/>
      <w:numFmt w:val="decimal"/>
      <w:lvlText w:val="%1."/>
      <w:lvlJc w:val="left"/>
      <w:pPr>
        <w:ind w:left="36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96E34F4"/>
    <w:multiLevelType w:val="hybridMultilevel"/>
    <w:tmpl w:val="511CEF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99D427E"/>
    <w:multiLevelType w:val="hybridMultilevel"/>
    <w:tmpl w:val="DA1C18C6"/>
    <w:lvl w:ilvl="0" w:tplc="CD443798">
      <w:start w:val="1"/>
      <w:numFmt w:val="lowerRoman"/>
      <w:lvlText w:val="%1)"/>
      <w:lvlJc w:val="left"/>
      <w:pPr>
        <w:ind w:left="1068" w:hanging="360"/>
      </w:pPr>
      <w:rPr>
        <w:rFonts w:ascii="Verdana" w:eastAsiaTheme="minorHAnsi" w:hAnsi="Verdana" w:cs="Calibri"/>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16cid:durableId="901792306">
    <w:abstractNumId w:val="7"/>
  </w:num>
  <w:num w:numId="2" w16cid:durableId="1770396224">
    <w:abstractNumId w:val="19"/>
  </w:num>
  <w:num w:numId="3" w16cid:durableId="122770673">
    <w:abstractNumId w:val="4"/>
  </w:num>
  <w:num w:numId="4" w16cid:durableId="371343820">
    <w:abstractNumId w:val="1"/>
  </w:num>
  <w:num w:numId="5" w16cid:durableId="940602662">
    <w:abstractNumId w:val="17"/>
  </w:num>
  <w:num w:numId="6" w16cid:durableId="1830973238">
    <w:abstractNumId w:val="5"/>
  </w:num>
  <w:num w:numId="7" w16cid:durableId="183597694">
    <w:abstractNumId w:val="9"/>
  </w:num>
  <w:num w:numId="8" w16cid:durableId="500895386">
    <w:abstractNumId w:val="4"/>
    <w:lvlOverride w:ilvl="0">
      <w:startOverride w:val="1"/>
    </w:lvlOverride>
  </w:num>
  <w:num w:numId="9" w16cid:durableId="889926590">
    <w:abstractNumId w:val="3"/>
  </w:num>
  <w:num w:numId="10" w16cid:durableId="1273830040">
    <w:abstractNumId w:val="23"/>
  </w:num>
  <w:num w:numId="11" w16cid:durableId="1432117713">
    <w:abstractNumId w:val="16"/>
  </w:num>
  <w:num w:numId="12" w16cid:durableId="1590306601">
    <w:abstractNumId w:val="0"/>
  </w:num>
  <w:num w:numId="13" w16cid:durableId="477113112">
    <w:abstractNumId w:val="20"/>
  </w:num>
  <w:num w:numId="14" w16cid:durableId="2010281517">
    <w:abstractNumId w:val="11"/>
  </w:num>
  <w:num w:numId="15" w16cid:durableId="337733211">
    <w:abstractNumId w:val="24"/>
  </w:num>
  <w:num w:numId="16" w16cid:durableId="1717046321">
    <w:abstractNumId w:val="21"/>
  </w:num>
  <w:num w:numId="17" w16cid:durableId="317391678">
    <w:abstractNumId w:val="8"/>
  </w:num>
  <w:num w:numId="18" w16cid:durableId="556821945">
    <w:abstractNumId w:val="15"/>
  </w:num>
  <w:num w:numId="19" w16cid:durableId="1594775187">
    <w:abstractNumId w:val="13"/>
  </w:num>
  <w:num w:numId="20" w16cid:durableId="1754427561">
    <w:abstractNumId w:val="14"/>
  </w:num>
  <w:num w:numId="21" w16cid:durableId="570892463">
    <w:abstractNumId w:val="22"/>
  </w:num>
  <w:num w:numId="22" w16cid:durableId="1608850804">
    <w:abstractNumId w:val="12"/>
  </w:num>
  <w:num w:numId="23" w16cid:durableId="681587536">
    <w:abstractNumId w:val="25"/>
  </w:num>
  <w:num w:numId="24" w16cid:durableId="438764477">
    <w:abstractNumId w:val="6"/>
  </w:num>
  <w:num w:numId="25" w16cid:durableId="585189293">
    <w:abstractNumId w:val="2"/>
  </w:num>
  <w:num w:numId="26" w16cid:durableId="924220038">
    <w:abstractNumId w:val="18"/>
  </w:num>
  <w:num w:numId="27" w16cid:durableId="7045984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327E"/>
    <w:rsid w:val="00007900"/>
    <w:rsid w:val="00017318"/>
    <w:rsid w:val="000220CF"/>
    <w:rsid w:val="000373B2"/>
    <w:rsid w:val="00041649"/>
    <w:rsid w:val="00042CF5"/>
    <w:rsid w:val="00055993"/>
    <w:rsid w:val="00060CA0"/>
    <w:rsid w:val="000634BA"/>
    <w:rsid w:val="00063A26"/>
    <w:rsid w:val="00064264"/>
    <w:rsid w:val="00072365"/>
    <w:rsid w:val="0008409C"/>
    <w:rsid w:val="0008468B"/>
    <w:rsid w:val="000A468A"/>
    <w:rsid w:val="000B0541"/>
    <w:rsid w:val="000B0FBD"/>
    <w:rsid w:val="000B1B75"/>
    <w:rsid w:val="000B28DA"/>
    <w:rsid w:val="000B39B3"/>
    <w:rsid w:val="000B5182"/>
    <w:rsid w:val="000D106B"/>
    <w:rsid w:val="000D29D6"/>
    <w:rsid w:val="000E10FA"/>
    <w:rsid w:val="000E2FFC"/>
    <w:rsid w:val="000E5324"/>
    <w:rsid w:val="000F4728"/>
    <w:rsid w:val="00107D9D"/>
    <w:rsid w:val="001137C4"/>
    <w:rsid w:val="0012085B"/>
    <w:rsid w:val="00121554"/>
    <w:rsid w:val="00131524"/>
    <w:rsid w:val="00134E98"/>
    <w:rsid w:val="00140FB1"/>
    <w:rsid w:val="00157B4F"/>
    <w:rsid w:val="001620F9"/>
    <w:rsid w:val="00163EAB"/>
    <w:rsid w:val="00172FF2"/>
    <w:rsid w:val="0017410D"/>
    <w:rsid w:val="0018252D"/>
    <w:rsid w:val="001833D7"/>
    <w:rsid w:val="0018467B"/>
    <w:rsid w:val="00185477"/>
    <w:rsid w:val="0019144F"/>
    <w:rsid w:val="001A56F1"/>
    <w:rsid w:val="001B4738"/>
    <w:rsid w:val="001B4B3E"/>
    <w:rsid w:val="001C6D40"/>
    <w:rsid w:val="001D3DBB"/>
    <w:rsid w:val="001F00E4"/>
    <w:rsid w:val="00202139"/>
    <w:rsid w:val="0021131D"/>
    <w:rsid w:val="00221DB9"/>
    <w:rsid w:val="00223F56"/>
    <w:rsid w:val="00232657"/>
    <w:rsid w:val="002344F1"/>
    <w:rsid w:val="002358B9"/>
    <w:rsid w:val="0025268C"/>
    <w:rsid w:val="00276492"/>
    <w:rsid w:val="0028105C"/>
    <w:rsid w:val="00284BF4"/>
    <w:rsid w:val="0029272D"/>
    <w:rsid w:val="00292DB1"/>
    <w:rsid w:val="002A0933"/>
    <w:rsid w:val="002A096E"/>
    <w:rsid w:val="002A1892"/>
    <w:rsid w:val="002A2288"/>
    <w:rsid w:val="002C56ED"/>
    <w:rsid w:val="002D0C59"/>
    <w:rsid w:val="002E496C"/>
    <w:rsid w:val="002E5AA4"/>
    <w:rsid w:val="002F78BC"/>
    <w:rsid w:val="0030399A"/>
    <w:rsid w:val="00310ED9"/>
    <w:rsid w:val="0031627A"/>
    <w:rsid w:val="00326460"/>
    <w:rsid w:val="00331EFE"/>
    <w:rsid w:val="00340A9B"/>
    <w:rsid w:val="003530DB"/>
    <w:rsid w:val="00355EF3"/>
    <w:rsid w:val="003604B9"/>
    <w:rsid w:val="003772FB"/>
    <w:rsid w:val="0038354F"/>
    <w:rsid w:val="00386C3E"/>
    <w:rsid w:val="00391152"/>
    <w:rsid w:val="00391ECC"/>
    <w:rsid w:val="00392930"/>
    <w:rsid w:val="00395456"/>
    <w:rsid w:val="003976D5"/>
    <w:rsid w:val="003B5DAD"/>
    <w:rsid w:val="003C03D4"/>
    <w:rsid w:val="003C2538"/>
    <w:rsid w:val="003C766F"/>
    <w:rsid w:val="003D485F"/>
    <w:rsid w:val="003D5328"/>
    <w:rsid w:val="004003D0"/>
    <w:rsid w:val="0041278C"/>
    <w:rsid w:val="00417683"/>
    <w:rsid w:val="00417E3F"/>
    <w:rsid w:val="00421A49"/>
    <w:rsid w:val="004226EE"/>
    <w:rsid w:val="00423EF6"/>
    <w:rsid w:val="00424C45"/>
    <w:rsid w:val="00426673"/>
    <w:rsid w:val="00431E73"/>
    <w:rsid w:val="00433B9B"/>
    <w:rsid w:val="00433D47"/>
    <w:rsid w:val="00446BF9"/>
    <w:rsid w:val="00447278"/>
    <w:rsid w:val="00454246"/>
    <w:rsid w:val="00456464"/>
    <w:rsid w:val="004607F7"/>
    <w:rsid w:val="00467379"/>
    <w:rsid w:val="0047067E"/>
    <w:rsid w:val="00480D30"/>
    <w:rsid w:val="00482A44"/>
    <w:rsid w:val="00484318"/>
    <w:rsid w:val="00494384"/>
    <w:rsid w:val="004A2668"/>
    <w:rsid w:val="004C06B3"/>
    <w:rsid w:val="004D4BC2"/>
    <w:rsid w:val="004D4EBF"/>
    <w:rsid w:val="004E5375"/>
    <w:rsid w:val="004F5C4B"/>
    <w:rsid w:val="00500FBC"/>
    <w:rsid w:val="005174DB"/>
    <w:rsid w:val="00531EFE"/>
    <w:rsid w:val="0053773D"/>
    <w:rsid w:val="0054164B"/>
    <w:rsid w:val="0054347B"/>
    <w:rsid w:val="005439C0"/>
    <w:rsid w:val="005535D9"/>
    <w:rsid w:val="00557E0A"/>
    <w:rsid w:val="00561CB6"/>
    <w:rsid w:val="005645E2"/>
    <w:rsid w:val="00566F94"/>
    <w:rsid w:val="00574DE2"/>
    <w:rsid w:val="00575B7E"/>
    <w:rsid w:val="0058097B"/>
    <w:rsid w:val="00583688"/>
    <w:rsid w:val="00593A8C"/>
    <w:rsid w:val="00593F28"/>
    <w:rsid w:val="005963B4"/>
    <w:rsid w:val="00596607"/>
    <w:rsid w:val="005A30AE"/>
    <w:rsid w:val="005A4657"/>
    <w:rsid w:val="005A4FB1"/>
    <w:rsid w:val="005A5F32"/>
    <w:rsid w:val="005B0E6B"/>
    <w:rsid w:val="005B253D"/>
    <w:rsid w:val="005B3A54"/>
    <w:rsid w:val="005C21BF"/>
    <w:rsid w:val="005C4F7F"/>
    <w:rsid w:val="005C6689"/>
    <w:rsid w:val="005D13B2"/>
    <w:rsid w:val="005D62DF"/>
    <w:rsid w:val="005E6810"/>
    <w:rsid w:val="005E6F02"/>
    <w:rsid w:val="005F155D"/>
    <w:rsid w:val="005F76A3"/>
    <w:rsid w:val="00602A78"/>
    <w:rsid w:val="00604088"/>
    <w:rsid w:val="00605BD1"/>
    <w:rsid w:val="00607C3E"/>
    <w:rsid w:val="006125C6"/>
    <w:rsid w:val="00617CD7"/>
    <w:rsid w:val="00620B90"/>
    <w:rsid w:val="0062124A"/>
    <w:rsid w:val="00621AA5"/>
    <w:rsid w:val="00622B78"/>
    <w:rsid w:val="00625D8E"/>
    <w:rsid w:val="006279A7"/>
    <w:rsid w:val="00631254"/>
    <w:rsid w:val="006356AF"/>
    <w:rsid w:val="006373CA"/>
    <w:rsid w:val="0063762B"/>
    <w:rsid w:val="0064292C"/>
    <w:rsid w:val="006548BF"/>
    <w:rsid w:val="00660504"/>
    <w:rsid w:val="00662B17"/>
    <w:rsid w:val="00672C92"/>
    <w:rsid w:val="00674A6A"/>
    <w:rsid w:val="006975EF"/>
    <w:rsid w:val="006A26A6"/>
    <w:rsid w:val="006A44D9"/>
    <w:rsid w:val="006A5124"/>
    <w:rsid w:val="006A541A"/>
    <w:rsid w:val="006B188E"/>
    <w:rsid w:val="006B19AB"/>
    <w:rsid w:val="006B6B47"/>
    <w:rsid w:val="006C3E95"/>
    <w:rsid w:val="006D3ECB"/>
    <w:rsid w:val="006D4628"/>
    <w:rsid w:val="006E2D9E"/>
    <w:rsid w:val="006E50D1"/>
    <w:rsid w:val="006F3770"/>
    <w:rsid w:val="00700CE2"/>
    <w:rsid w:val="007045D6"/>
    <w:rsid w:val="0070542A"/>
    <w:rsid w:val="0072070A"/>
    <w:rsid w:val="007227A1"/>
    <w:rsid w:val="00726F7E"/>
    <w:rsid w:val="00735EE6"/>
    <w:rsid w:val="007445F0"/>
    <w:rsid w:val="00744B75"/>
    <w:rsid w:val="00745563"/>
    <w:rsid w:val="00745EE8"/>
    <w:rsid w:val="007601F2"/>
    <w:rsid w:val="00762819"/>
    <w:rsid w:val="00775A5C"/>
    <w:rsid w:val="007766BF"/>
    <w:rsid w:val="007811A2"/>
    <w:rsid w:val="0078124A"/>
    <w:rsid w:val="007B023D"/>
    <w:rsid w:val="007B1E17"/>
    <w:rsid w:val="007B245C"/>
    <w:rsid w:val="007B3756"/>
    <w:rsid w:val="007B768B"/>
    <w:rsid w:val="007B7C29"/>
    <w:rsid w:val="007C1F02"/>
    <w:rsid w:val="007C5F6F"/>
    <w:rsid w:val="007C644A"/>
    <w:rsid w:val="007C78FC"/>
    <w:rsid w:val="007D1A26"/>
    <w:rsid w:val="007D3946"/>
    <w:rsid w:val="007D4F09"/>
    <w:rsid w:val="007E076A"/>
    <w:rsid w:val="00814196"/>
    <w:rsid w:val="00816DAC"/>
    <w:rsid w:val="00826846"/>
    <w:rsid w:val="00827B59"/>
    <w:rsid w:val="0083290E"/>
    <w:rsid w:val="008371A4"/>
    <w:rsid w:val="00843FF2"/>
    <w:rsid w:val="008453AB"/>
    <w:rsid w:val="0084782B"/>
    <w:rsid w:val="00850915"/>
    <w:rsid w:val="00854EEA"/>
    <w:rsid w:val="008551DA"/>
    <w:rsid w:val="00857204"/>
    <w:rsid w:val="00857B5E"/>
    <w:rsid w:val="00861187"/>
    <w:rsid w:val="008722FB"/>
    <w:rsid w:val="00873375"/>
    <w:rsid w:val="008821CD"/>
    <w:rsid w:val="008867D2"/>
    <w:rsid w:val="00892BB0"/>
    <w:rsid w:val="008A7F20"/>
    <w:rsid w:val="008B1DD5"/>
    <w:rsid w:val="008C0EEC"/>
    <w:rsid w:val="008C3917"/>
    <w:rsid w:val="008D193F"/>
    <w:rsid w:val="008E0628"/>
    <w:rsid w:val="008E6D93"/>
    <w:rsid w:val="008E6EC8"/>
    <w:rsid w:val="008F173C"/>
    <w:rsid w:val="008F36BA"/>
    <w:rsid w:val="008F3B4A"/>
    <w:rsid w:val="0090150E"/>
    <w:rsid w:val="009104D2"/>
    <w:rsid w:val="009140B2"/>
    <w:rsid w:val="009338B5"/>
    <w:rsid w:val="00934D4D"/>
    <w:rsid w:val="0093795A"/>
    <w:rsid w:val="00941187"/>
    <w:rsid w:val="00955BB3"/>
    <w:rsid w:val="00967BA7"/>
    <w:rsid w:val="009A043C"/>
    <w:rsid w:val="009A25B3"/>
    <w:rsid w:val="009A38AD"/>
    <w:rsid w:val="009A51F3"/>
    <w:rsid w:val="009B1A7D"/>
    <w:rsid w:val="009B5AF6"/>
    <w:rsid w:val="009C36D4"/>
    <w:rsid w:val="009D61F3"/>
    <w:rsid w:val="009E3526"/>
    <w:rsid w:val="009E5096"/>
    <w:rsid w:val="009F63B7"/>
    <w:rsid w:val="00A008DD"/>
    <w:rsid w:val="00A015F5"/>
    <w:rsid w:val="00A04BEB"/>
    <w:rsid w:val="00A13009"/>
    <w:rsid w:val="00A148A1"/>
    <w:rsid w:val="00A179D2"/>
    <w:rsid w:val="00A207D0"/>
    <w:rsid w:val="00A2167F"/>
    <w:rsid w:val="00A242C8"/>
    <w:rsid w:val="00A261BB"/>
    <w:rsid w:val="00A339B5"/>
    <w:rsid w:val="00A33EF5"/>
    <w:rsid w:val="00A36199"/>
    <w:rsid w:val="00A36483"/>
    <w:rsid w:val="00A36C09"/>
    <w:rsid w:val="00A37C51"/>
    <w:rsid w:val="00A37C9F"/>
    <w:rsid w:val="00A47559"/>
    <w:rsid w:val="00A5327B"/>
    <w:rsid w:val="00A5332A"/>
    <w:rsid w:val="00A5586A"/>
    <w:rsid w:val="00A605E9"/>
    <w:rsid w:val="00A61E7E"/>
    <w:rsid w:val="00A70123"/>
    <w:rsid w:val="00A76B07"/>
    <w:rsid w:val="00A81B98"/>
    <w:rsid w:val="00A84F6A"/>
    <w:rsid w:val="00A85F62"/>
    <w:rsid w:val="00A900C4"/>
    <w:rsid w:val="00A90305"/>
    <w:rsid w:val="00A90ED8"/>
    <w:rsid w:val="00A94ABD"/>
    <w:rsid w:val="00AA1C72"/>
    <w:rsid w:val="00AA63A3"/>
    <w:rsid w:val="00AA6528"/>
    <w:rsid w:val="00AA7E09"/>
    <w:rsid w:val="00AB42FB"/>
    <w:rsid w:val="00AB5EB7"/>
    <w:rsid w:val="00AD1C67"/>
    <w:rsid w:val="00AD4D97"/>
    <w:rsid w:val="00AE2453"/>
    <w:rsid w:val="00AF205D"/>
    <w:rsid w:val="00AF7DC4"/>
    <w:rsid w:val="00B01C14"/>
    <w:rsid w:val="00B0564E"/>
    <w:rsid w:val="00B05A11"/>
    <w:rsid w:val="00B05DFC"/>
    <w:rsid w:val="00B15732"/>
    <w:rsid w:val="00B22DE0"/>
    <w:rsid w:val="00B24608"/>
    <w:rsid w:val="00B31DA3"/>
    <w:rsid w:val="00B333FB"/>
    <w:rsid w:val="00B36EEA"/>
    <w:rsid w:val="00B5267E"/>
    <w:rsid w:val="00B52ED9"/>
    <w:rsid w:val="00B61AA6"/>
    <w:rsid w:val="00B65480"/>
    <w:rsid w:val="00B76310"/>
    <w:rsid w:val="00B86182"/>
    <w:rsid w:val="00BA4B55"/>
    <w:rsid w:val="00BB0861"/>
    <w:rsid w:val="00BB30E2"/>
    <w:rsid w:val="00BB6E74"/>
    <w:rsid w:val="00BD3167"/>
    <w:rsid w:val="00BD77AA"/>
    <w:rsid w:val="00BE178B"/>
    <w:rsid w:val="00BE4DD6"/>
    <w:rsid w:val="00C074B8"/>
    <w:rsid w:val="00C12C93"/>
    <w:rsid w:val="00C2326C"/>
    <w:rsid w:val="00C270F9"/>
    <w:rsid w:val="00C314A3"/>
    <w:rsid w:val="00C31797"/>
    <w:rsid w:val="00C325F5"/>
    <w:rsid w:val="00C432AC"/>
    <w:rsid w:val="00C457E8"/>
    <w:rsid w:val="00C4664F"/>
    <w:rsid w:val="00C609B9"/>
    <w:rsid w:val="00C73A50"/>
    <w:rsid w:val="00C84020"/>
    <w:rsid w:val="00C86F33"/>
    <w:rsid w:val="00CA3680"/>
    <w:rsid w:val="00CB43D4"/>
    <w:rsid w:val="00CD1BCB"/>
    <w:rsid w:val="00CD20D8"/>
    <w:rsid w:val="00CE2386"/>
    <w:rsid w:val="00CF30F4"/>
    <w:rsid w:val="00CF71AC"/>
    <w:rsid w:val="00CF7DC6"/>
    <w:rsid w:val="00D050A9"/>
    <w:rsid w:val="00D066E9"/>
    <w:rsid w:val="00D06AD1"/>
    <w:rsid w:val="00D3175B"/>
    <w:rsid w:val="00D35109"/>
    <w:rsid w:val="00D41D82"/>
    <w:rsid w:val="00D42267"/>
    <w:rsid w:val="00D422D9"/>
    <w:rsid w:val="00D6168A"/>
    <w:rsid w:val="00D621F7"/>
    <w:rsid w:val="00D645F7"/>
    <w:rsid w:val="00D64C78"/>
    <w:rsid w:val="00D679BB"/>
    <w:rsid w:val="00D80E7B"/>
    <w:rsid w:val="00D964C4"/>
    <w:rsid w:val="00DB01BA"/>
    <w:rsid w:val="00DB1431"/>
    <w:rsid w:val="00DC0DFE"/>
    <w:rsid w:val="00DC0E85"/>
    <w:rsid w:val="00DC2DE7"/>
    <w:rsid w:val="00DD05F6"/>
    <w:rsid w:val="00DD39BE"/>
    <w:rsid w:val="00DD4196"/>
    <w:rsid w:val="00DF0F89"/>
    <w:rsid w:val="00E151BC"/>
    <w:rsid w:val="00E15B35"/>
    <w:rsid w:val="00E21161"/>
    <w:rsid w:val="00E27D73"/>
    <w:rsid w:val="00E32408"/>
    <w:rsid w:val="00E372DC"/>
    <w:rsid w:val="00E41451"/>
    <w:rsid w:val="00E42A25"/>
    <w:rsid w:val="00E42E2A"/>
    <w:rsid w:val="00E47D98"/>
    <w:rsid w:val="00E53B42"/>
    <w:rsid w:val="00E54C35"/>
    <w:rsid w:val="00E579BC"/>
    <w:rsid w:val="00E57F99"/>
    <w:rsid w:val="00E61C27"/>
    <w:rsid w:val="00E622B1"/>
    <w:rsid w:val="00E622C7"/>
    <w:rsid w:val="00E845D4"/>
    <w:rsid w:val="00E941B9"/>
    <w:rsid w:val="00E94865"/>
    <w:rsid w:val="00EA0063"/>
    <w:rsid w:val="00EA48F6"/>
    <w:rsid w:val="00EA5322"/>
    <w:rsid w:val="00EB08F5"/>
    <w:rsid w:val="00EB2E9F"/>
    <w:rsid w:val="00EB31DF"/>
    <w:rsid w:val="00EB4D4B"/>
    <w:rsid w:val="00EC22CC"/>
    <w:rsid w:val="00ED4F83"/>
    <w:rsid w:val="00ED6B69"/>
    <w:rsid w:val="00EE34F4"/>
    <w:rsid w:val="00EF22A4"/>
    <w:rsid w:val="00F00354"/>
    <w:rsid w:val="00F05495"/>
    <w:rsid w:val="00F146FE"/>
    <w:rsid w:val="00F21CD8"/>
    <w:rsid w:val="00F2698A"/>
    <w:rsid w:val="00F31F11"/>
    <w:rsid w:val="00F40F05"/>
    <w:rsid w:val="00F46779"/>
    <w:rsid w:val="00F52B10"/>
    <w:rsid w:val="00F52EC4"/>
    <w:rsid w:val="00F54EA0"/>
    <w:rsid w:val="00F5604D"/>
    <w:rsid w:val="00F61170"/>
    <w:rsid w:val="00F61CAD"/>
    <w:rsid w:val="00F63449"/>
    <w:rsid w:val="00F65D18"/>
    <w:rsid w:val="00F6614F"/>
    <w:rsid w:val="00F7774A"/>
    <w:rsid w:val="00F83346"/>
    <w:rsid w:val="00F859DE"/>
    <w:rsid w:val="00F86ED7"/>
    <w:rsid w:val="00F871C8"/>
    <w:rsid w:val="00F877B2"/>
    <w:rsid w:val="00F932EB"/>
    <w:rsid w:val="00F96EE9"/>
    <w:rsid w:val="00FA3812"/>
    <w:rsid w:val="00FA5679"/>
    <w:rsid w:val="00FB3B37"/>
    <w:rsid w:val="00FB7CA3"/>
    <w:rsid w:val="00FC783B"/>
    <w:rsid w:val="00FD064E"/>
    <w:rsid w:val="00FD457F"/>
    <w:rsid w:val="00FE285D"/>
    <w:rsid w:val="00FE48B7"/>
    <w:rsid w:val="00FE4E3A"/>
    <w:rsid w:val="00FF2EDC"/>
    <w:rsid w:val="00FF554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F859DE"/>
    <w:pPr>
      <w:spacing w:after="0" w:line="240" w:lineRule="auto"/>
    </w:pPr>
  </w:style>
  <w:style w:type="paragraph" w:styleId="NormalWeb">
    <w:name w:val="Normal (Web)"/>
    <w:basedOn w:val="Normal"/>
    <w:uiPriority w:val="99"/>
    <w:semiHidden/>
    <w:unhideWhenUsed/>
    <w:rsid w:val="00391EC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lev">
    <w:name w:val="Strong"/>
    <w:basedOn w:val="Policepardfaut"/>
    <w:uiPriority w:val="22"/>
    <w:qFormat/>
    <w:rsid w:val="006B6B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2725</Words>
  <Characters>14993</Characters>
  <Application>Microsoft Office Word</Application>
  <DocSecurity>0</DocSecurity>
  <Lines>124</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10</cp:revision>
  <cp:lastPrinted>2025-03-20T15:52:00Z</cp:lastPrinted>
  <dcterms:created xsi:type="dcterms:W3CDTF">2025-10-30T08:34:00Z</dcterms:created>
  <dcterms:modified xsi:type="dcterms:W3CDTF">2025-11-07T06:41:00Z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1312cdf46fb32be0924c513efbc5a150897c235a035369dc60219e3d0a4fadde</vt:lpwstr>
  </property>
</Properties>
</file>