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B3F33" w:rsidRDefault="00C12C93" w:rsidP="00854EEA">
      <w:pPr>
        <w:jc w:val="center"/>
        <w:rPr>
          <w:rFonts w:ascii="Verdana" w:hAnsi="Verdana"/>
          <w:b/>
          <w:bCs/>
          <w:sz w:val="2"/>
          <w:szCs w:val="2"/>
        </w:rPr>
      </w:pPr>
    </w:p>
    <w:tbl>
      <w:tblPr>
        <w:tblStyle w:val="Grilledutableau"/>
        <w:tblW w:w="9209" w:type="dxa"/>
        <w:tblLook w:val="04A0" w:firstRow="1" w:lastRow="0" w:firstColumn="1" w:lastColumn="0" w:noHBand="0" w:noVBand="1"/>
      </w:tblPr>
      <w:tblGrid>
        <w:gridCol w:w="7508"/>
        <w:gridCol w:w="1701"/>
      </w:tblGrid>
      <w:tr w:rsidR="00C80699" w:rsidRPr="008B3F33" w14:paraId="51109D41" w14:textId="63A3874C" w:rsidTr="00C80699">
        <w:tc>
          <w:tcPr>
            <w:tcW w:w="9209" w:type="dxa"/>
            <w:gridSpan w:val="2"/>
          </w:tcPr>
          <w:p w14:paraId="6FC76F95" w14:textId="7D06C753" w:rsidR="00C80699" w:rsidRPr="008B3F33" w:rsidRDefault="00C80699" w:rsidP="00854EEA">
            <w:pPr>
              <w:jc w:val="center"/>
              <w:rPr>
                <w:rFonts w:ascii="Verdana" w:hAnsi="Verdana"/>
                <w:b/>
                <w:bCs/>
                <w:sz w:val="20"/>
                <w:szCs w:val="20"/>
              </w:rPr>
            </w:pPr>
            <w:r w:rsidRPr="008B3F33">
              <w:rPr>
                <w:rFonts w:ascii="Verdana" w:hAnsi="Verdana"/>
                <w:b/>
                <w:bCs/>
              </w:rPr>
              <w:t>Partenariat</w:t>
            </w:r>
            <w:r w:rsidR="006023BA" w:rsidRPr="008B3F33">
              <w:rPr>
                <w:rFonts w:ascii="Verdana" w:hAnsi="Verdana"/>
                <w:b/>
                <w:bCs/>
              </w:rPr>
              <w:t>s</w:t>
            </w:r>
          </w:p>
        </w:tc>
      </w:tr>
      <w:tr w:rsidR="00C80699" w:rsidRPr="008B3F33" w14:paraId="7F1B63D2" w14:textId="40233ABC" w:rsidTr="00C80699">
        <w:tc>
          <w:tcPr>
            <w:tcW w:w="7508" w:type="dxa"/>
          </w:tcPr>
          <w:p w14:paraId="056D9B10" w14:textId="2A34AFC9" w:rsidR="00C80699" w:rsidRPr="008B3F33" w:rsidRDefault="00C80699" w:rsidP="00995229">
            <w:pPr>
              <w:rPr>
                <w:rFonts w:ascii="Verdana" w:hAnsi="Verdana"/>
                <w:sz w:val="20"/>
                <w:szCs w:val="20"/>
              </w:rPr>
            </w:pPr>
            <w:r w:rsidRPr="008B3F33">
              <w:rPr>
                <w:rFonts w:ascii="Verdana" w:hAnsi="Verdana"/>
                <w:sz w:val="20"/>
                <w:szCs w:val="20"/>
              </w:rPr>
              <w:t>Comité des OPL 02/2025 | Novembre 2025, Maurice</w:t>
            </w:r>
          </w:p>
        </w:tc>
        <w:tc>
          <w:tcPr>
            <w:tcW w:w="1701" w:type="dxa"/>
          </w:tcPr>
          <w:p w14:paraId="58E25D1F" w14:textId="2AF581AD" w:rsidR="00C80699" w:rsidRPr="008B3F33" w:rsidRDefault="00C80699" w:rsidP="00995229">
            <w:pPr>
              <w:jc w:val="center"/>
              <w:rPr>
                <w:rFonts w:ascii="Verdana" w:hAnsi="Verdana"/>
                <w:sz w:val="20"/>
                <w:szCs w:val="20"/>
              </w:rPr>
            </w:pPr>
            <w:r w:rsidRPr="008B3F33">
              <w:rPr>
                <w:rFonts w:ascii="Verdana" w:hAnsi="Verdana"/>
                <w:sz w:val="20"/>
                <w:szCs w:val="20"/>
              </w:rPr>
              <w:t>1.5</w:t>
            </w:r>
          </w:p>
        </w:tc>
      </w:tr>
      <w:tr w:rsidR="00C80699" w:rsidRPr="008B3F33" w14:paraId="537D1DE5" w14:textId="3499B9E7" w:rsidTr="00C80699">
        <w:tc>
          <w:tcPr>
            <w:tcW w:w="7508" w:type="dxa"/>
          </w:tcPr>
          <w:p w14:paraId="43DEF09E" w14:textId="27395D74" w:rsidR="00C80699" w:rsidRPr="008B3F33" w:rsidRDefault="00C80699" w:rsidP="00995229">
            <w:pPr>
              <w:rPr>
                <w:rFonts w:ascii="Verdana" w:hAnsi="Verdana"/>
                <w:sz w:val="20"/>
                <w:szCs w:val="20"/>
              </w:rPr>
            </w:pPr>
            <w:r w:rsidRPr="008B3F33">
              <w:rPr>
                <w:rFonts w:ascii="Verdana" w:hAnsi="Verdana"/>
                <w:i/>
                <w:iCs/>
                <w:sz w:val="20"/>
                <w:szCs w:val="20"/>
              </w:rPr>
              <w:t>Dossier suivi par :</w:t>
            </w:r>
            <w:r w:rsidRPr="008B3F33">
              <w:rPr>
                <w:rFonts w:ascii="Verdana" w:hAnsi="Verdana"/>
                <w:sz w:val="20"/>
                <w:szCs w:val="20"/>
              </w:rPr>
              <w:t xml:space="preserve"> Gina BONNE, directrice par intérim</w:t>
            </w:r>
          </w:p>
        </w:tc>
        <w:tc>
          <w:tcPr>
            <w:tcW w:w="1701" w:type="dxa"/>
          </w:tcPr>
          <w:p w14:paraId="5AC1AFAB" w14:textId="3B90A041" w:rsidR="00C80699" w:rsidRPr="008B3F33" w:rsidRDefault="00C80699" w:rsidP="00995229">
            <w:pPr>
              <w:jc w:val="center"/>
              <w:rPr>
                <w:rFonts w:ascii="Verdana" w:hAnsi="Verdana"/>
                <w:sz w:val="20"/>
                <w:szCs w:val="20"/>
              </w:rPr>
            </w:pPr>
            <w:r w:rsidRPr="008B3F33">
              <w:rPr>
                <w:rFonts w:ascii="Verdana" w:hAnsi="Verdana"/>
                <w:sz w:val="20"/>
                <w:szCs w:val="20"/>
              </w:rPr>
              <w:t>Décision</w:t>
            </w:r>
            <w:r w:rsidRPr="008B3F33">
              <w:rPr>
                <w:rFonts w:ascii="Verdana" w:hAnsi="Verdana"/>
                <w:sz w:val="20"/>
                <w:szCs w:val="20"/>
                <w:highlight w:val="yellow"/>
              </w:rPr>
              <w:t xml:space="preserve"> </w:t>
            </w:r>
          </w:p>
        </w:tc>
      </w:tr>
    </w:tbl>
    <w:p w14:paraId="1611BCC4" w14:textId="77777777" w:rsidR="00854EEA" w:rsidRPr="008B3F33" w:rsidRDefault="00854EEA" w:rsidP="00816DAC">
      <w:pPr>
        <w:pStyle w:val="Paragraphe"/>
      </w:pPr>
      <w:bookmarkStart w:id="0" w:name="_Hlk24535240"/>
    </w:p>
    <w:p w14:paraId="678F0DFC" w14:textId="3923B394" w:rsidR="00854EEA" w:rsidRPr="008B3F33" w:rsidRDefault="00955BB3" w:rsidP="00A70123">
      <w:pPr>
        <w:pStyle w:val="Titrepartie"/>
      </w:pPr>
      <w:r w:rsidRPr="008B3F33">
        <w:t>Résumé</w:t>
      </w:r>
    </w:p>
    <w:p w14:paraId="76C04909" w14:textId="5C46FA0C" w:rsidR="00120F1D" w:rsidRPr="008B3F33" w:rsidRDefault="006F3548" w:rsidP="00FE6B20">
      <w:pPr>
        <w:jc w:val="both"/>
        <w:rPr>
          <w:rFonts w:ascii="Verdana" w:hAnsi="Verdana" w:cs="Calibri"/>
          <w:sz w:val="20"/>
          <w:szCs w:val="20"/>
        </w:rPr>
      </w:pPr>
      <w:r w:rsidRPr="008B3F33">
        <w:rPr>
          <w:rFonts w:ascii="Verdana" w:hAnsi="Verdana" w:cs="Calibri"/>
          <w:sz w:val="20"/>
          <w:szCs w:val="20"/>
        </w:rPr>
        <w:t>Conformément à la décision 4</w:t>
      </w:r>
      <w:r w:rsidR="00ED3DD8" w:rsidRPr="008B3F33">
        <w:rPr>
          <w:rFonts w:ascii="Verdana" w:hAnsi="Verdana" w:cs="Calibri"/>
          <w:sz w:val="20"/>
          <w:szCs w:val="20"/>
        </w:rPr>
        <w:t>)</w:t>
      </w:r>
      <w:r w:rsidRPr="008B3F33">
        <w:rPr>
          <w:rFonts w:ascii="Verdana" w:hAnsi="Verdana" w:cs="Calibri"/>
          <w:sz w:val="20"/>
          <w:szCs w:val="20"/>
        </w:rPr>
        <w:t xml:space="preserve"> du C</w:t>
      </w:r>
      <w:r w:rsidR="00FE6B20" w:rsidRPr="008B3F33">
        <w:rPr>
          <w:rFonts w:ascii="Verdana" w:hAnsi="Verdana" w:cs="Calibri"/>
          <w:sz w:val="20"/>
          <w:szCs w:val="20"/>
        </w:rPr>
        <w:t>omité des Officiers permanents de liaison (</w:t>
      </w:r>
      <w:r w:rsidRPr="008B3F33">
        <w:rPr>
          <w:rFonts w:ascii="Verdana" w:hAnsi="Verdana" w:cs="Calibri"/>
          <w:sz w:val="20"/>
          <w:szCs w:val="20"/>
        </w:rPr>
        <w:t>OPL</w:t>
      </w:r>
      <w:r w:rsidR="00FE6B20" w:rsidRPr="008B3F33">
        <w:rPr>
          <w:rFonts w:ascii="Verdana" w:hAnsi="Verdana" w:cs="Calibri"/>
          <w:sz w:val="20"/>
          <w:szCs w:val="20"/>
        </w:rPr>
        <w:t>)</w:t>
      </w:r>
      <w:r w:rsidRPr="008B3F33">
        <w:rPr>
          <w:rFonts w:ascii="Verdana" w:hAnsi="Verdana" w:cs="Calibri"/>
          <w:sz w:val="20"/>
          <w:szCs w:val="20"/>
        </w:rPr>
        <w:t xml:space="preserve"> </w:t>
      </w:r>
      <w:r w:rsidR="00DA017A" w:rsidRPr="008B3F33">
        <w:rPr>
          <w:rFonts w:ascii="Verdana" w:hAnsi="Verdana" w:cs="Calibri"/>
          <w:sz w:val="20"/>
          <w:szCs w:val="20"/>
        </w:rPr>
        <w:t>01/2024</w:t>
      </w:r>
      <w:r w:rsidR="00C80699" w:rsidRPr="008B3F33">
        <w:rPr>
          <w:rFonts w:ascii="Verdana" w:hAnsi="Verdana" w:cs="Calibri"/>
          <w:sz w:val="20"/>
          <w:szCs w:val="20"/>
        </w:rPr>
        <w:t xml:space="preserve"> et suivant les orientations de l’axe 4 du PDS 2023-2033</w:t>
      </w:r>
      <w:r w:rsidR="00FE6B20" w:rsidRPr="008B3F33">
        <w:rPr>
          <w:rFonts w:ascii="Verdana" w:hAnsi="Verdana" w:cs="Calibri"/>
          <w:sz w:val="20"/>
          <w:szCs w:val="20"/>
        </w:rPr>
        <w:t xml:space="preserve">, le Secrétariat général </w:t>
      </w:r>
      <w:r w:rsidR="00120F1D" w:rsidRPr="008B3F33">
        <w:rPr>
          <w:rFonts w:ascii="Verdana" w:hAnsi="Verdana" w:cs="Calibri"/>
          <w:sz w:val="20"/>
          <w:szCs w:val="20"/>
        </w:rPr>
        <w:t xml:space="preserve">continue d’engager des actions concrètes de renforcement du socle partenarial en faveur de la prise en compte systématique des singularités insulaires des </w:t>
      </w:r>
      <w:r w:rsidR="006023BA" w:rsidRPr="008B3F33">
        <w:rPr>
          <w:rFonts w:ascii="Verdana" w:hAnsi="Verdana" w:cs="Calibri"/>
          <w:sz w:val="20"/>
          <w:szCs w:val="20"/>
        </w:rPr>
        <w:t>États</w:t>
      </w:r>
      <w:r w:rsidR="00120F1D" w:rsidRPr="008B3F33">
        <w:rPr>
          <w:rFonts w:ascii="Verdana" w:hAnsi="Verdana" w:cs="Calibri"/>
          <w:sz w:val="20"/>
          <w:szCs w:val="20"/>
        </w:rPr>
        <w:t xml:space="preserve"> membres de la COI. </w:t>
      </w:r>
    </w:p>
    <w:p w14:paraId="68009DDB" w14:textId="4D4D1172" w:rsidR="0008468B" w:rsidRPr="008B3F33" w:rsidRDefault="00955BB3" w:rsidP="006F3548">
      <w:pPr>
        <w:pStyle w:val="Titrepartie"/>
      </w:pPr>
      <w:r w:rsidRPr="008B3F33">
        <w:t>Etat d’avancement</w:t>
      </w:r>
    </w:p>
    <w:p w14:paraId="2387F827" w14:textId="049DAF11" w:rsidR="00120F1D" w:rsidRPr="008B3F33" w:rsidRDefault="00120F1D" w:rsidP="00120F1D">
      <w:pPr>
        <w:jc w:val="both"/>
        <w:rPr>
          <w:rFonts w:ascii="Verdana" w:hAnsi="Verdana" w:cs="Calibri"/>
          <w:sz w:val="20"/>
          <w:szCs w:val="20"/>
        </w:rPr>
      </w:pPr>
      <w:r w:rsidRPr="008B3F33">
        <w:rPr>
          <w:rFonts w:ascii="Verdana" w:hAnsi="Verdana" w:cs="Calibri"/>
          <w:sz w:val="20"/>
          <w:szCs w:val="20"/>
        </w:rPr>
        <w:t xml:space="preserve">Cela se concrétise, d’une part, par la tenue </w:t>
      </w:r>
      <w:r w:rsidR="00C80699" w:rsidRPr="008B3F33">
        <w:rPr>
          <w:rFonts w:ascii="Verdana" w:hAnsi="Verdana" w:cs="Calibri"/>
          <w:sz w:val="20"/>
          <w:szCs w:val="20"/>
        </w:rPr>
        <w:t>d’un dialogue régulier</w:t>
      </w:r>
      <w:r w:rsidRPr="008B3F33">
        <w:rPr>
          <w:rFonts w:ascii="Verdana" w:hAnsi="Verdana" w:cs="Calibri"/>
          <w:sz w:val="20"/>
          <w:szCs w:val="20"/>
        </w:rPr>
        <w:t xml:space="preserve"> avec les observateurs et les partenaires actuels de la COI, et d’autre part, </w:t>
      </w:r>
      <w:r w:rsidR="00943011">
        <w:rPr>
          <w:rFonts w:ascii="Verdana" w:hAnsi="Verdana" w:cs="Calibri"/>
          <w:sz w:val="20"/>
          <w:szCs w:val="20"/>
        </w:rPr>
        <w:t xml:space="preserve">par </w:t>
      </w:r>
      <w:r w:rsidRPr="008B3F33">
        <w:rPr>
          <w:rFonts w:ascii="Verdana" w:hAnsi="Verdana" w:cs="Calibri"/>
          <w:sz w:val="20"/>
          <w:szCs w:val="20"/>
        </w:rPr>
        <w:t>le développement de nouveaux partenariats au niveau multilatéral</w:t>
      </w:r>
      <w:r w:rsidR="0081151A" w:rsidRPr="008B3F33">
        <w:rPr>
          <w:rFonts w:ascii="Verdana" w:hAnsi="Verdana" w:cs="Calibri"/>
          <w:sz w:val="20"/>
          <w:szCs w:val="20"/>
        </w:rPr>
        <w:t xml:space="preserve"> avec l’Organisation des </w:t>
      </w:r>
      <w:r w:rsidR="006023BA" w:rsidRPr="008B3F33">
        <w:rPr>
          <w:rFonts w:ascii="Verdana" w:hAnsi="Verdana" w:cs="Calibri"/>
          <w:sz w:val="20"/>
          <w:szCs w:val="20"/>
        </w:rPr>
        <w:t>États</w:t>
      </w:r>
      <w:r w:rsidR="0081151A" w:rsidRPr="008B3F33">
        <w:rPr>
          <w:rFonts w:ascii="Verdana" w:hAnsi="Verdana" w:cs="Calibri"/>
          <w:sz w:val="20"/>
          <w:szCs w:val="20"/>
        </w:rPr>
        <w:t xml:space="preserve"> d’Afrique, Caraïbes et Pacifique (OEACP), l’OCDE</w:t>
      </w:r>
      <w:r w:rsidRPr="008B3F33">
        <w:rPr>
          <w:rFonts w:ascii="Verdana" w:hAnsi="Verdana" w:cs="Calibri"/>
          <w:sz w:val="20"/>
          <w:szCs w:val="20"/>
        </w:rPr>
        <w:t>, la consolidation et la formalisation des partenariats initiés avec l’Organisation Internationale de la Francophonie (OIF), afin de faciliter la mise en œuvre des priorités du P</w:t>
      </w:r>
      <w:r w:rsidR="00345BF0" w:rsidRPr="008B3F33">
        <w:rPr>
          <w:rFonts w:ascii="Verdana" w:hAnsi="Verdana" w:cs="Calibri"/>
          <w:sz w:val="20"/>
          <w:szCs w:val="20"/>
        </w:rPr>
        <w:t xml:space="preserve">lan de </w:t>
      </w:r>
      <w:r w:rsidRPr="008B3F33">
        <w:rPr>
          <w:rFonts w:ascii="Verdana" w:hAnsi="Verdana" w:cs="Calibri"/>
          <w:sz w:val="20"/>
          <w:szCs w:val="20"/>
        </w:rPr>
        <w:t>D</w:t>
      </w:r>
      <w:r w:rsidR="00345BF0" w:rsidRPr="008B3F33">
        <w:rPr>
          <w:rFonts w:ascii="Verdana" w:hAnsi="Verdana" w:cs="Calibri"/>
          <w:sz w:val="20"/>
          <w:szCs w:val="20"/>
        </w:rPr>
        <w:t xml:space="preserve">éveloppement </w:t>
      </w:r>
      <w:r w:rsidRPr="008B3F33">
        <w:rPr>
          <w:rFonts w:ascii="Verdana" w:hAnsi="Verdana" w:cs="Calibri"/>
          <w:sz w:val="20"/>
          <w:szCs w:val="20"/>
        </w:rPr>
        <w:t>S</w:t>
      </w:r>
      <w:r w:rsidR="00345BF0" w:rsidRPr="008B3F33">
        <w:rPr>
          <w:rFonts w:ascii="Verdana" w:hAnsi="Verdana" w:cs="Calibri"/>
          <w:sz w:val="20"/>
          <w:szCs w:val="20"/>
        </w:rPr>
        <w:t>tratégique</w:t>
      </w:r>
      <w:r w:rsidRPr="008B3F33">
        <w:rPr>
          <w:rFonts w:ascii="Verdana" w:hAnsi="Verdana" w:cs="Calibri"/>
          <w:sz w:val="20"/>
          <w:szCs w:val="20"/>
        </w:rPr>
        <w:t xml:space="preserve">. </w:t>
      </w:r>
    </w:p>
    <w:p w14:paraId="48AB0783" w14:textId="2002A7F3" w:rsidR="00426673" w:rsidRPr="008B3F33" w:rsidRDefault="00345BF0" w:rsidP="002C56ED">
      <w:pPr>
        <w:pStyle w:val="Sous-partie2"/>
      </w:pPr>
      <w:r w:rsidRPr="008B3F33">
        <w:t>L’</w:t>
      </w:r>
      <w:r w:rsidR="00120F1D" w:rsidRPr="008B3F33">
        <w:t>Organisation Internationale de la Francophonie</w:t>
      </w:r>
      <w:r w:rsidRPr="008B3F33">
        <w:t xml:space="preserve"> (OIF)</w:t>
      </w:r>
    </w:p>
    <w:p w14:paraId="73854670" w14:textId="77777777" w:rsidR="00006E4D" w:rsidRPr="008B3F33" w:rsidRDefault="00006E4D" w:rsidP="00006E4D">
      <w:pPr>
        <w:pStyle w:val="Sous-partie2"/>
        <w:numPr>
          <w:ilvl w:val="0"/>
          <w:numId w:val="0"/>
        </w:numPr>
      </w:pPr>
    </w:p>
    <w:p w14:paraId="3D6A74BC" w14:textId="364CB6A4" w:rsidR="00006E4D" w:rsidRPr="008B3F33" w:rsidRDefault="00006E4D" w:rsidP="00006E4D">
      <w:pPr>
        <w:pStyle w:val="Sous-partie2"/>
        <w:numPr>
          <w:ilvl w:val="0"/>
          <w:numId w:val="0"/>
        </w:numPr>
        <w:rPr>
          <w:color w:val="auto"/>
        </w:rPr>
      </w:pPr>
      <w:r w:rsidRPr="008B3F33">
        <w:rPr>
          <w:color w:val="auto"/>
        </w:rPr>
        <w:t xml:space="preserve">La </w:t>
      </w:r>
      <w:r w:rsidR="00C80699" w:rsidRPr="008B3F33">
        <w:rPr>
          <w:color w:val="auto"/>
        </w:rPr>
        <w:t>COI</w:t>
      </w:r>
      <w:r w:rsidRPr="008B3F33">
        <w:rPr>
          <w:color w:val="auto"/>
        </w:rPr>
        <w:t xml:space="preserve"> et l’Organisation internationale de la Francophonie (OIF) entretiennent, depuis juin 2016, un partenariat structuré à travers un accord-cadre de coopération couvrant plusieurs domaines d’intérêt commun. Ce partenariat a notamment permis la mise en œuvre d’initiatives telles que le Prix Indianocéanie, la formation de négociateurs francophones</w:t>
      </w:r>
      <w:r w:rsidR="00C80699" w:rsidRPr="008B3F33">
        <w:rPr>
          <w:color w:val="auto"/>
        </w:rPr>
        <w:t xml:space="preserve"> sur le climat</w:t>
      </w:r>
      <w:r w:rsidRPr="008B3F33">
        <w:rPr>
          <w:color w:val="auto"/>
        </w:rPr>
        <w:t xml:space="preserve">, et des actions conjointes en matière de gouvernance, </w:t>
      </w:r>
      <w:r w:rsidR="00C80699" w:rsidRPr="008B3F33">
        <w:rPr>
          <w:color w:val="auto"/>
        </w:rPr>
        <w:t xml:space="preserve">ou </w:t>
      </w:r>
      <w:r w:rsidR="00943011">
        <w:rPr>
          <w:color w:val="auto"/>
        </w:rPr>
        <w:t xml:space="preserve">en matière </w:t>
      </w:r>
      <w:r w:rsidR="00C80699" w:rsidRPr="008B3F33">
        <w:rPr>
          <w:color w:val="auto"/>
        </w:rPr>
        <w:t xml:space="preserve">d’entrepreneuriat à travers un </w:t>
      </w:r>
      <w:r w:rsidRPr="008B3F33">
        <w:rPr>
          <w:color w:val="auto"/>
        </w:rPr>
        <w:t>concours régional des jeunes entrepreneurs innovants.</w:t>
      </w:r>
    </w:p>
    <w:p w14:paraId="178B1FB7" w14:textId="77777777" w:rsidR="006023BA" w:rsidRPr="008B3F33" w:rsidRDefault="006023BA" w:rsidP="00006E4D">
      <w:pPr>
        <w:pStyle w:val="Sous-partie2"/>
        <w:numPr>
          <w:ilvl w:val="0"/>
          <w:numId w:val="0"/>
        </w:numPr>
        <w:rPr>
          <w:color w:val="auto"/>
        </w:rPr>
      </w:pPr>
    </w:p>
    <w:p w14:paraId="380D220B" w14:textId="3341B968" w:rsidR="00006E4D" w:rsidRPr="008B3F33" w:rsidRDefault="00006E4D" w:rsidP="00006E4D">
      <w:pPr>
        <w:pStyle w:val="Sous-partie2"/>
        <w:numPr>
          <w:ilvl w:val="0"/>
          <w:numId w:val="0"/>
        </w:numPr>
        <w:rPr>
          <w:color w:val="auto"/>
        </w:rPr>
      </w:pPr>
      <w:r w:rsidRPr="008B3F33">
        <w:rPr>
          <w:color w:val="auto"/>
        </w:rPr>
        <w:t>À la suite du Sommet des Chefs d’État de la COI d’avril dernier, une réunion a été organisée à Antananarivo, entre l’équipe de l’OIF et les chargés de mission de la COI. Cette rencontre a permis de faire le point sur les actions en cours, d’évaluer les résultats obtenus et de réfléchir aux perspectives d’évolution du partenariat, afin de mieux l’adapter aux nouvelles priorités stratégiques des deux institutions.</w:t>
      </w:r>
    </w:p>
    <w:p w14:paraId="43F55AB7" w14:textId="77777777" w:rsidR="006023BA" w:rsidRPr="008B3F33" w:rsidRDefault="006023BA" w:rsidP="00006E4D">
      <w:pPr>
        <w:pStyle w:val="Sous-partie2"/>
        <w:numPr>
          <w:ilvl w:val="0"/>
          <w:numId w:val="0"/>
        </w:numPr>
        <w:rPr>
          <w:color w:val="auto"/>
        </w:rPr>
      </w:pPr>
    </w:p>
    <w:p w14:paraId="29AECD2A" w14:textId="71872157" w:rsidR="00006E4D" w:rsidRPr="008B3F33" w:rsidRDefault="00006E4D" w:rsidP="00006E4D">
      <w:pPr>
        <w:pStyle w:val="Sous-partie2"/>
        <w:numPr>
          <w:ilvl w:val="0"/>
          <w:numId w:val="0"/>
        </w:numPr>
        <w:rPr>
          <w:color w:val="auto"/>
        </w:rPr>
      </w:pPr>
      <w:r w:rsidRPr="008B3F33">
        <w:rPr>
          <w:color w:val="auto"/>
        </w:rPr>
        <w:t>Conformément à l’article VI de l’accord-cadre, relatif à sa modification, les deux parties peuvent proposer des ajustements par écrit, d’un commun accord, lesquels entrent en vigueur trois mois après notification. Dans ce cadre, il est proposé d’élargir la coopération à de nouveaux domaines prioritaires, tels que le tourisme, l’économie bleue et circulaire, l’entrepreneuriat, la jeunesse et la gouvernance.</w:t>
      </w:r>
    </w:p>
    <w:p w14:paraId="1706610B" w14:textId="77777777" w:rsidR="006023BA" w:rsidRPr="008B3F33" w:rsidRDefault="006023BA" w:rsidP="00006E4D">
      <w:pPr>
        <w:pStyle w:val="Sous-partie2"/>
        <w:numPr>
          <w:ilvl w:val="0"/>
          <w:numId w:val="0"/>
        </w:numPr>
        <w:rPr>
          <w:color w:val="auto"/>
        </w:rPr>
      </w:pPr>
    </w:p>
    <w:p w14:paraId="330E1A0F" w14:textId="0AE5AC81" w:rsidR="00006E4D" w:rsidRPr="008B3F33" w:rsidRDefault="00006E4D" w:rsidP="00006E4D">
      <w:pPr>
        <w:pStyle w:val="Sous-partie2"/>
        <w:numPr>
          <w:ilvl w:val="0"/>
          <w:numId w:val="0"/>
        </w:numPr>
        <w:rPr>
          <w:color w:val="auto"/>
        </w:rPr>
      </w:pPr>
      <w:r w:rsidRPr="008B3F33">
        <w:rPr>
          <w:color w:val="auto"/>
        </w:rPr>
        <w:t>Dans la continuité de cette collaboration fructueuse, le renouvellement et l’actualisation de l’accord-cadre</w:t>
      </w:r>
      <w:r w:rsidR="00943011">
        <w:rPr>
          <w:color w:val="auto"/>
        </w:rPr>
        <w:t xml:space="preserve"> de partenariat </w:t>
      </w:r>
      <w:r w:rsidR="009D297E" w:rsidRPr="008B3F33">
        <w:rPr>
          <w:color w:val="auto"/>
        </w:rPr>
        <w:t>(Annexe 1)</w:t>
      </w:r>
      <w:r w:rsidRPr="008B3F33">
        <w:rPr>
          <w:color w:val="auto"/>
        </w:rPr>
        <w:t xml:space="preserve"> s’avèrent nécessaires pour consolider et étendre cette dynamique partenariale.</w:t>
      </w:r>
    </w:p>
    <w:p w14:paraId="54A119A3" w14:textId="77777777" w:rsidR="00006E4D" w:rsidRPr="008B3F33" w:rsidRDefault="00006E4D" w:rsidP="00006E4D">
      <w:pPr>
        <w:pStyle w:val="Sous-partie2"/>
        <w:numPr>
          <w:ilvl w:val="0"/>
          <w:numId w:val="0"/>
        </w:numPr>
        <w:rPr>
          <w:color w:val="auto"/>
        </w:rPr>
      </w:pPr>
    </w:p>
    <w:p w14:paraId="3F5B79C6" w14:textId="00EFAB4F" w:rsidR="001A7949" w:rsidRPr="008B3F33" w:rsidRDefault="009C3076" w:rsidP="002C56ED">
      <w:pPr>
        <w:pStyle w:val="Sous-partie2"/>
      </w:pPr>
      <w:r w:rsidRPr="008B3F33">
        <w:t>Promotion d</w:t>
      </w:r>
      <w:r w:rsidR="00901CDD" w:rsidRPr="008B3F33">
        <w:t>u développement économique intégré, durable et innovant</w:t>
      </w:r>
    </w:p>
    <w:p w14:paraId="3F3E5796" w14:textId="77777777" w:rsidR="00345BF0" w:rsidRPr="008B3F33" w:rsidRDefault="00345BF0" w:rsidP="00345BF0">
      <w:pPr>
        <w:pStyle w:val="Sous-partie2"/>
        <w:numPr>
          <w:ilvl w:val="0"/>
          <w:numId w:val="0"/>
        </w:numPr>
      </w:pPr>
    </w:p>
    <w:p w14:paraId="4DB0F4BF" w14:textId="374E9177" w:rsidR="00345BF0" w:rsidRPr="008B3F33" w:rsidRDefault="005B353E" w:rsidP="005B353E">
      <w:pPr>
        <w:pStyle w:val="Sous-partie2"/>
        <w:numPr>
          <w:ilvl w:val="0"/>
          <w:numId w:val="0"/>
        </w:numPr>
        <w:rPr>
          <w:color w:val="auto"/>
        </w:rPr>
      </w:pPr>
      <w:r w:rsidRPr="008B3F33">
        <w:rPr>
          <w:color w:val="auto"/>
        </w:rPr>
        <w:t>Conformément à la décision 3</w:t>
      </w:r>
      <w:r w:rsidR="00B166F7" w:rsidRPr="008B3F33">
        <w:rPr>
          <w:color w:val="auto"/>
        </w:rPr>
        <w:t>)</w:t>
      </w:r>
      <w:r w:rsidRPr="008B3F33">
        <w:rPr>
          <w:color w:val="auto"/>
        </w:rPr>
        <w:t xml:space="preserve"> du 38</w:t>
      </w:r>
      <w:r w:rsidRPr="00943011">
        <w:rPr>
          <w:color w:val="auto"/>
          <w:vertAlign w:val="superscript"/>
        </w:rPr>
        <w:t>e</w:t>
      </w:r>
      <w:r w:rsidRPr="008B3F33">
        <w:rPr>
          <w:color w:val="auto"/>
        </w:rPr>
        <w:t xml:space="preserve"> Conseil des ministres de la COI</w:t>
      </w:r>
      <w:r w:rsidR="00B166F7" w:rsidRPr="008B3F33">
        <w:rPr>
          <w:color w:val="auto"/>
        </w:rPr>
        <w:t>, le Secrétaire général a procédé à la signature des accords</w:t>
      </w:r>
      <w:r w:rsidRPr="008B3F33">
        <w:rPr>
          <w:color w:val="auto"/>
        </w:rPr>
        <w:t xml:space="preserve"> avec l’Organisation internationale du travail (OIT), Cap Business océan Indien</w:t>
      </w:r>
      <w:r w:rsidR="00B166F7" w:rsidRPr="008B3F33">
        <w:rPr>
          <w:color w:val="auto"/>
        </w:rPr>
        <w:t xml:space="preserve"> (CBOI)</w:t>
      </w:r>
      <w:r w:rsidRPr="008B3F33">
        <w:rPr>
          <w:color w:val="auto"/>
        </w:rPr>
        <w:t xml:space="preserve"> et l’Association des ports des îles de l’océan Indien (APIOI)</w:t>
      </w:r>
      <w:r w:rsidR="00B166F7" w:rsidRPr="008B3F33">
        <w:rPr>
          <w:color w:val="auto"/>
        </w:rPr>
        <w:t>.</w:t>
      </w:r>
    </w:p>
    <w:p w14:paraId="3D1F9FAA" w14:textId="77777777" w:rsidR="001D1252" w:rsidRPr="008B3F33" w:rsidRDefault="001D1252" w:rsidP="005B353E">
      <w:pPr>
        <w:pStyle w:val="Sous-partie2"/>
        <w:numPr>
          <w:ilvl w:val="0"/>
          <w:numId w:val="0"/>
        </w:numPr>
        <w:rPr>
          <w:color w:val="auto"/>
        </w:rPr>
      </w:pPr>
    </w:p>
    <w:p w14:paraId="6E59CB6D" w14:textId="6D10F65B" w:rsidR="00345BF0" w:rsidRPr="008B3F33" w:rsidRDefault="00345BF0" w:rsidP="00345BF0">
      <w:pPr>
        <w:pStyle w:val="Sous-partie2"/>
      </w:pPr>
      <w:r w:rsidRPr="008B3F33">
        <w:lastRenderedPageBreak/>
        <w:t>Organisation des États d’Afrique, Caraïbes et Pacifique (OEACP)</w:t>
      </w:r>
    </w:p>
    <w:p w14:paraId="004F8498" w14:textId="5AEAC5E1" w:rsidR="00955BB3" w:rsidRPr="008B3F33" w:rsidRDefault="00A92755" w:rsidP="00A92755">
      <w:pPr>
        <w:jc w:val="both"/>
        <w:rPr>
          <w:rFonts w:ascii="Verdana" w:hAnsi="Verdana"/>
          <w:sz w:val="20"/>
          <w:szCs w:val="20"/>
        </w:rPr>
      </w:pPr>
      <w:r w:rsidRPr="008B3F33">
        <w:rPr>
          <w:rFonts w:ascii="Verdana" w:hAnsi="Verdana"/>
          <w:sz w:val="20"/>
          <w:szCs w:val="20"/>
        </w:rPr>
        <w:t>Conformément à la décision 4</w:t>
      </w:r>
      <w:r w:rsidR="0081151A" w:rsidRPr="008B3F33">
        <w:rPr>
          <w:rFonts w:ascii="Verdana" w:hAnsi="Verdana"/>
          <w:sz w:val="20"/>
          <w:szCs w:val="20"/>
        </w:rPr>
        <w:t xml:space="preserve">b) </w:t>
      </w:r>
      <w:r w:rsidR="00DA017A" w:rsidRPr="008B3F33">
        <w:rPr>
          <w:rFonts w:ascii="Verdana" w:hAnsi="Verdana"/>
          <w:sz w:val="20"/>
          <w:szCs w:val="20"/>
        </w:rPr>
        <w:t xml:space="preserve">du COPL 01/2024 </w:t>
      </w:r>
      <w:r w:rsidR="0081151A" w:rsidRPr="008B3F33">
        <w:rPr>
          <w:rFonts w:ascii="Verdana" w:hAnsi="Verdana"/>
          <w:sz w:val="20"/>
          <w:szCs w:val="20"/>
        </w:rPr>
        <w:t xml:space="preserve">et dans la perspective de </w:t>
      </w:r>
      <w:r w:rsidRPr="008B3F33">
        <w:rPr>
          <w:rFonts w:ascii="Verdana" w:hAnsi="Verdana"/>
          <w:sz w:val="20"/>
          <w:szCs w:val="20"/>
        </w:rPr>
        <w:t xml:space="preserve">consolider le dialogue et le partenariat initiés entre l’OEACP et la COI, afin d’intégrer les préoccupations des </w:t>
      </w:r>
      <w:r w:rsidR="006023BA" w:rsidRPr="008B3F33">
        <w:rPr>
          <w:rFonts w:ascii="Verdana" w:hAnsi="Verdana"/>
          <w:sz w:val="20"/>
          <w:szCs w:val="20"/>
        </w:rPr>
        <w:t>États</w:t>
      </w:r>
      <w:r w:rsidRPr="008B3F33">
        <w:rPr>
          <w:rFonts w:ascii="Verdana" w:hAnsi="Verdana"/>
          <w:sz w:val="20"/>
          <w:szCs w:val="20"/>
        </w:rPr>
        <w:t xml:space="preserve"> insulaires d’Afrique et de l’océan Indien dans le cadre de la mise en œuvre de cet accord de Samoa et des enveloppes de financement y afférents</w:t>
      </w:r>
      <w:r w:rsidR="0081151A" w:rsidRPr="008B3F33">
        <w:rPr>
          <w:rFonts w:ascii="Verdana" w:hAnsi="Verdana"/>
          <w:sz w:val="20"/>
          <w:szCs w:val="20"/>
        </w:rPr>
        <w:t xml:space="preserve">, une proposition de cadre de partenariat a été élaborée conjointement par les deux parties. Elle est en cours de </w:t>
      </w:r>
      <w:r w:rsidR="00DA017A" w:rsidRPr="008B3F33">
        <w:rPr>
          <w:rFonts w:ascii="Verdana" w:hAnsi="Verdana"/>
          <w:sz w:val="20"/>
          <w:szCs w:val="20"/>
        </w:rPr>
        <w:t>consolidation</w:t>
      </w:r>
      <w:r w:rsidR="0081151A" w:rsidRPr="008B3F33">
        <w:rPr>
          <w:rFonts w:ascii="Verdana" w:hAnsi="Verdana"/>
          <w:sz w:val="20"/>
          <w:szCs w:val="20"/>
        </w:rPr>
        <w:t xml:space="preserve"> au niveau de l’O</w:t>
      </w:r>
      <w:r w:rsidR="00DA017A" w:rsidRPr="008B3F33">
        <w:rPr>
          <w:rFonts w:ascii="Verdana" w:hAnsi="Verdana"/>
          <w:sz w:val="20"/>
          <w:szCs w:val="20"/>
        </w:rPr>
        <w:t xml:space="preserve">EACP </w:t>
      </w:r>
      <w:r w:rsidR="0081151A" w:rsidRPr="008B3F33">
        <w:rPr>
          <w:rFonts w:ascii="Verdana" w:hAnsi="Verdana"/>
          <w:sz w:val="20"/>
          <w:szCs w:val="20"/>
        </w:rPr>
        <w:t xml:space="preserve">avant d’être </w:t>
      </w:r>
      <w:r w:rsidR="00943011">
        <w:rPr>
          <w:rFonts w:ascii="Verdana" w:hAnsi="Verdana"/>
          <w:sz w:val="20"/>
          <w:szCs w:val="20"/>
        </w:rPr>
        <w:t>transmise</w:t>
      </w:r>
      <w:r w:rsidR="0081151A" w:rsidRPr="008B3F33">
        <w:rPr>
          <w:rFonts w:ascii="Verdana" w:hAnsi="Verdana"/>
          <w:sz w:val="20"/>
          <w:szCs w:val="20"/>
        </w:rPr>
        <w:t xml:space="preserve"> auprès des </w:t>
      </w:r>
      <w:r w:rsidR="006023BA" w:rsidRPr="008B3F33">
        <w:rPr>
          <w:rFonts w:ascii="Verdana" w:hAnsi="Verdana"/>
          <w:sz w:val="20"/>
          <w:szCs w:val="20"/>
        </w:rPr>
        <w:t>États</w:t>
      </w:r>
      <w:r w:rsidR="0081151A" w:rsidRPr="008B3F33">
        <w:rPr>
          <w:rFonts w:ascii="Verdana" w:hAnsi="Verdana"/>
          <w:sz w:val="20"/>
          <w:szCs w:val="20"/>
        </w:rPr>
        <w:t>-membres de la COI pour amendements et validation.</w:t>
      </w:r>
      <w:r w:rsidR="001B3C9E" w:rsidRPr="008B3F33">
        <w:rPr>
          <w:rFonts w:ascii="Verdana" w:hAnsi="Verdana"/>
          <w:sz w:val="20"/>
          <w:szCs w:val="20"/>
        </w:rPr>
        <w:t xml:space="preserve"> En outre, la COI a pris part à la première réunion du comité de coordination des organisation interrégionales (CCOIR) initiée par l’OEACP en septembre 2024.</w:t>
      </w:r>
    </w:p>
    <w:p w14:paraId="7CAAEC75" w14:textId="157B3790" w:rsidR="00345BF0" w:rsidRPr="008B3F33" w:rsidRDefault="0081151A" w:rsidP="00345BF0">
      <w:pPr>
        <w:pStyle w:val="Sous-partie2"/>
      </w:pPr>
      <w:bookmarkStart w:id="1" w:name="_Hlk211599574"/>
      <w:r w:rsidRPr="008B3F33">
        <w:t>Organisation de coopération et de développement économiques (</w:t>
      </w:r>
      <w:r w:rsidR="00345BF0" w:rsidRPr="008B3F33">
        <w:t>OCDE</w:t>
      </w:r>
      <w:r w:rsidRPr="008B3F33">
        <w:t>)</w:t>
      </w:r>
    </w:p>
    <w:bookmarkEnd w:id="1"/>
    <w:p w14:paraId="3B1CB6A6" w14:textId="60AD8FCC" w:rsidR="00D834D0" w:rsidRPr="008B3F33" w:rsidRDefault="00DA017A" w:rsidP="00A92755">
      <w:pPr>
        <w:jc w:val="both"/>
        <w:rPr>
          <w:rFonts w:ascii="Verdana" w:hAnsi="Verdana" w:cs="Calibri"/>
          <w:sz w:val="20"/>
          <w:szCs w:val="20"/>
        </w:rPr>
      </w:pPr>
      <w:r w:rsidRPr="008B3F33">
        <w:rPr>
          <w:rFonts w:ascii="Verdana" w:hAnsi="Verdana" w:cs="Calibri"/>
          <w:sz w:val="20"/>
          <w:szCs w:val="20"/>
        </w:rPr>
        <w:t xml:space="preserve">Conformément à la décision 4c) du COPL 02/2024 et </w:t>
      </w:r>
      <w:r w:rsidR="006E5737" w:rsidRPr="008B3F33">
        <w:rPr>
          <w:rFonts w:ascii="Verdana" w:hAnsi="Verdana" w:cs="Calibri"/>
          <w:sz w:val="20"/>
          <w:szCs w:val="20"/>
        </w:rPr>
        <w:t xml:space="preserve">afin de tenir compte systématiquement des singularités insulaires de l’océan Indien dans le cadre du processus de la réforme de l’architecture de </w:t>
      </w:r>
      <w:r w:rsidR="00943011">
        <w:rPr>
          <w:rFonts w:ascii="Verdana" w:hAnsi="Verdana" w:cs="Calibri"/>
          <w:sz w:val="20"/>
          <w:szCs w:val="20"/>
        </w:rPr>
        <w:t xml:space="preserve">la </w:t>
      </w:r>
      <w:r w:rsidR="006E5737" w:rsidRPr="008B3F33">
        <w:rPr>
          <w:rFonts w:ascii="Verdana" w:hAnsi="Verdana" w:cs="Calibri"/>
          <w:sz w:val="20"/>
          <w:szCs w:val="20"/>
        </w:rPr>
        <w:t xml:space="preserve">coopération </w:t>
      </w:r>
      <w:r w:rsidR="00943011">
        <w:rPr>
          <w:rFonts w:ascii="Verdana" w:hAnsi="Verdana" w:cs="Calibri"/>
          <w:sz w:val="20"/>
          <w:szCs w:val="20"/>
        </w:rPr>
        <w:t>au</w:t>
      </w:r>
      <w:r w:rsidR="006E5737" w:rsidRPr="008B3F33">
        <w:rPr>
          <w:rFonts w:ascii="Verdana" w:hAnsi="Verdana" w:cs="Calibri"/>
          <w:sz w:val="20"/>
          <w:szCs w:val="20"/>
        </w:rPr>
        <w:t xml:space="preserve"> développement initié par l’OCDE, des discussions ont été initiées entre les deux parties, notamment, en marge de l’UNOC3. L’OCDE a donné son accord pour avancer sur une proposition d</w:t>
      </w:r>
      <w:r w:rsidR="00943011">
        <w:rPr>
          <w:rFonts w:ascii="Verdana" w:hAnsi="Verdana" w:cs="Calibri"/>
          <w:sz w:val="20"/>
          <w:szCs w:val="20"/>
        </w:rPr>
        <w:t>e</w:t>
      </w:r>
      <w:r w:rsidR="006E5737" w:rsidRPr="008B3F33">
        <w:rPr>
          <w:rFonts w:ascii="Verdana" w:hAnsi="Verdana" w:cs="Calibri"/>
          <w:sz w:val="20"/>
          <w:szCs w:val="20"/>
        </w:rPr>
        <w:t xml:space="preserve"> cadre de partenariat. Compte tenu de l</w:t>
      </w:r>
      <w:r w:rsidR="00D834D0" w:rsidRPr="008B3F33">
        <w:rPr>
          <w:rFonts w:ascii="Verdana" w:hAnsi="Verdana" w:cs="Calibri"/>
          <w:sz w:val="20"/>
          <w:szCs w:val="20"/>
        </w:rPr>
        <w:t>’exigence de l</w:t>
      </w:r>
      <w:r w:rsidR="006E5737" w:rsidRPr="008B3F33">
        <w:rPr>
          <w:rFonts w:ascii="Verdana" w:hAnsi="Verdana" w:cs="Calibri"/>
          <w:sz w:val="20"/>
          <w:szCs w:val="20"/>
        </w:rPr>
        <w:t xml:space="preserve">a durée du cycle d’approbation d’une telle proposition au niveau de ses instances, il a </w:t>
      </w:r>
      <w:r w:rsidR="00D834D0" w:rsidRPr="008B3F33">
        <w:rPr>
          <w:rFonts w:ascii="Verdana" w:hAnsi="Verdana" w:cs="Calibri"/>
          <w:sz w:val="20"/>
          <w:szCs w:val="20"/>
        </w:rPr>
        <w:t xml:space="preserve">été </w:t>
      </w:r>
      <w:r w:rsidR="006E5737" w:rsidRPr="008B3F33">
        <w:rPr>
          <w:rFonts w:ascii="Verdana" w:hAnsi="Verdana" w:cs="Calibri"/>
          <w:sz w:val="20"/>
          <w:szCs w:val="20"/>
        </w:rPr>
        <w:t xml:space="preserve">souligné </w:t>
      </w:r>
      <w:r w:rsidR="00D834D0" w:rsidRPr="008B3F33">
        <w:rPr>
          <w:rFonts w:ascii="Verdana" w:hAnsi="Verdana" w:cs="Calibri"/>
          <w:sz w:val="20"/>
          <w:szCs w:val="20"/>
        </w:rPr>
        <w:t xml:space="preserve">que cela ne doit pas constituer un blocage par rapport à la </w:t>
      </w:r>
      <w:r w:rsidR="006E5737" w:rsidRPr="008B3F33">
        <w:rPr>
          <w:rFonts w:ascii="Verdana" w:hAnsi="Verdana" w:cs="Calibri"/>
          <w:sz w:val="20"/>
          <w:szCs w:val="20"/>
        </w:rPr>
        <w:t>concrétis</w:t>
      </w:r>
      <w:r w:rsidR="00D834D0" w:rsidRPr="008B3F33">
        <w:rPr>
          <w:rFonts w:ascii="Verdana" w:hAnsi="Verdana" w:cs="Calibri"/>
          <w:sz w:val="20"/>
          <w:szCs w:val="20"/>
        </w:rPr>
        <w:t xml:space="preserve">ation des </w:t>
      </w:r>
      <w:r w:rsidR="006E5737" w:rsidRPr="008B3F33">
        <w:rPr>
          <w:rFonts w:ascii="Verdana" w:hAnsi="Verdana" w:cs="Calibri"/>
          <w:sz w:val="20"/>
          <w:szCs w:val="20"/>
        </w:rPr>
        <w:t>actions conjointes sur les sujets d’intérêt commun</w:t>
      </w:r>
      <w:r w:rsidR="00D834D0" w:rsidRPr="008B3F33">
        <w:rPr>
          <w:rFonts w:ascii="Verdana" w:hAnsi="Verdana" w:cs="Calibri"/>
          <w:sz w:val="20"/>
          <w:szCs w:val="20"/>
        </w:rPr>
        <w:t xml:space="preserve">, dont l’accompagnement des </w:t>
      </w:r>
      <w:r w:rsidR="006023BA" w:rsidRPr="008B3F33">
        <w:rPr>
          <w:rFonts w:ascii="Verdana" w:hAnsi="Verdana" w:cs="Calibri"/>
          <w:sz w:val="20"/>
          <w:szCs w:val="20"/>
        </w:rPr>
        <w:t>États</w:t>
      </w:r>
      <w:r w:rsidR="00D834D0" w:rsidRPr="008B3F33">
        <w:rPr>
          <w:rFonts w:ascii="Verdana" w:hAnsi="Verdana" w:cs="Calibri"/>
          <w:sz w:val="20"/>
          <w:szCs w:val="20"/>
        </w:rPr>
        <w:t xml:space="preserve"> membres de la COI dans :</w:t>
      </w:r>
    </w:p>
    <w:p w14:paraId="3DDC165D" w14:textId="571762C8" w:rsidR="00D834D0" w:rsidRPr="008B3F33" w:rsidRDefault="00D834D0"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 xml:space="preserve">L’application du traité historique sur la conservation et l’utilisation durable de la biodiversité marine des zones ne relevant pas de la juridiction nationale, en haute mer (BBNJ), </w:t>
      </w:r>
    </w:p>
    <w:p w14:paraId="33082FA0" w14:textId="21FB3266" w:rsidR="00345BF0" w:rsidRPr="008B3F33" w:rsidRDefault="00D834D0"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 xml:space="preserve">Le diagnostic de l’économie océanique de la région OI et des </w:t>
      </w:r>
      <w:r w:rsidR="006023BA" w:rsidRPr="008B3F33">
        <w:rPr>
          <w:rFonts w:ascii="Verdana" w:hAnsi="Verdana" w:cs="Calibri"/>
          <w:sz w:val="20"/>
          <w:szCs w:val="20"/>
        </w:rPr>
        <w:t>États</w:t>
      </w:r>
      <w:r w:rsidR="00943011">
        <w:rPr>
          <w:rFonts w:ascii="Verdana" w:hAnsi="Verdana" w:cs="Calibri"/>
          <w:sz w:val="20"/>
          <w:szCs w:val="20"/>
        </w:rPr>
        <w:t xml:space="preserve"> </w:t>
      </w:r>
      <w:r w:rsidRPr="008B3F33">
        <w:rPr>
          <w:rFonts w:ascii="Verdana" w:hAnsi="Verdana" w:cs="Calibri"/>
          <w:sz w:val="20"/>
          <w:szCs w:val="20"/>
        </w:rPr>
        <w:t>membres de la COI, via le programme moniteur de l’économie de la mer de l’OCDE.</w:t>
      </w:r>
    </w:p>
    <w:p w14:paraId="12F5A541" w14:textId="44E5F550" w:rsidR="001452EE" w:rsidRPr="008B3F33" w:rsidRDefault="001452EE"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Le renforcement de la mise en place d’un mécanisme de financement innovant durable de l’économie bleue dans la région de l’océan Indien.</w:t>
      </w:r>
    </w:p>
    <w:p w14:paraId="67EF0520" w14:textId="6F7D4155" w:rsidR="009E307F" w:rsidRPr="008B3F33" w:rsidRDefault="009E307F" w:rsidP="009E307F">
      <w:pPr>
        <w:pStyle w:val="Sous-partie2"/>
      </w:pPr>
      <w:bookmarkStart w:id="2" w:name="_Hlk211772160"/>
      <w:r w:rsidRPr="008B3F33">
        <w:t>AUDA-NEPAD</w:t>
      </w:r>
    </w:p>
    <w:bookmarkEnd w:id="2"/>
    <w:p w14:paraId="5D7D0DEE" w14:textId="0E4AA4E3" w:rsidR="009E307F" w:rsidRPr="008B3F33" w:rsidRDefault="009E307F" w:rsidP="009E307F">
      <w:pPr>
        <w:jc w:val="both"/>
        <w:rPr>
          <w:rFonts w:ascii="Verdana" w:hAnsi="Verdana" w:cs="Calibri"/>
          <w:sz w:val="20"/>
          <w:szCs w:val="20"/>
        </w:rPr>
      </w:pPr>
      <w:r w:rsidRPr="008B3F33">
        <w:rPr>
          <w:rFonts w:ascii="Verdana" w:hAnsi="Verdana" w:cs="Calibri"/>
          <w:sz w:val="20"/>
          <w:szCs w:val="20"/>
        </w:rPr>
        <w:t xml:space="preserve">Dans la poursuite de la rencontre bilatérale entre la COI et AUDA-NEPAD, en marge de </w:t>
      </w:r>
      <w:r w:rsidR="00C80699" w:rsidRPr="008B3F33">
        <w:rPr>
          <w:rFonts w:ascii="Verdana" w:hAnsi="Verdana" w:cs="Calibri"/>
          <w:sz w:val="20"/>
          <w:szCs w:val="20"/>
        </w:rPr>
        <w:t xml:space="preserve">l’UNOC-3 à </w:t>
      </w:r>
      <w:r w:rsidR="00F90190" w:rsidRPr="008B3F33">
        <w:rPr>
          <w:rFonts w:ascii="Verdana" w:hAnsi="Verdana" w:cs="Calibri"/>
          <w:sz w:val="20"/>
          <w:szCs w:val="20"/>
        </w:rPr>
        <w:t xml:space="preserve">Nice, il a été convenu entre les deux parties </w:t>
      </w:r>
      <w:r w:rsidR="00C80699" w:rsidRPr="008B3F33">
        <w:rPr>
          <w:rFonts w:ascii="Verdana" w:hAnsi="Verdana" w:cs="Calibri"/>
          <w:sz w:val="20"/>
          <w:szCs w:val="20"/>
        </w:rPr>
        <w:t>d’évaluer l’opportunité d’une</w:t>
      </w:r>
      <w:r w:rsidR="00F90190" w:rsidRPr="008B3F33">
        <w:rPr>
          <w:rFonts w:ascii="Verdana" w:hAnsi="Verdana" w:cs="Calibri"/>
          <w:sz w:val="20"/>
          <w:szCs w:val="20"/>
        </w:rPr>
        <w:t xml:space="preserve"> collaboration</w:t>
      </w:r>
      <w:r w:rsidR="00C80699" w:rsidRPr="008B3F33">
        <w:rPr>
          <w:rFonts w:ascii="Verdana" w:hAnsi="Verdana" w:cs="Calibri"/>
          <w:sz w:val="20"/>
          <w:szCs w:val="20"/>
        </w:rPr>
        <w:t xml:space="preserve"> renforcée</w:t>
      </w:r>
      <w:r w:rsidR="00F90190" w:rsidRPr="008B3F33">
        <w:rPr>
          <w:rFonts w:ascii="Verdana" w:hAnsi="Verdana" w:cs="Calibri"/>
          <w:sz w:val="20"/>
          <w:szCs w:val="20"/>
        </w:rPr>
        <w:t xml:space="preserve"> sur les sujets d’intérêt commun :</w:t>
      </w:r>
    </w:p>
    <w:p w14:paraId="5CEBD7A7" w14:textId="333EBC2C"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’économie bleue : </w:t>
      </w:r>
      <w:r w:rsidRPr="008B3F33">
        <w:rPr>
          <w:rFonts w:ascii="Verdana" w:hAnsi="Verdana" w:cs="Calibri"/>
          <w:sz w:val="20"/>
          <w:szCs w:val="20"/>
        </w:rPr>
        <w:t>AUDA-</w:t>
      </w:r>
      <w:r w:rsidR="00F90190" w:rsidRPr="008B3F33">
        <w:rPr>
          <w:rFonts w:ascii="Verdana" w:hAnsi="Verdana" w:cs="Calibri"/>
          <w:sz w:val="20"/>
          <w:szCs w:val="20"/>
        </w:rPr>
        <w:t>NEPAD développe une nouvelle stratégie panafricaine sur l’économie bleue ; souhaite assur</w:t>
      </w:r>
      <w:r w:rsidR="00943011">
        <w:rPr>
          <w:rFonts w:ascii="Verdana" w:hAnsi="Verdana" w:cs="Calibri"/>
          <w:sz w:val="20"/>
          <w:szCs w:val="20"/>
        </w:rPr>
        <w:t>er</w:t>
      </w:r>
      <w:r w:rsidR="00F90190" w:rsidRPr="008B3F33">
        <w:rPr>
          <w:rFonts w:ascii="Verdana" w:hAnsi="Verdana" w:cs="Calibri"/>
          <w:sz w:val="20"/>
          <w:szCs w:val="20"/>
        </w:rPr>
        <w:t xml:space="preserve"> la cohérence avec les stratégies régionales dont le PAREB et assurer la prise en compte des spécificités insulaires. Possibilité d’un appui technique pour la formulation de projets. Création au sein du NEPAD d’une facilité pour l’économie bleue incluant le secteur privé</w:t>
      </w:r>
    </w:p>
    <w:p w14:paraId="5EBD12BC" w14:textId="39CBD095"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es infrastructures portuaires : dispose d’un desk dédié, notamment sur les questions de verdissement des ports. Une réunion de travail avec la COI est envisagée pour identifier les synergies avec le DI concerné. </w:t>
      </w:r>
    </w:p>
    <w:p w14:paraId="168493CF" w14:textId="6DD64CAC"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La s</w:t>
      </w:r>
      <w:r w:rsidR="00F90190" w:rsidRPr="008B3F33">
        <w:rPr>
          <w:rFonts w:ascii="Verdana" w:hAnsi="Verdana" w:cs="Calibri"/>
          <w:sz w:val="20"/>
          <w:szCs w:val="20"/>
        </w:rPr>
        <w:t xml:space="preserve">écurité alimentaire : </w:t>
      </w:r>
      <w:r w:rsidR="00197271" w:rsidRPr="008B3F33">
        <w:rPr>
          <w:rFonts w:ascii="Verdana" w:hAnsi="Verdana" w:cs="Calibri"/>
          <w:sz w:val="20"/>
          <w:szCs w:val="20"/>
        </w:rPr>
        <w:t>AUDA-</w:t>
      </w:r>
      <w:r w:rsidR="00F90190" w:rsidRPr="008B3F33">
        <w:rPr>
          <w:rFonts w:ascii="Verdana" w:hAnsi="Verdana" w:cs="Calibri"/>
          <w:sz w:val="20"/>
          <w:szCs w:val="20"/>
        </w:rPr>
        <w:t xml:space="preserve">NEPAD est l’entité de mise en œuvre du plan d’action de Kampala de l’UA sur la sécurité alimentaire. </w:t>
      </w:r>
      <w:r w:rsidR="00197271" w:rsidRPr="008B3F33">
        <w:rPr>
          <w:rFonts w:ascii="Verdana" w:hAnsi="Verdana" w:cs="Calibri"/>
          <w:sz w:val="20"/>
          <w:szCs w:val="20"/>
        </w:rPr>
        <w:t>Elle</w:t>
      </w:r>
      <w:r w:rsidR="00F90190" w:rsidRPr="008B3F33">
        <w:rPr>
          <w:rFonts w:ascii="Verdana" w:hAnsi="Verdana" w:cs="Calibri"/>
          <w:sz w:val="20"/>
          <w:szCs w:val="20"/>
        </w:rPr>
        <w:t xml:space="preserve"> propose que la COI soit impliquée (i) dans la mobilisation des </w:t>
      </w:r>
      <w:r w:rsidR="006023BA" w:rsidRPr="008B3F33">
        <w:rPr>
          <w:rFonts w:ascii="Verdana" w:hAnsi="Verdana" w:cs="Calibri"/>
          <w:sz w:val="20"/>
          <w:szCs w:val="20"/>
        </w:rPr>
        <w:t>États</w:t>
      </w:r>
      <w:r w:rsidR="00F90190" w:rsidRPr="008B3F33">
        <w:rPr>
          <w:rFonts w:ascii="Verdana" w:hAnsi="Verdana" w:cs="Calibri"/>
          <w:sz w:val="20"/>
          <w:szCs w:val="20"/>
        </w:rPr>
        <w:t xml:space="preserve"> membres pour une prise en compte des spécificités insulaires et (ii) dans l’identification des indicateurs de la stratégie plus particulièrement des indicateurs spécifiques pour les </w:t>
      </w:r>
      <w:r w:rsidR="001043FD" w:rsidRPr="008B3F33">
        <w:rPr>
          <w:rFonts w:ascii="Verdana" w:hAnsi="Verdana" w:cs="Calibri"/>
          <w:sz w:val="20"/>
          <w:szCs w:val="20"/>
        </w:rPr>
        <w:t xml:space="preserve">Petits </w:t>
      </w:r>
      <w:r w:rsidR="00943011">
        <w:rPr>
          <w:rFonts w:ascii="Verdana" w:hAnsi="Verdana" w:cs="Calibri"/>
          <w:sz w:val="20"/>
          <w:szCs w:val="20"/>
        </w:rPr>
        <w:t>É</w:t>
      </w:r>
      <w:r w:rsidR="00943011" w:rsidRPr="008B3F33">
        <w:rPr>
          <w:rFonts w:ascii="Verdana" w:hAnsi="Verdana" w:cs="Calibri"/>
          <w:sz w:val="20"/>
          <w:szCs w:val="20"/>
        </w:rPr>
        <w:t>tats</w:t>
      </w:r>
      <w:r w:rsidR="001043FD" w:rsidRPr="008B3F33">
        <w:rPr>
          <w:rFonts w:ascii="Verdana" w:hAnsi="Verdana" w:cs="Calibri"/>
          <w:sz w:val="20"/>
          <w:szCs w:val="20"/>
        </w:rPr>
        <w:t xml:space="preserve"> insulaires en développement</w:t>
      </w:r>
    </w:p>
    <w:p w14:paraId="77273A0C" w14:textId="17F59CF7"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e climat : </w:t>
      </w:r>
      <w:r w:rsidR="00197271" w:rsidRPr="008B3F33">
        <w:rPr>
          <w:rFonts w:ascii="Verdana" w:hAnsi="Verdana" w:cs="Calibri"/>
          <w:sz w:val="20"/>
          <w:szCs w:val="20"/>
        </w:rPr>
        <w:t>AUDA-</w:t>
      </w:r>
      <w:r w:rsidR="00F90190" w:rsidRPr="008B3F33">
        <w:rPr>
          <w:rFonts w:ascii="Verdana" w:hAnsi="Verdana" w:cs="Calibri"/>
          <w:sz w:val="20"/>
          <w:szCs w:val="20"/>
        </w:rPr>
        <w:t xml:space="preserve">NEPAD souhaite collaborer avec la COI sur les programmes permettant de mesurer le niveau d’atteinte des NDC dans les </w:t>
      </w:r>
      <w:r w:rsidR="006023BA" w:rsidRPr="008B3F33">
        <w:rPr>
          <w:rFonts w:ascii="Verdana" w:hAnsi="Verdana" w:cs="Calibri"/>
          <w:sz w:val="20"/>
          <w:szCs w:val="20"/>
        </w:rPr>
        <w:t>États</w:t>
      </w:r>
      <w:r w:rsidR="00F90190" w:rsidRPr="008B3F33">
        <w:rPr>
          <w:rFonts w:ascii="Verdana" w:hAnsi="Verdana" w:cs="Calibri"/>
          <w:sz w:val="20"/>
          <w:szCs w:val="20"/>
        </w:rPr>
        <w:t xml:space="preserve"> membres et souhaite impliquer la COI dans </w:t>
      </w:r>
      <w:r w:rsidR="00CE665C" w:rsidRPr="008B3F33">
        <w:rPr>
          <w:rFonts w:ascii="Verdana" w:hAnsi="Verdana" w:cs="Calibri"/>
          <w:sz w:val="20"/>
          <w:szCs w:val="20"/>
        </w:rPr>
        <w:t>la</w:t>
      </w:r>
      <w:r w:rsidR="00F90190" w:rsidRPr="008B3F33">
        <w:rPr>
          <w:rFonts w:ascii="Verdana" w:hAnsi="Verdana" w:cs="Calibri"/>
          <w:sz w:val="20"/>
          <w:szCs w:val="20"/>
        </w:rPr>
        <w:t xml:space="preserve"> plateforme </w:t>
      </w:r>
      <w:r w:rsidR="00CE665C" w:rsidRPr="008B3F33">
        <w:rPr>
          <w:rFonts w:ascii="Verdana" w:hAnsi="Verdana" w:cs="Calibri"/>
          <w:sz w:val="20"/>
          <w:szCs w:val="20"/>
        </w:rPr>
        <w:t>de gestion de</w:t>
      </w:r>
      <w:r w:rsidR="00943011">
        <w:rPr>
          <w:rFonts w:ascii="Verdana" w:hAnsi="Verdana" w:cs="Calibri"/>
          <w:sz w:val="20"/>
          <w:szCs w:val="20"/>
        </w:rPr>
        <w:t>s</w:t>
      </w:r>
      <w:r w:rsidR="00CE665C" w:rsidRPr="008B3F33">
        <w:rPr>
          <w:rFonts w:ascii="Verdana" w:hAnsi="Verdana" w:cs="Calibri"/>
          <w:sz w:val="20"/>
          <w:szCs w:val="20"/>
        </w:rPr>
        <w:t xml:space="preserve"> risque</w:t>
      </w:r>
      <w:r w:rsidR="00943011">
        <w:rPr>
          <w:rFonts w:ascii="Verdana" w:hAnsi="Verdana" w:cs="Calibri"/>
          <w:sz w:val="20"/>
          <w:szCs w:val="20"/>
        </w:rPr>
        <w:t>s</w:t>
      </w:r>
      <w:r w:rsidR="00CE665C" w:rsidRPr="008B3F33">
        <w:rPr>
          <w:rFonts w:ascii="Verdana" w:hAnsi="Verdana" w:cs="Calibri"/>
          <w:sz w:val="20"/>
          <w:szCs w:val="20"/>
        </w:rPr>
        <w:t xml:space="preserve"> et catastrophe</w:t>
      </w:r>
      <w:r w:rsidR="00F90190" w:rsidRPr="008B3F33">
        <w:rPr>
          <w:rFonts w:ascii="Verdana" w:hAnsi="Verdana" w:cs="Calibri"/>
          <w:sz w:val="20"/>
          <w:szCs w:val="20"/>
        </w:rPr>
        <w:t xml:space="preserve">. </w:t>
      </w:r>
    </w:p>
    <w:p w14:paraId="1E0EBDB0" w14:textId="6D89570C" w:rsidR="00F90190" w:rsidRPr="008B3F33" w:rsidRDefault="00F90190" w:rsidP="00AE1C8F">
      <w:pPr>
        <w:jc w:val="both"/>
        <w:rPr>
          <w:rFonts w:ascii="Verdana" w:hAnsi="Verdana" w:cs="Calibri"/>
          <w:sz w:val="20"/>
          <w:szCs w:val="20"/>
        </w:rPr>
      </w:pPr>
      <w:r w:rsidRPr="008B3F33">
        <w:rPr>
          <w:rFonts w:ascii="Verdana" w:hAnsi="Verdana" w:cs="Calibri"/>
          <w:sz w:val="20"/>
          <w:szCs w:val="20"/>
        </w:rPr>
        <w:lastRenderedPageBreak/>
        <w:t xml:space="preserve">Sur le plan institutionnel, il a été proposé que le </w:t>
      </w:r>
      <w:r w:rsidR="00AE1C8F" w:rsidRPr="008B3F33">
        <w:rPr>
          <w:rFonts w:ascii="Verdana" w:hAnsi="Verdana" w:cs="Calibri"/>
          <w:sz w:val="20"/>
          <w:szCs w:val="20"/>
        </w:rPr>
        <w:t>AUDA-</w:t>
      </w:r>
      <w:r w:rsidRPr="008B3F33">
        <w:rPr>
          <w:rFonts w:ascii="Verdana" w:hAnsi="Verdana" w:cs="Calibri"/>
          <w:sz w:val="20"/>
          <w:szCs w:val="20"/>
        </w:rPr>
        <w:t xml:space="preserve">NEPAD transmette un modèle type de </w:t>
      </w:r>
      <w:proofErr w:type="spellStart"/>
      <w:r w:rsidRPr="008B3F33">
        <w:rPr>
          <w:rFonts w:ascii="Verdana" w:hAnsi="Verdana" w:cs="Calibri"/>
          <w:sz w:val="20"/>
          <w:szCs w:val="20"/>
        </w:rPr>
        <w:t>MoU</w:t>
      </w:r>
      <w:proofErr w:type="spellEnd"/>
      <w:r w:rsidRPr="008B3F33">
        <w:rPr>
          <w:rFonts w:ascii="Verdana" w:hAnsi="Verdana" w:cs="Calibri"/>
          <w:sz w:val="20"/>
          <w:szCs w:val="20"/>
        </w:rPr>
        <w:t xml:space="preserve"> assorti d’un plan d’action pour baliser la coopération. </w:t>
      </w:r>
    </w:p>
    <w:p w14:paraId="40F0E692" w14:textId="57F6A6D5" w:rsidR="009F3F50" w:rsidRPr="008B3F33" w:rsidRDefault="009F3F50" w:rsidP="009F3F50">
      <w:pPr>
        <w:pStyle w:val="Sous-partie2"/>
      </w:pPr>
      <w:r w:rsidRPr="008B3F33">
        <w:t>Secrétariat de la Communauté de développement de l'Afrique australe (SADC)</w:t>
      </w:r>
    </w:p>
    <w:p w14:paraId="609F4AE3" w14:textId="5E21CC96" w:rsidR="00C80699" w:rsidRPr="008B3F33" w:rsidRDefault="009F3F50" w:rsidP="001A7997">
      <w:pPr>
        <w:jc w:val="both"/>
        <w:rPr>
          <w:rFonts w:ascii="Verdana" w:eastAsia="Verdana" w:hAnsi="Verdana" w:cs="Verdana"/>
          <w:sz w:val="20"/>
          <w:szCs w:val="20"/>
        </w:rPr>
      </w:pPr>
      <w:r w:rsidRPr="008B3F33">
        <w:rPr>
          <w:rFonts w:ascii="Verdana" w:hAnsi="Verdana" w:cs="Calibri"/>
          <w:sz w:val="20"/>
          <w:szCs w:val="20"/>
        </w:rPr>
        <w:t xml:space="preserve">Dans la poursuite de la collaboration technique initiée depuis 2023 en faveur de l’économie circulaire et des initiatives auxquelles la SADC a </w:t>
      </w:r>
      <w:r w:rsidR="001A7997" w:rsidRPr="008B3F33">
        <w:rPr>
          <w:rFonts w:ascii="Verdana" w:hAnsi="Verdana" w:cs="Calibri"/>
          <w:sz w:val="20"/>
          <w:szCs w:val="20"/>
        </w:rPr>
        <w:t>associé</w:t>
      </w:r>
      <w:r w:rsidRPr="008B3F33">
        <w:rPr>
          <w:rFonts w:ascii="Verdana" w:hAnsi="Verdana" w:cs="Calibri"/>
          <w:sz w:val="20"/>
          <w:szCs w:val="20"/>
        </w:rPr>
        <w:t xml:space="preserve"> la COI, notamment la 8</w:t>
      </w:r>
      <w:r w:rsidRPr="008B3F33">
        <w:rPr>
          <w:rFonts w:ascii="Verdana" w:hAnsi="Verdana" w:cs="Calibri"/>
          <w:sz w:val="20"/>
          <w:szCs w:val="20"/>
          <w:vertAlign w:val="superscript"/>
        </w:rPr>
        <w:t>ème</w:t>
      </w:r>
      <w:r w:rsidRPr="008B3F33">
        <w:rPr>
          <w:rFonts w:ascii="Verdana" w:hAnsi="Verdana" w:cs="Calibri"/>
          <w:sz w:val="20"/>
          <w:szCs w:val="20"/>
        </w:rPr>
        <w:t xml:space="preserve"> </w:t>
      </w:r>
      <w:r w:rsidRPr="008B3F33">
        <w:rPr>
          <w:rFonts w:ascii="Verdana" w:eastAsia="Verdana" w:hAnsi="Verdana" w:cs="Verdana"/>
          <w:sz w:val="20"/>
          <w:szCs w:val="20"/>
        </w:rPr>
        <w:t>édition de la Semaine annuelle de l'industrialisation de la SADC, en juillet 2025, plusieurs sessions de travail ont été tenues entre les équipes des deux Secrétariats</w:t>
      </w:r>
      <w:r w:rsidR="001A7997" w:rsidRPr="008B3F33">
        <w:rPr>
          <w:rFonts w:ascii="Verdana" w:eastAsia="Verdana" w:hAnsi="Verdana" w:cs="Verdana"/>
          <w:sz w:val="20"/>
          <w:szCs w:val="20"/>
        </w:rPr>
        <w:t>, pour explorer davantage de synergie sur tous les sujets d’intérêt commun aux deux organisations</w:t>
      </w:r>
      <w:r w:rsidRPr="008B3F33">
        <w:rPr>
          <w:rFonts w:ascii="Verdana" w:eastAsia="Verdana" w:hAnsi="Verdana" w:cs="Verdana"/>
          <w:sz w:val="20"/>
          <w:szCs w:val="20"/>
        </w:rPr>
        <w:t>.</w:t>
      </w:r>
    </w:p>
    <w:p w14:paraId="0898893F" w14:textId="5599F108" w:rsidR="001A7997" w:rsidRPr="008B3F33" w:rsidRDefault="001A7997" w:rsidP="001A7997">
      <w:pPr>
        <w:jc w:val="both"/>
        <w:rPr>
          <w:rFonts w:ascii="Verdana" w:eastAsia="Verdana" w:hAnsi="Verdana" w:cs="Verdana"/>
          <w:sz w:val="20"/>
          <w:szCs w:val="20"/>
        </w:rPr>
      </w:pPr>
      <w:r w:rsidRPr="008B3F33">
        <w:rPr>
          <w:rFonts w:ascii="Verdana" w:eastAsia="Verdana" w:hAnsi="Verdana" w:cs="Verdana"/>
          <w:sz w:val="20"/>
          <w:szCs w:val="20"/>
        </w:rPr>
        <w:t xml:space="preserve">En outre, la SADC a associé la COI au lancement officiel de la composante SADC du programme ATCMA (Africa Trade </w:t>
      </w:r>
      <w:proofErr w:type="spellStart"/>
      <w:r w:rsidRPr="008B3F33">
        <w:rPr>
          <w:rFonts w:ascii="Verdana" w:eastAsia="Verdana" w:hAnsi="Verdana" w:cs="Verdana"/>
          <w:sz w:val="20"/>
          <w:szCs w:val="20"/>
        </w:rPr>
        <w:t>Competitiveness</w:t>
      </w:r>
      <w:proofErr w:type="spellEnd"/>
      <w:r w:rsidRPr="008B3F33">
        <w:rPr>
          <w:rFonts w:ascii="Verdana" w:eastAsia="Verdana" w:hAnsi="Verdana" w:cs="Verdana"/>
          <w:sz w:val="20"/>
          <w:szCs w:val="20"/>
        </w:rPr>
        <w:t xml:space="preserve"> and </w:t>
      </w:r>
      <w:proofErr w:type="spellStart"/>
      <w:r w:rsidRPr="008B3F33">
        <w:rPr>
          <w:rFonts w:ascii="Verdana" w:eastAsia="Verdana" w:hAnsi="Verdana" w:cs="Verdana"/>
          <w:sz w:val="20"/>
          <w:szCs w:val="20"/>
        </w:rPr>
        <w:t>Market</w:t>
      </w:r>
      <w:proofErr w:type="spellEnd"/>
      <w:r w:rsidRPr="008B3F33">
        <w:rPr>
          <w:rFonts w:ascii="Verdana" w:eastAsia="Verdana" w:hAnsi="Verdana" w:cs="Verdana"/>
          <w:sz w:val="20"/>
          <w:szCs w:val="20"/>
        </w:rPr>
        <w:t xml:space="preserve"> Access), qui améliorera l'accès au marché et la compétitivité à l'exportation des petites entreprises. Ce programme vise à renforcer les capacités commerciales et industrielles de l'Afrique en aidant les PME à améliorer la qualité et la compétitivité de leurs produits, à s'aligner sur les normes internationales et à accéder à de nouveaux marchés. Il soutiendra cinq composantes régionales - COMESA, EAC, CEEAC, CEDEAO et SADC - et une composante continentale dirigée par la Commission de l'Union africaine (CUA), avec un financement total de 200 millions d'euros de la part de l'Union européenne. Le programme est étroitement aligné sur l'Agenda 2063 de l'UA et ses initiatives phares continentales clés, notamment </w:t>
      </w:r>
      <w:r w:rsidR="00C80699" w:rsidRPr="008B3F33">
        <w:rPr>
          <w:rFonts w:ascii="Verdana" w:eastAsia="Verdana" w:hAnsi="Verdana" w:cs="Verdana"/>
          <w:sz w:val="20"/>
          <w:szCs w:val="20"/>
        </w:rPr>
        <w:t xml:space="preserve">la </w:t>
      </w:r>
      <w:proofErr w:type="spellStart"/>
      <w:r w:rsidR="00C80699" w:rsidRPr="008B3F33">
        <w:rPr>
          <w:rFonts w:ascii="Verdana" w:eastAsia="Verdana" w:hAnsi="Verdana" w:cs="Verdana"/>
          <w:sz w:val="20"/>
          <w:szCs w:val="20"/>
        </w:rPr>
        <w:t>ZLECAf</w:t>
      </w:r>
      <w:proofErr w:type="spellEnd"/>
      <w:r w:rsidR="00C80699" w:rsidRPr="008B3F33">
        <w:rPr>
          <w:rFonts w:ascii="Verdana" w:eastAsia="Verdana" w:hAnsi="Verdana" w:cs="Verdana"/>
          <w:sz w:val="20"/>
          <w:szCs w:val="20"/>
        </w:rPr>
        <w:t xml:space="preserve"> </w:t>
      </w:r>
      <w:r w:rsidRPr="008B3F33">
        <w:rPr>
          <w:rFonts w:ascii="Verdana" w:eastAsia="Verdana" w:hAnsi="Verdana" w:cs="Verdana"/>
          <w:sz w:val="20"/>
          <w:szCs w:val="20"/>
        </w:rPr>
        <w:t>et la stratégie de l'UA en faveur des PME, renforçant les efforts visant à stimuler l'intégration régionale, à soutenir les petites entreprises et à promouvoir le développement de la chaîne de valeur. Le volet continental de l'ATCMA et les initiatives régionales visent à stimuler la compétitivité des PME africaines et leur accès au marché en améliorant les normes, en supprimant les barrières commerciales, en soutenant l'accès au financement et en promouvant la valeur ajoutée et les technologies vertes pour un développement industriel durable et inclusif.</w:t>
      </w:r>
    </w:p>
    <w:p w14:paraId="6C0F8889" w14:textId="613A10FB" w:rsidR="009F3F50" w:rsidRPr="008B3F33" w:rsidRDefault="001A7997" w:rsidP="009F3F50">
      <w:pPr>
        <w:jc w:val="both"/>
        <w:rPr>
          <w:rFonts w:ascii="Verdana" w:hAnsi="Verdana" w:cs="Calibri"/>
          <w:sz w:val="20"/>
          <w:szCs w:val="20"/>
        </w:rPr>
      </w:pPr>
      <w:r w:rsidRPr="008B3F33">
        <w:rPr>
          <w:rFonts w:ascii="Verdana" w:eastAsia="Verdana" w:hAnsi="Verdana" w:cs="Verdana"/>
          <w:sz w:val="20"/>
          <w:szCs w:val="20"/>
        </w:rPr>
        <w:t>Ainsi, e</w:t>
      </w:r>
      <w:r w:rsidR="009F3F50" w:rsidRPr="008B3F33">
        <w:rPr>
          <w:rFonts w:ascii="Verdana" w:hAnsi="Verdana" w:cs="Calibri"/>
          <w:sz w:val="20"/>
          <w:szCs w:val="20"/>
        </w:rPr>
        <w:t>n vue de renforcer la collaboration entre la SADC et la COI</w:t>
      </w:r>
      <w:r w:rsidRPr="008B3F33">
        <w:rPr>
          <w:rFonts w:ascii="Verdana" w:hAnsi="Verdana" w:cs="Calibri"/>
          <w:sz w:val="20"/>
          <w:szCs w:val="20"/>
        </w:rPr>
        <w:t xml:space="preserve"> et de prendre en compte les intérêts et les spécificités insulaires dans le programme en cours de démarrage, la SADC souhaite formaliser un pro</w:t>
      </w:r>
      <w:r w:rsidR="009F3F50" w:rsidRPr="008B3F33">
        <w:rPr>
          <w:rFonts w:ascii="Verdana" w:hAnsi="Verdana" w:cs="Calibri"/>
          <w:sz w:val="20"/>
          <w:szCs w:val="20"/>
        </w:rPr>
        <w:t>tocole d’accord</w:t>
      </w:r>
      <w:r w:rsidRPr="008B3F33">
        <w:rPr>
          <w:rFonts w:ascii="Verdana" w:hAnsi="Verdana" w:cs="Calibri"/>
          <w:sz w:val="20"/>
          <w:szCs w:val="20"/>
        </w:rPr>
        <w:t xml:space="preserve"> de partenariat avec la COI sur </w:t>
      </w:r>
      <w:r w:rsidR="009F3F50" w:rsidRPr="008B3F33">
        <w:rPr>
          <w:rFonts w:ascii="Verdana" w:hAnsi="Verdana" w:cs="Calibri"/>
          <w:sz w:val="20"/>
          <w:szCs w:val="20"/>
        </w:rPr>
        <w:t>les thème</w:t>
      </w:r>
      <w:r w:rsidRPr="008B3F33">
        <w:rPr>
          <w:rFonts w:ascii="Verdana" w:hAnsi="Verdana" w:cs="Calibri"/>
          <w:sz w:val="20"/>
          <w:szCs w:val="20"/>
        </w:rPr>
        <w:t>s de l’i</w:t>
      </w:r>
      <w:r w:rsidR="009F3F50" w:rsidRPr="008B3F33">
        <w:rPr>
          <w:rFonts w:ascii="Verdana" w:hAnsi="Verdana" w:cs="Calibri"/>
          <w:sz w:val="20"/>
          <w:szCs w:val="20"/>
        </w:rPr>
        <w:t>ndustrie</w:t>
      </w:r>
      <w:r w:rsidRPr="008B3F33">
        <w:rPr>
          <w:rFonts w:ascii="Verdana" w:hAnsi="Verdana" w:cs="Calibri"/>
          <w:sz w:val="20"/>
          <w:szCs w:val="20"/>
        </w:rPr>
        <w:t>, le t</w:t>
      </w:r>
      <w:r w:rsidR="009F3F50" w:rsidRPr="008B3F33">
        <w:rPr>
          <w:rFonts w:ascii="Verdana" w:hAnsi="Verdana" w:cs="Calibri"/>
          <w:sz w:val="20"/>
          <w:szCs w:val="20"/>
        </w:rPr>
        <w:t>ourisme durable</w:t>
      </w:r>
      <w:r w:rsidRPr="008B3F33">
        <w:rPr>
          <w:rFonts w:ascii="Verdana" w:hAnsi="Verdana" w:cs="Calibri"/>
          <w:sz w:val="20"/>
          <w:szCs w:val="20"/>
        </w:rPr>
        <w:t>, l’économie circulaire et le d</w:t>
      </w:r>
      <w:r w:rsidR="009F3F50" w:rsidRPr="008B3F33">
        <w:rPr>
          <w:rFonts w:ascii="Verdana" w:hAnsi="Verdana" w:cs="Calibri"/>
          <w:sz w:val="20"/>
          <w:szCs w:val="20"/>
        </w:rPr>
        <w:t xml:space="preserve">éveloppement des PME </w:t>
      </w:r>
      <w:r w:rsidR="00943011">
        <w:rPr>
          <w:rFonts w:ascii="Verdana" w:hAnsi="Verdana" w:cs="Calibri"/>
          <w:sz w:val="20"/>
          <w:szCs w:val="20"/>
        </w:rPr>
        <w:t>ainsi que l’</w:t>
      </w:r>
      <w:r w:rsidR="009F3F50" w:rsidRPr="008B3F33">
        <w:rPr>
          <w:rFonts w:ascii="Verdana" w:hAnsi="Verdana" w:cs="Calibri"/>
          <w:sz w:val="20"/>
          <w:szCs w:val="20"/>
        </w:rPr>
        <w:t>entrepreneuriat</w:t>
      </w:r>
      <w:r w:rsidRPr="008B3F33">
        <w:rPr>
          <w:rFonts w:ascii="Verdana" w:hAnsi="Verdana" w:cs="Calibri"/>
          <w:sz w:val="20"/>
          <w:szCs w:val="20"/>
        </w:rPr>
        <w:t>.</w:t>
      </w:r>
    </w:p>
    <w:p w14:paraId="1DB2F31D" w14:textId="77777777" w:rsidR="001D1252" w:rsidRPr="008B3F33" w:rsidRDefault="001D1252" w:rsidP="009F3F50">
      <w:pPr>
        <w:jc w:val="both"/>
        <w:rPr>
          <w:rFonts w:ascii="Verdana" w:hAnsi="Verdana" w:cs="Calibri"/>
          <w:sz w:val="20"/>
          <w:szCs w:val="20"/>
        </w:rPr>
      </w:pPr>
    </w:p>
    <w:p w14:paraId="2F7F5914" w14:textId="608AD6BB" w:rsidR="00955BB3" w:rsidRPr="008B3F33" w:rsidRDefault="00955BB3" w:rsidP="00A70123">
      <w:pPr>
        <w:pStyle w:val="Titrepartie"/>
      </w:pPr>
      <w:r w:rsidRPr="008B3F33">
        <w:t>Proposition de décision</w:t>
      </w:r>
    </w:p>
    <w:p w14:paraId="05F1F967" w14:textId="5C962838" w:rsidR="0008468B" w:rsidRPr="008B3F33" w:rsidRDefault="0008468B" w:rsidP="00FE285D">
      <w:pPr>
        <w:pStyle w:val="Paragraphe"/>
      </w:pPr>
      <w:bookmarkStart w:id="3" w:name="_Hlk213057808"/>
      <w:r w:rsidRPr="008B3F33">
        <w:t>Le Comité des OPL</w:t>
      </w:r>
      <w:r w:rsidR="001A7949" w:rsidRPr="008B3F33">
        <w:t xml:space="preserve"> </w:t>
      </w:r>
      <w:r w:rsidR="00A76B07" w:rsidRPr="008B3F33">
        <w:t>:</w:t>
      </w:r>
    </w:p>
    <w:p w14:paraId="16BA9339" w14:textId="7A9EA4CE" w:rsidR="00FF37ED" w:rsidRDefault="00FF37ED" w:rsidP="00233E92">
      <w:pPr>
        <w:pStyle w:val="Paragraphedeliste"/>
        <w:numPr>
          <w:ilvl w:val="0"/>
          <w:numId w:val="6"/>
        </w:numPr>
        <w:jc w:val="both"/>
        <w:rPr>
          <w:rFonts w:ascii="Verdana" w:hAnsi="Verdana" w:cs="Calibri"/>
          <w:sz w:val="20"/>
          <w:szCs w:val="20"/>
        </w:rPr>
      </w:pPr>
      <w:bookmarkStart w:id="4" w:name="_Hlk211590340"/>
      <w:r w:rsidRPr="00407B38">
        <w:rPr>
          <w:rFonts w:ascii="Verdana" w:hAnsi="Verdana" w:cs="Calibri"/>
          <w:sz w:val="20"/>
          <w:szCs w:val="20"/>
        </w:rPr>
        <w:t>Prend note</w:t>
      </w:r>
    </w:p>
    <w:p w14:paraId="0CB68576" w14:textId="39909486" w:rsidR="00407B38" w:rsidRDefault="00407B38" w:rsidP="00FF37ED">
      <w:pPr>
        <w:pStyle w:val="Paragraphedeliste"/>
        <w:numPr>
          <w:ilvl w:val="1"/>
          <w:numId w:val="20"/>
        </w:numPr>
        <w:jc w:val="both"/>
        <w:rPr>
          <w:rFonts w:ascii="Verdana" w:hAnsi="Verdana" w:cs="Calibri"/>
          <w:sz w:val="20"/>
          <w:szCs w:val="20"/>
        </w:rPr>
      </w:pPr>
      <w:proofErr w:type="gramStart"/>
      <w:r w:rsidRPr="00407B38">
        <w:rPr>
          <w:rFonts w:ascii="Verdana" w:hAnsi="Verdana" w:cs="Calibri"/>
          <w:sz w:val="20"/>
          <w:szCs w:val="20"/>
        </w:rPr>
        <w:t>des</w:t>
      </w:r>
      <w:proofErr w:type="gramEnd"/>
      <w:r w:rsidRPr="00407B38">
        <w:rPr>
          <w:rFonts w:ascii="Verdana" w:hAnsi="Verdana" w:cs="Calibri"/>
          <w:sz w:val="20"/>
          <w:szCs w:val="20"/>
        </w:rPr>
        <w:t xml:space="preserve"> dernières recommandations émises par les États membres et demande au Secrétariat général de poursuivre les échanges avec ces derniers en vue </w:t>
      </w:r>
      <w:r>
        <w:rPr>
          <w:rFonts w:ascii="Verdana" w:hAnsi="Verdana" w:cs="Calibri"/>
          <w:sz w:val="20"/>
          <w:szCs w:val="20"/>
        </w:rPr>
        <w:t>de la finalisation de l’accord-cadre de partenariat actualisé</w:t>
      </w:r>
      <w:r w:rsidRPr="00407B38">
        <w:rPr>
          <w:rFonts w:ascii="Verdana" w:hAnsi="Verdana" w:cs="Calibri"/>
          <w:sz w:val="20"/>
          <w:szCs w:val="20"/>
        </w:rPr>
        <w:t xml:space="preserve"> avec l’Organisation internationale de la Francophonie </w:t>
      </w:r>
      <w:r>
        <w:rPr>
          <w:rFonts w:ascii="Verdana" w:hAnsi="Verdana" w:cs="Calibri"/>
          <w:sz w:val="20"/>
          <w:szCs w:val="20"/>
        </w:rPr>
        <w:t>d’ici les</w:t>
      </w:r>
      <w:r w:rsidRPr="00407B38">
        <w:rPr>
          <w:rFonts w:ascii="Verdana" w:hAnsi="Verdana" w:cs="Calibri"/>
          <w:sz w:val="20"/>
          <w:szCs w:val="20"/>
        </w:rPr>
        <w:t xml:space="preserve"> prochaines instances ;</w:t>
      </w:r>
    </w:p>
    <w:bookmarkEnd w:id="4"/>
    <w:p w14:paraId="3189E144" w14:textId="2C9FA02A" w:rsidR="001A7949" w:rsidRPr="008B3F33" w:rsidRDefault="001A7949" w:rsidP="00FF37ED">
      <w:pPr>
        <w:pStyle w:val="Paragraphe"/>
        <w:numPr>
          <w:ilvl w:val="1"/>
          <w:numId w:val="20"/>
        </w:numPr>
      </w:pPr>
      <w:proofErr w:type="gramStart"/>
      <w:r w:rsidRPr="008B3F33">
        <w:t>de</w:t>
      </w:r>
      <w:proofErr w:type="gramEnd"/>
      <w:r w:rsidRPr="008B3F33">
        <w:t xml:space="preserve"> la signature des cadres de partenariat avec </w:t>
      </w:r>
      <w:r w:rsidR="003C4DF1">
        <w:t xml:space="preserve">le </w:t>
      </w:r>
      <w:r w:rsidRPr="008B3F33">
        <w:t xml:space="preserve">COMESA, </w:t>
      </w:r>
      <w:r w:rsidR="003C4DF1">
        <w:t>l’</w:t>
      </w:r>
      <w:r w:rsidRPr="008B3F33">
        <w:t xml:space="preserve">OIT, </w:t>
      </w:r>
      <w:r w:rsidR="00BF6147">
        <w:t>Cap Business Océan Indien (</w:t>
      </w:r>
      <w:r w:rsidRPr="008B3F33">
        <w:t>CBOI</w:t>
      </w:r>
      <w:r w:rsidR="00BF6147">
        <w:t>)</w:t>
      </w:r>
      <w:r w:rsidR="003C4DF1">
        <w:t xml:space="preserve"> et l’</w:t>
      </w:r>
      <w:r w:rsidRPr="008B3F33">
        <w:t>APIOI</w:t>
      </w:r>
      <w:r w:rsidR="000841E9">
        <w:t> ;</w:t>
      </w:r>
    </w:p>
    <w:p w14:paraId="2EF98790" w14:textId="02D042A1" w:rsidR="0008468B" w:rsidRPr="008B3F33" w:rsidRDefault="001A7949" w:rsidP="00FF37ED">
      <w:pPr>
        <w:pStyle w:val="Paragraphe"/>
        <w:numPr>
          <w:ilvl w:val="1"/>
          <w:numId w:val="20"/>
        </w:numPr>
      </w:pPr>
      <w:proofErr w:type="gramStart"/>
      <w:r w:rsidRPr="008B3F33">
        <w:t>de</w:t>
      </w:r>
      <w:proofErr w:type="gramEnd"/>
      <w:r w:rsidRPr="008B3F33">
        <w:t xml:space="preserve"> l’avancement des discussions avec l’OEACP et l’OCDE et encourage le Secrétariat général à poursuivre la collaboration avec ces institutions, en vue de la formalisation des cadres de partenariat</w:t>
      </w:r>
      <w:r w:rsidR="00C80699" w:rsidRPr="008B3F33">
        <w:t xml:space="preserve"> en concertation avec les </w:t>
      </w:r>
      <w:r w:rsidR="006023BA" w:rsidRPr="008B3F33">
        <w:t>États</w:t>
      </w:r>
      <w:r w:rsidR="00C80699" w:rsidRPr="008B3F33">
        <w:t xml:space="preserve"> membres</w:t>
      </w:r>
      <w:r w:rsidR="000841E9">
        <w:t> ;</w:t>
      </w:r>
    </w:p>
    <w:p w14:paraId="5B448529" w14:textId="0DED4CDB" w:rsidR="00AE1C8F" w:rsidRPr="008B3F33" w:rsidRDefault="00AE1C8F" w:rsidP="00FE285D">
      <w:pPr>
        <w:pStyle w:val="Paragraphe"/>
        <w:numPr>
          <w:ilvl w:val="0"/>
          <w:numId w:val="6"/>
        </w:numPr>
      </w:pPr>
      <w:r w:rsidRPr="008B3F33">
        <w:lastRenderedPageBreak/>
        <w:t xml:space="preserve">Demande au Secrétariat général de proposer </w:t>
      </w:r>
      <w:r w:rsidR="00C80699" w:rsidRPr="008B3F33">
        <w:t xml:space="preserve">aux prochaines instances des </w:t>
      </w:r>
      <w:r w:rsidRPr="008B3F33">
        <w:t>cadre</w:t>
      </w:r>
      <w:r w:rsidR="00C80699" w:rsidRPr="008B3F33">
        <w:t>s</w:t>
      </w:r>
      <w:r w:rsidRPr="008B3F33">
        <w:t xml:space="preserve"> de partenariat avec AUDA-NEPAD</w:t>
      </w:r>
      <w:r w:rsidR="00C80699" w:rsidRPr="008B3F33">
        <w:t xml:space="preserve"> et avec la SADC afin de formaliser les collaborations sur les sujets d’intérêt commun</w:t>
      </w:r>
      <w:r w:rsidRPr="008B3F33">
        <w:t>.</w:t>
      </w:r>
    </w:p>
    <w:bookmarkEnd w:id="3"/>
    <w:p w14:paraId="495CA3D7" w14:textId="77777777" w:rsidR="0008468B" w:rsidRPr="008B3F33" w:rsidRDefault="0008468B" w:rsidP="0008468B">
      <w:pPr>
        <w:jc w:val="both"/>
        <w:rPr>
          <w:rFonts w:ascii="Verdana" w:hAnsi="Verdana" w:cs="Calibri"/>
          <w:sz w:val="20"/>
          <w:szCs w:val="20"/>
        </w:rPr>
      </w:pPr>
    </w:p>
    <w:p w14:paraId="7EAEB404" w14:textId="72ACB4A7" w:rsidR="00955BB3" w:rsidRPr="008B3F33" w:rsidRDefault="00955BB3" w:rsidP="00FE285D">
      <w:pPr>
        <w:pStyle w:val="Titrepartie"/>
      </w:pPr>
      <w:r w:rsidRPr="008B3F33">
        <w:t>Rappel des décisions antérieures</w:t>
      </w:r>
    </w:p>
    <w:bookmarkEnd w:id="0"/>
    <w:p w14:paraId="3BDFE1E7" w14:textId="77777777" w:rsidR="009D297E" w:rsidRPr="008B3F33" w:rsidRDefault="006368FC" w:rsidP="006368FC">
      <w:pPr>
        <w:pStyle w:val="Paragraphe"/>
        <w:numPr>
          <w:ilvl w:val="0"/>
          <w:numId w:val="17"/>
        </w:numPr>
      </w:pPr>
      <w:r w:rsidRPr="008B3F33">
        <w:rPr>
          <w:b/>
          <w:bCs/>
          <w:i/>
          <w:iCs/>
        </w:rPr>
        <w:t>cf. Décision 5d), priorité de la présidence en exercice, 37ème conseil des ministres de la COI</w:t>
      </w:r>
      <w:r w:rsidR="009D297E" w:rsidRPr="008B3F33">
        <w:rPr>
          <w:b/>
          <w:bCs/>
          <w:i/>
          <w:iCs/>
        </w:rPr>
        <w:t>, 17 mai 2023</w:t>
      </w:r>
      <w:r w:rsidRPr="008B3F33">
        <w:rPr>
          <w:b/>
          <w:bCs/>
          <w:i/>
          <w:iCs/>
        </w:rPr>
        <w:t xml:space="preserve"> : </w:t>
      </w:r>
    </w:p>
    <w:p w14:paraId="1393F775" w14:textId="1BB9A446" w:rsidR="006368FC" w:rsidRPr="008B3F33" w:rsidRDefault="006368FC" w:rsidP="009D297E">
      <w:pPr>
        <w:pStyle w:val="Paragraphe"/>
        <w:ind w:left="360"/>
      </w:pPr>
      <w:r w:rsidRPr="008B3F33">
        <w:t xml:space="preserve">Prend note des actions envisagées en faveur du développement des échanges économiques comme indiqué dans le PDS 2023-2033 ;  </w:t>
      </w:r>
    </w:p>
    <w:p w14:paraId="49817418" w14:textId="09B9A060" w:rsidR="00ED3DD8" w:rsidRPr="008B3F33" w:rsidRDefault="006368FC" w:rsidP="00ED3DD8">
      <w:pPr>
        <w:pStyle w:val="Paragraphe"/>
        <w:numPr>
          <w:ilvl w:val="0"/>
          <w:numId w:val="17"/>
        </w:numPr>
      </w:pPr>
      <w:r w:rsidRPr="008B3F33">
        <w:rPr>
          <w:b/>
          <w:bCs/>
          <w:i/>
          <w:iCs/>
        </w:rPr>
        <w:t>cf. Décision 4</w:t>
      </w:r>
      <w:r w:rsidR="00ED3DD8" w:rsidRPr="008B3F33">
        <w:rPr>
          <w:b/>
          <w:bCs/>
          <w:i/>
          <w:iCs/>
        </w:rPr>
        <w:t xml:space="preserve">b) et 4c) </w:t>
      </w:r>
      <w:r w:rsidRPr="008B3F33">
        <w:rPr>
          <w:b/>
          <w:bCs/>
          <w:i/>
          <w:iCs/>
        </w:rPr>
        <w:t>du Comité des Officiers permanents de liaison (OPL) 01/2024</w:t>
      </w:r>
      <w:r w:rsidR="009D297E" w:rsidRPr="008B3F33">
        <w:rPr>
          <w:b/>
          <w:bCs/>
          <w:i/>
          <w:iCs/>
        </w:rPr>
        <w:t>, 22 et 23 avril 2024</w:t>
      </w:r>
      <w:r w:rsidR="00ED3DD8" w:rsidRPr="008B3F33">
        <w:rPr>
          <w:b/>
          <w:bCs/>
          <w:i/>
          <w:iCs/>
        </w:rPr>
        <w:t> :</w:t>
      </w:r>
    </w:p>
    <w:p w14:paraId="1D95B8D5" w14:textId="064F979C" w:rsidR="00ED3DD8" w:rsidRPr="008B3F33" w:rsidRDefault="00ED3DD8" w:rsidP="00ED3DD8">
      <w:pPr>
        <w:pStyle w:val="Paragraphe"/>
        <w:ind w:left="360"/>
      </w:pPr>
      <w:r w:rsidRPr="008B3F33">
        <w:t xml:space="preserve">Demande au Secrétariat général de proposer un cadre de partenariat avec l’Organisation des </w:t>
      </w:r>
      <w:proofErr w:type="spellStart"/>
      <w:r w:rsidRPr="008B3F33">
        <w:t>Etats</w:t>
      </w:r>
      <w:proofErr w:type="spellEnd"/>
      <w:r w:rsidRPr="008B3F33">
        <w:t xml:space="preserve"> d’Afrique, Caraïbes et Pacifique (OEACP) dans une perspective de prise en compte des intérêts insulaires de l’Afrique et de l’océan Indien dans le cadre des prochains programmes de l’OEACP tel que prévu par l’accord de Samoa.</w:t>
      </w:r>
    </w:p>
    <w:p w14:paraId="13E07FC6" w14:textId="77777777" w:rsidR="00ED3DD8" w:rsidRPr="008B3F33" w:rsidRDefault="00ED3DD8" w:rsidP="00ED3DD8">
      <w:pPr>
        <w:pStyle w:val="Paragraphe"/>
        <w:ind w:left="360"/>
      </w:pPr>
      <w:r w:rsidRPr="008B3F33">
        <w:t xml:space="preserve">Demande au Secrétariat général de proposer un cadre de partenariat avec l’Organisation de coopération et de développement économiques (OCDE) permettant de tenir compte systématiquement des singularités insulaires des </w:t>
      </w:r>
      <w:proofErr w:type="spellStart"/>
      <w:r w:rsidRPr="008B3F33">
        <w:t>Etats</w:t>
      </w:r>
      <w:proofErr w:type="spellEnd"/>
      <w:r w:rsidRPr="008B3F33">
        <w:t xml:space="preserve"> membres de la COI.  </w:t>
      </w:r>
    </w:p>
    <w:p w14:paraId="572602FC" w14:textId="09F7680F" w:rsidR="009D297E" w:rsidRPr="008B3F33" w:rsidRDefault="009D297E" w:rsidP="009D297E">
      <w:pPr>
        <w:pStyle w:val="Paragraphe"/>
        <w:numPr>
          <w:ilvl w:val="0"/>
          <w:numId w:val="17"/>
        </w:numPr>
        <w:rPr>
          <w:b/>
          <w:bCs/>
          <w:i/>
          <w:iCs/>
        </w:rPr>
      </w:pPr>
      <w:r w:rsidRPr="008B3F33">
        <w:rPr>
          <w:b/>
          <w:bCs/>
          <w:i/>
          <w:iCs/>
        </w:rPr>
        <w:t>cf. Décision 3) du 38ème Conseil des ministres de la COI, 16 mai 2024 :</w:t>
      </w:r>
    </w:p>
    <w:p w14:paraId="55CB04AE" w14:textId="3488CB53" w:rsidR="009D297E" w:rsidRPr="008B3F33" w:rsidRDefault="009D297E" w:rsidP="009D297E">
      <w:pPr>
        <w:pStyle w:val="Sous-partie2"/>
        <w:numPr>
          <w:ilvl w:val="0"/>
          <w:numId w:val="0"/>
        </w:numPr>
        <w:ind w:left="360"/>
        <w:rPr>
          <w:color w:val="auto"/>
        </w:rPr>
      </w:pPr>
      <w:r w:rsidRPr="008B3F33">
        <w:rPr>
          <w:color w:val="auto"/>
        </w:rPr>
        <w:t>Approuve les projets d’accords avec l’Organisation internationale du travail (OIT), Cap Business océan Indien (CBOI) et l’Association des ports des îles de l’océan Indien (APIOI) et autorise leur signature par le Secrétaire général.</w:t>
      </w:r>
    </w:p>
    <w:p w14:paraId="16E18EB7" w14:textId="269291D8" w:rsidR="006368FC" w:rsidRPr="008B3F33" w:rsidRDefault="006368FC" w:rsidP="00907B69">
      <w:pPr>
        <w:pStyle w:val="Paragraphe"/>
        <w:ind w:left="360"/>
      </w:pPr>
    </w:p>
    <w:p w14:paraId="1D6F1669" w14:textId="72833CAD" w:rsidR="00417683" w:rsidRPr="008B3F33" w:rsidRDefault="00417683" w:rsidP="00060CA0">
      <w:pPr>
        <w:pStyle w:val="Titrepartie"/>
      </w:pPr>
      <w:r w:rsidRPr="008B3F33">
        <w:t>Annexe</w:t>
      </w:r>
      <w:r w:rsidR="008F173C" w:rsidRPr="008B3F33">
        <w:t>s</w:t>
      </w:r>
      <w:r w:rsidRPr="008B3F33">
        <w:t> :</w:t>
      </w:r>
    </w:p>
    <w:p w14:paraId="374F3417" w14:textId="74F0F7B5" w:rsidR="00C325F5" w:rsidRPr="008B3F33" w:rsidRDefault="00620B90" w:rsidP="00620B90">
      <w:pPr>
        <w:pStyle w:val="Paragraphe"/>
        <w:numPr>
          <w:ilvl w:val="0"/>
          <w:numId w:val="9"/>
        </w:numPr>
      </w:pPr>
      <w:r w:rsidRPr="008B3F33">
        <w:t xml:space="preserve">Annexe 1 : </w:t>
      </w:r>
      <w:r w:rsidR="009D297E" w:rsidRPr="008B3F33">
        <w:t>Accord cadre de partenariat avec l’Organisation internationale de la Francophonie</w:t>
      </w:r>
      <w:r w:rsidR="005A6922" w:rsidRPr="008B3F33">
        <w:t xml:space="preserve"> révisé</w:t>
      </w:r>
    </w:p>
    <w:sectPr w:rsidR="00C325F5" w:rsidRPr="008B3F33"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4D54" w14:textId="77777777" w:rsidR="00AC7F30" w:rsidRDefault="00AC7F30">
      <w:pPr>
        <w:spacing w:after="0" w:line="240" w:lineRule="auto"/>
      </w:pPr>
      <w:r>
        <w:separator/>
      </w:r>
    </w:p>
  </w:endnote>
  <w:endnote w:type="continuationSeparator" w:id="0">
    <w:p w14:paraId="5D1F703B" w14:textId="77777777" w:rsidR="00AC7F30" w:rsidRDefault="00AC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4010" w14:textId="77777777" w:rsidR="00AC7F30" w:rsidRDefault="00AC7F30">
      <w:pPr>
        <w:spacing w:after="0" w:line="240" w:lineRule="auto"/>
      </w:pPr>
      <w:r>
        <w:separator/>
      </w:r>
    </w:p>
  </w:footnote>
  <w:footnote w:type="continuationSeparator" w:id="0">
    <w:p w14:paraId="3CA3670D" w14:textId="77777777" w:rsidR="00AC7F30" w:rsidRDefault="00AC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E2AA0F" w:rsidR="00AA63A3" w:rsidRDefault="00854EEA" w:rsidP="00995229">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95229">
      <w:rPr>
        <w:rFonts w:ascii="Verdana" w:hAnsi="Verdana"/>
        <w:b/>
        <w:bCs/>
        <w:sz w:val="20"/>
        <w:szCs w:val="20"/>
      </w:rPr>
      <w:t>1.5</w:t>
    </w:r>
  </w:p>
  <w:p w14:paraId="4C5E656A" w14:textId="77777777" w:rsidR="00C80699" w:rsidRDefault="00C80699" w:rsidP="00C8069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DAE"/>
    <w:multiLevelType w:val="hybridMultilevel"/>
    <w:tmpl w:val="87B484A6"/>
    <w:lvl w:ilvl="0" w:tplc="FFFFFFFF">
      <w:start w:val="1"/>
      <w:numFmt w:val="lowerLetter"/>
      <w:lvlText w:val="%1)"/>
      <w:lvlJc w:val="left"/>
      <w:pPr>
        <w:ind w:left="720" w:hanging="360"/>
      </w:pPr>
    </w:lvl>
    <w:lvl w:ilvl="1" w:tplc="FEB89B52">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F554EF"/>
    <w:multiLevelType w:val="hybridMultilevel"/>
    <w:tmpl w:val="D362025A"/>
    <w:lvl w:ilvl="0" w:tplc="8208CE9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605840"/>
    <w:multiLevelType w:val="hybridMultilevel"/>
    <w:tmpl w:val="B6708742"/>
    <w:lvl w:ilvl="0" w:tplc="FFFFFFFF">
      <w:start w:val="1"/>
      <w:numFmt w:val="lowerLetter"/>
      <w:lvlText w:val="%1)"/>
      <w:lvlJc w:val="left"/>
      <w:pPr>
        <w:ind w:left="720" w:hanging="360"/>
      </w:pPr>
    </w:lvl>
    <w:lvl w:ilvl="1" w:tplc="040C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EB470B"/>
    <w:multiLevelType w:val="multilevel"/>
    <w:tmpl w:val="8752B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8D0FA9"/>
    <w:multiLevelType w:val="hybridMultilevel"/>
    <w:tmpl w:val="213EC2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47308760">
    <w:abstractNumId w:val="6"/>
  </w:num>
  <w:num w:numId="2" w16cid:durableId="1268386909">
    <w:abstractNumId w:val="11"/>
  </w:num>
  <w:num w:numId="3" w16cid:durableId="217471169">
    <w:abstractNumId w:val="3"/>
  </w:num>
  <w:num w:numId="4" w16cid:durableId="1294939931">
    <w:abstractNumId w:val="1"/>
  </w:num>
  <w:num w:numId="5" w16cid:durableId="1229994288">
    <w:abstractNumId w:val="10"/>
  </w:num>
  <w:num w:numId="6" w16cid:durableId="1306469656">
    <w:abstractNumId w:val="4"/>
  </w:num>
  <w:num w:numId="7" w16cid:durableId="509443096">
    <w:abstractNumId w:val="7"/>
  </w:num>
  <w:num w:numId="8" w16cid:durableId="1579167283">
    <w:abstractNumId w:val="3"/>
    <w:lvlOverride w:ilvl="0">
      <w:startOverride w:val="1"/>
    </w:lvlOverride>
  </w:num>
  <w:num w:numId="9" w16cid:durableId="573584003">
    <w:abstractNumId w:val="2"/>
  </w:num>
  <w:num w:numId="10" w16cid:durableId="920334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714366">
    <w:abstractNumId w:val="3"/>
  </w:num>
  <w:num w:numId="12" w16cid:durableId="1298025872">
    <w:abstractNumId w:val="5"/>
  </w:num>
  <w:num w:numId="13" w16cid:durableId="364602987">
    <w:abstractNumId w:val="3"/>
  </w:num>
  <w:num w:numId="14" w16cid:durableId="1964537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773908">
    <w:abstractNumId w:val="3"/>
  </w:num>
  <w:num w:numId="16" w16cid:durableId="709695611">
    <w:abstractNumId w:val="3"/>
  </w:num>
  <w:num w:numId="17" w16cid:durableId="799956313">
    <w:abstractNumId w:val="12"/>
  </w:num>
  <w:num w:numId="18" w16cid:durableId="846215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167725">
    <w:abstractNumId w:val="8"/>
  </w:num>
  <w:num w:numId="20" w16cid:durableId="122548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6E4D"/>
    <w:rsid w:val="00024478"/>
    <w:rsid w:val="00033724"/>
    <w:rsid w:val="000373B2"/>
    <w:rsid w:val="00042CF5"/>
    <w:rsid w:val="000558EB"/>
    <w:rsid w:val="00060CA0"/>
    <w:rsid w:val="00063A26"/>
    <w:rsid w:val="000841E9"/>
    <w:rsid w:val="0008468B"/>
    <w:rsid w:val="000A468A"/>
    <w:rsid w:val="000B0FBD"/>
    <w:rsid w:val="000F4728"/>
    <w:rsid w:val="001043FD"/>
    <w:rsid w:val="00107D9D"/>
    <w:rsid w:val="00120F1D"/>
    <w:rsid w:val="001452EE"/>
    <w:rsid w:val="0018252D"/>
    <w:rsid w:val="00197271"/>
    <w:rsid w:val="001A56F1"/>
    <w:rsid w:val="001A7949"/>
    <w:rsid w:val="001A7997"/>
    <w:rsid w:val="001B3C9E"/>
    <w:rsid w:val="001B4738"/>
    <w:rsid w:val="001D1252"/>
    <w:rsid w:val="00221DE9"/>
    <w:rsid w:val="00227349"/>
    <w:rsid w:val="002536B7"/>
    <w:rsid w:val="0026261C"/>
    <w:rsid w:val="002A0933"/>
    <w:rsid w:val="002A096E"/>
    <w:rsid w:val="002C56ED"/>
    <w:rsid w:val="002D1F37"/>
    <w:rsid w:val="0030426F"/>
    <w:rsid w:val="00322594"/>
    <w:rsid w:val="00345BF0"/>
    <w:rsid w:val="003604B9"/>
    <w:rsid w:val="0037711A"/>
    <w:rsid w:val="003772FB"/>
    <w:rsid w:val="00391152"/>
    <w:rsid w:val="003C2538"/>
    <w:rsid w:val="003C3861"/>
    <w:rsid w:val="003C4DF1"/>
    <w:rsid w:val="003D485F"/>
    <w:rsid w:val="003D5328"/>
    <w:rsid w:val="00407B38"/>
    <w:rsid w:val="0041278C"/>
    <w:rsid w:val="004148BD"/>
    <w:rsid w:val="00417683"/>
    <w:rsid w:val="00426673"/>
    <w:rsid w:val="004607F7"/>
    <w:rsid w:val="00471CDD"/>
    <w:rsid w:val="004C3B5A"/>
    <w:rsid w:val="004F5C4B"/>
    <w:rsid w:val="0053773D"/>
    <w:rsid w:val="005A6922"/>
    <w:rsid w:val="005B353E"/>
    <w:rsid w:val="006023BA"/>
    <w:rsid w:val="00612141"/>
    <w:rsid w:val="00620B90"/>
    <w:rsid w:val="006356AF"/>
    <w:rsid w:val="006368FC"/>
    <w:rsid w:val="006548BF"/>
    <w:rsid w:val="00660504"/>
    <w:rsid w:val="006D0959"/>
    <w:rsid w:val="006E2D9E"/>
    <w:rsid w:val="006E5737"/>
    <w:rsid w:val="006F3548"/>
    <w:rsid w:val="007B245C"/>
    <w:rsid w:val="007C78FC"/>
    <w:rsid w:val="0081151A"/>
    <w:rsid w:val="00816DAC"/>
    <w:rsid w:val="0083290E"/>
    <w:rsid w:val="00843FF2"/>
    <w:rsid w:val="008453AB"/>
    <w:rsid w:val="00853508"/>
    <w:rsid w:val="00854EEA"/>
    <w:rsid w:val="008551DA"/>
    <w:rsid w:val="0088519D"/>
    <w:rsid w:val="008B3F33"/>
    <w:rsid w:val="008D193F"/>
    <w:rsid w:val="008F173C"/>
    <w:rsid w:val="00901CDD"/>
    <w:rsid w:val="00907B69"/>
    <w:rsid w:val="00943011"/>
    <w:rsid w:val="00955BB3"/>
    <w:rsid w:val="00995229"/>
    <w:rsid w:val="009A38AD"/>
    <w:rsid w:val="009C3076"/>
    <w:rsid w:val="009D297E"/>
    <w:rsid w:val="009E307F"/>
    <w:rsid w:val="009F3F50"/>
    <w:rsid w:val="00A148A1"/>
    <w:rsid w:val="00A21703"/>
    <w:rsid w:val="00A36C09"/>
    <w:rsid w:val="00A37C9F"/>
    <w:rsid w:val="00A70123"/>
    <w:rsid w:val="00A76B07"/>
    <w:rsid w:val="00A81B98"/>
    <w:rsid w:val="00A90305"/>
    <w:rsid w:val="00A92755"/>
    <w:rsid w:val="00AA63A3"/>
    <w:rsid w:val="00AB5C50"/>
    <w:rsid w:val="00AB5EB7"/>
    <w:rsid w:val="00AC7F30"/>
    <w:rsid w:val="00AD4D97"/>
    <w:rsid w:val="00AE1C8F"/>
    <w:rsid w:val="00AE2453"/>
    <w:rsid w:val="00B05DFC"/>
    <w:rsid w:val="00B166F7"/>
    <w:rsid w:val="00B36EEA"/>
    <w:rsid w:val="00BA4B55"/>
    <w:rsid w:val="00BF6147"/>
    <w:rsid w:val="00C12C93"/>
    <w:rsid w:val="00C325F5"/>
    <w:rsid w:val="00C457E8"/>
    <w:rsid w:val="00C609B9"/>
    <w:rsid w:val="00C71267"/>
    <w:rsid w:val="00C7584F"/>
    <w:rsid w:val="00C80699"/>
    <w:rsid w:val="00CB3C92"/>
    <w:rsid w:val="00CE2386"/>
    <w:rsid w:val="00CE665C"/>
    <w:rsid w:val="00D31359"/>
    <w:rsid w:val="00D834D0"/>
    <w:rsid w:val="00DA017A"/>
    <w:rsid w:val="00E32408"/>
    <w:rsid w:val="00E76CFB"/>
    <w:rsid w:val="00E845D4"/>
    <w:rsid w:val="00EC22CC"/>
    <w:rsid w:val="00ED3DD8"/>
    <w:rsid w:val="00ED6B69"/>
    <w:rsid w:val="00EE34F4"/>
    <w:rsid w:val="00EF22A4"/>
    <w:rsid w:val="00F54EA0"/>
    <w:rsid w:val="00F6614F"/>
    <w:rsid w:val="00F90190"/>
    <w:rsid w:val="00F96EE9"/>
    <w:rsid w:val="00FE285D"/>
    <w:rsid w:val="00FE6B20"/>
    <w:rsid w:val="00FF37E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80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1737</Words>
  <Characters>9559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12</cp:revision>
  <cp:lastPrinted>2025-11-10T12:08:00Z</cp:lastPrinted>
  <dcterms:created xsi:type="dcterms:W3CDTF">2025-10-22T05:31:00Z</dcterms:created>
  <dcterms:modified xsi:type="dcterms:W3CDTF">2025-11-11T09:39:00Z</dcterms:modified>
</cp:coreProperties>
</file>