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6F5EEA7A" w:rsidR="00EC22CC" w:rsidRDefault="00673F30" w:rsidP="00854EEA">
            <w:pPr>
              <w:jc w:val="center"/>
              <w:rPr>
                <w:rFonts w:ascii="Verdana" w:hAnsi="Verdana"/>
                <w:b/>
                <w:bCs/>
                <w:sz w:val="20"/>
                <w:szCs w:val="20"/>
              </w:rPr>
            </w:pPr>
            <w:r w:rsidRPr="00673F30">
              <w:rPr>
                <w:rFonts w:ascii="Verdana" w:hAnsi="Verdana"/>
                <w:b/>
                <w:bCs/>
              </w:rPr>
              <w:t>Renforcement de la mobilisation des ressources à la COI : enjeux, défis et recommandations stratégiques</w:t>
            </w:r>
          </w:p>
        </w:tc>
      </w:tr>
      <w:tr w:rsidR="00EC22CC" w14:paraId="7F1B63D2" w14:textId="77777777" w:rsidTr="002A0933">
        <w:tc>
          <w:tcPr>
            <w:tcW w:w="7225" w:type="dxa"/>
          </w:tcPr>
          <w:p w14:paraId="056D9B10" w14:textId="0587F368" w:rsidR="00EC22CC" w:rsidRPr="002A096E" w:rsidRDefault="008D1089" w:rsidP="008D1089">
            <w:pPr>
              <w:rPr>
                <w:rFonts w:ascii="Verdana" w:hAnsi="Verdana"/>
                <w:sz w:val="20"/>
                <w:szCs w:val="20"/>
              </w:rPr>
            </w:pPr>
            <w:r>
              <w:rPr>
                <w:rFonts w:ascii="Verdana" w:hAnsi="Verdana"/>
                <w:sz w:val="20"/>
                <w:szCs w:val="20"/>
              </w:rPr>
              <w:t xml:space="preserve">Comité des </w:t>
            </w:r>
            <w:r w:rsidR="001C11B9">
              <w:rPr>
                <w:rFonts w:ascii="Verdana" w:hAnsi="Verdana"/>
                <w:sz w:val="20"/>
                <w:szCs w:val="20"/>
              </w:rPr>
              <w:t>OPL n°02/25</w:t>
            </w:r>
            <w:r>
              <w:rPr>
                <w:rFonts w:ascii="Verdana" w:hAnsi="Verdana"/>
                <w:sz w:val="20"/>
                <w:szCs w:val="20"/>
              </w:rPr>
              <w:t xml:space="preserve"> </w:t>
            </w:r>
          </w:p>
        </w:tc>
        <w:tc>
          <w:tcPr>
            <w:tcW w:w="1837" w:type="dxa"/>
          </w:tcPr>
          <w:p w14:paraId="58E25D1F" w14:textId="4CBDAA23"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034FDA">
              <w:rPr>
                <w:rFonts w:ascii="Verdana" w:hAnsi="Verdana"/>
                <w:sz w:val="20"/>
                <w:szCs w:val="20"/>
              </w:rPr>
              <w:t>1.3</w:t>
            </w:r>
          </w:p>
        </w:tc>
      </w:tr>
      <w:tr w:rsidR="00EC22CC" w14:paraId="537D1DE5" w14:textId="77777777" w:rsidTr="002A0933">
        <w:tc>
          <w:tcPr>
            <w:tcW w:w="7225" w:type="dxa"/>
          </w:tcPr>
          <w:p w14:paraId="43DEF09E" w14:textId="79D35E4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Pr="008D1089">
              <w:rPr>
                <w:rFonts w:ascii="Verdana" w:hAnsi="Verdana"/>
                <w:i/>
                <w:iCs/>
                <w:sz w:val="20"/>
                <w:szCs w:val="20"/>
              </w:rPr>
              <w:t>:</w:t>
            </w:r>
            <w:r w:rsidR="00EC22CC" w:rsidRPr="008D1089">
              <w:rPr>
                <w:rFonts w:ascii="Verdana" w:hAnsi="Verdana"/>
                <w:sz w:val="20"/>
                <w:szCs w:val="20"/>
              </w:rPr>
              <w:t xml:space="preserve"> </w:t>
            </w:r>
            <w:r w:rsidR="008D1089" w:rsidRPr="008D1089">
              <w:rPr>
                <w:rFonts w:ascii="Verdana" w:hAnsi="Verdana"/>
                <w:sz w:val="20"/>
                <w:szCs w:val="20"/>
              </w:rPr>
              <w:t>Gina</w:t>
            </w:r>
            <w:r w:rsidR="0018252D" w:rsidRPr="008D1089">
              <w:rPr>
                <w:rFonts w:ascii="Verdana" w:hAnsi="Verdana"/>
                <w:sz w:val="20"/>
                <w:szCs w:val="20"/>
              </w:rPr>
              <w:t xml:space="preserve">, </w:t>
            </w:r>
            <w:r w:rsidR="008D1089" w:rsidRPr="008D1089">
              <w:rPr>
                <w:rFonts w:ascii="Verdana" w:hAnsi="Verdana"/>
                <w:sz w:val="20"/>
                <w:szCs w:val="20"/>
              </w:rPr>
              <w:t>Bonne</w:t>
            </w:r>
            <w:r w:rsidR="0018252D" w:rsidRPr="008D1089">
              <w:rPr>
                <w:rFonts w:ascii="Verdana" w:hAnsi="Verdana"/>
                <w:sz w:val="20"/>
                <w:szCs w:val="20"/>
              </w:rPr>
              <w:t xml:space="preserve">, </w:t>
            </w:r>
            <w:r w:rsidR="008D1089" w:rsidRPr="008D1089">
              <w:rPr>
                <w:rFonts w:ascii="Verdana" w:hAnsi="Verdana"/>
                <w:sz w:val="20"/>
                <w:szCs w:val="20"/>
              </w:rPr>
              <w:t>Directrice</w:t>
            </w:r>
            <w:r w:rsidR="00433ED8">
              <w:rPr>
                <w:rFonts w:ascii="Verdana" w:hAnsi="Verdana"/>
                <w:sz w:val="20"/>
                <w:szCs w:val="20"/>
              </w:rPr>
              <w:t xml:space="preserve"> par </w:t>
            </w:r>
            <w:r w:rsidR="00997E83">
              <w:rPr>
                <w:rFonts w:ascii="Verdana" w:hAnsi="Verdana"/>
                <w:sz w:val="20"/>
                <w:szCs w:val="20"/>
              </w:rPr>
              <w:t>intérim</w:t>
            </w:r>
          </w:p>
        </w:tc>
        <w:tc>
          <w:tcPr>
            <w:tcW w:w="1837" w:type="dxa"/>
          </w:tcPr>
          <w:p w14:paraId="5AC1AFAB" w14:textId="23FEDE8F" w:rsidR="00EC22CC" w:rsidRPr="002A0933" w:rsidRDefault="008D1089" w:rsidP="00854EEA">
            <w:pPr>
              <w:jc w:val="center"/>
              <w:rPr>
                <w:rFonts w:ascii="Verdana" w:hAnsi="Verdana"/>
                <w:sz w:val="20"/>
                <w:szCs w:val="20"/>
              </w:rPr>
            </w:pPr>
            <w:r>
              <w:rPr>
                <w:rFonts w:ascii="Verdana" w:hAnsi="Verdana"/>
                <w:sz w:val="20"/>
                <w:szCs w:val="20"/>
              </w:rPr>
              <w:t>Décision</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E61E792" w14:textId="785E5621" w:rsidR="0094327C" w:rsidRPr="0094327C" w:rsidRDefault="0094327C" w:rsidP="002E61F8">
      <w:pPr>
        <w:pStyle w:val="Paragraphe"/>
      </w:pPr>
      <w:r w:rsidRPr="0094327C">
        <w:t xml:space="preserve">Depuis 2023, le paysage des financements internationaux connaît une profonde mutation, marquée par une reconfiguration des priorités des bailleurs de fonds. Les tensions géopolitiques majeures notamment en Ukraine, </w:t>
      </w:r>
      <w:r w:rsidR="008400C5">
        <w:t>ainsi qu’</w:t>
      </w:r>
      <w:r w:rsidRPr="0094327C">
        <w:t xml:space="preserve">à Gaza, ont entraîné une redirection significative de l’aide publique au développement (APD) vers des enjeux sécuritaires et régionaux. Cette dynamique s’est accentuée avec </w:t>
      </w:r>
      <w:r w:rsidR="00E8581B">
        <w:t>la</w:t>
      </w:r>
      <w:r w:rsidR="00A42666">
        <w:t xml:space="preserve"> décision de</w:t>
      </w:r>
      <w:r w:rsidR="008B30EB">
        <w:t xml:space="preserve">s </w:t>
      </w:r>
      <w:r w:rsidR="00946CA2">
        <w:t>États</w:t>
      </w:r>
      <w:r w:rsidR="008400C5">
        <w:t>-</w:t>
      </w:r>
      <w:r w:rsidR="008B30EB">
        <w:t>Uni</w:t>
      </w:r>
      <w:r w:rsidR="002E61F8">
        <w:t>s</w:t>
      </w:r>
      <w:r w:rsidR="008B30EB">
        <w:t xml:space="preserve"> d’Amérique </w:t>
      </w:r>
      <w:r w:rsidR="00E8581B">
        <w:t xml:space="preserve">de </w:t>
      </w:r>
      <w:r w:rsidR="00E8581B" w:rsidRPr="0094327C">
        <w:t>réduire</w:t>
      </w:r>
      <w:r w:rsidR="00E8581B">
        <w:t xml:space="preserve"> </w:t>
      </w:r>
      <w:r w:rsidR="00E8581B" w:rsidRPr="0094327C">
        <w:t>les</w:t>
      </w:r>
      <w:r w:rsidRPr="0094327C">
        <w:t xml:space="preserve"> financements de l’USAID et </w:t>
      </w:r>
      <w:r w:rsidR="008400C5">
        <w:t xml:space="preserve">d’adopter </w:t>
      </w:r>
      <w:r w:rsidRPr="0094327C">
        <w:t xml:space="preserve">une posture défavorable à l’égard des </w:t>
      </w:r>
      <w:r w:rsidR="00946CA2">
        <w:t>États</w:t>
      </w:r>
      <w:r w:rsidR="00A42666">
        <w:t xml:space="preserve"> bénéfici</w:t>
      </w:r>
      <w:r w:rsidR="00E27508">
        <w:t>aires</w:t>
      </w:r>
      <w:r w:rsidR="00A42666">
        <w:t xml:space="preserve">, </w:t>
      </w:r>
      <w:r w:rsidR="008400C5">
        <w:t>d</w:t>
      </w:r>
      <w:r w:rsidR="00A42666">
        <w:t>es organisations régiona</w:t>
      </w:r>
      <w:r w:rsidR="00E27508">
        <w:t>les</w:t>
      </w:r>
      <w:r w:rsidR="00A42666">
        <w:t>, tel</w:t>
      </w:r>
      <w:r w:rsidR="008400C5">
        <w:t>les</w:t>
      </w:r>
      <w:r w:rsidR="00A42666">
        <w:t xml:space="preserve"> que la COMESA, </w:t>
      </w:r>
      <w:r w:rsidR="008400C5">
        <w:t>d</w:t>
      </w:r>
      <w:r w:rsidR="00A42666">
        <w:t>es ONG</w:t>
      </w:r>
      <w:r w:rsidRPr="0094327C">
        <w:t xml:space="preserve"> et des fondations philanthropiques.</w:t>
      </w:r>
    </w:p>
    <w:p w14:paraId="3CFDC101" w14:textId="22E3F7F7" w:rsidR="0094327C" w:rsidRPr="0094327C" w:rsidRDefault="0094327C" w:rsidP="0094327C">
      <w:pPr>
        <w:pStyle w:val="Paragraphe"/>
      </w:pPr>
      <w:r w:rsidRPr="0094327C">
        <w:t xml:space="preserve">Les données publiées par l’OCDE confirment cette tendance : une contraction de 7 % de l’APD des membres de son Comité d’aide au développement entre 2023 et 2024, avec des projections allant jusqu’à une baisse additionnelle de 9 % à 17 % pour 2025. Bien que les montants restent supérieurs aux niveaux de 2019 en valeur absolue, la structure des financements évolue vers des mécanismes plus complexes, tels que les prêts, le cofinancement et les investissements </w:t>
      </w:r>
      <w:r w:rsidR="00A42666" w:rsidRPr="0094327C">
        <w:t xml:space="preserve">impliquant </w:t>
      </w:r>
      <w:r w:rsidR="00A42666">
        <w:t xml:space="preserve">les budgets des </w:t>
      </w:r>
      <w:r w:rsidR="00946CA2">
        <w:t>États</w:t>
      </w:r>
      <w:r w:rsidR="00A42666">
        <w:t xml:space="preserve">, </w:t>
      </w:r>
      <w:r w:rsidRPr="0094327C">
        <w:t>des opérateurs privés ou des fondations.</w:t>
      </w:r>
    </w:p>
    <w:p w14:paraId="6DE20BAB" w14:textId="56F1839E" w:rsidR="0094327C" w:rsidRPr="0094327C" w:rsidRDefault="0094327C" w:rsidP="0094327C">
      <w:pPr>
        <w:pStyle w:val="Paragraphe"/>
      </w:pPr>
      <w:r w:rsidRPr="0094327C">
        <w:t>Parallèlement, les bailleurs exigent désormais davantage d’innovation, de cofinancement et de résultats mesurables, renforçant ainsi la compétition entre les pays et les organisations. À titre d’exemple, l’Agence française de développement (AFD) a intégré une stratégie de passage à l’échelle (</w:t>
      </w:r>
      <w:r w:rsidRPr="008400C5">
        <w:rPr>
          <w:i/>
          <w:iCs/>
        </w:rPr>
        <w:t>scaling</w:t>
      </w:r>
      <w:r>
        <w:rPr>
          <w:rStyle w:val="Appelnotedebasdep"/>
        </w:rPr>
        <w:footnoteReference w:id="1"/>
      </w:r>
      <w:r w:rsidRPr="0094327C">
        <w:t>) dans ses financements, mettant en avant l’impact et l’innovation. Le rapport DEFI</w:t>
      </w:r>
      <w:r>
        <w:rPr>
          <w:rStyle w:val="Appelnotedebasdep"/>
        </w:rPr>
        <w:footnoteReference w:id="2"/>
      </w:r>
      <w:r w:rsidR="00E27508">
        <w:t xml:space="preserve"> </w:t>
      </w:r>
      <w:r w:rsidRPr="0094327C">
        <w:t>sur les petites organisations</w:t>
      </w:r>
      <w:r w:rsidR="00A42666">
        <w:t xml:space="preserve"> et </w:t>
      </w:r>
      <w:r w:rsidR="00A42666" w:rsidRPr="0094327C">
        <w:t>de</w:t>
      </w:r>
      <w:r w:rsidRPr="0094327C">
        <w:t xml:space="preserve"> la société civile en Afrique centrale illustre cette complexification croissante de l’accès aux financements, avec des critères de sélection de plus en plus exigeants, favorisant les structures les mieux organisées.</w:t>
      </w:r>
    </w:p>
    <w:p w14:paraId="019E040F" w14:textId="431135CB" w:rsidR="008D7269" w:rsidRDefault="0094327C" w:rsidP="0094327C">
      <w:pPr>
        <w:pStyle w:val="Paragraphe"/>
      </w:pPr>
      <w:r w:rsidRPr="0094327C">
        <w:t xml:space="preserve">Dans ce contexte, la Commission de l’océan Indien (COI) est confrontée à des défis majeurs en matière de mobilisation de ressources. </w:t>
      </w:r>
      <w:r w:rsidR="00365487">
        <w:t>Si la COI depuis des années a bénéficié de financements de l’UE à travers les Fonds européen</w:t>
      </w:r>
      <w:r w:rsidR="008400C5">
        <w:t>s</w:t>
      </w:r>
      <w:r w:rsidR="00365487">
        <w:t xml:space="preserve"> de développement (FED) et de l’AFD pour </w:t>
      </w:r>
      <w:r w:rsidR="008400C5">
        <w:t>d</w:t>
      </w:r>
      <w:r w:rsidR="00365487">
        <w:t xml:space="preserve">es projets régionaux </w:t>
      </w:r>
      <w:r w:rsidR="008400C5">
        <w:t>sous</w:t>
      </w:r>
      <w:r w:rsidR="00365487">
        <w:t xml:space="preserve"> forme de subvention</w:t>
      </w:r>
      <w:r w:rsidR="008400C5">
        <w:t>s,</w:t>
      </w:r>
      <w:r w:rsidR="00365487">
        <w:t xml:space="preserve"> sans le besoin de contrepartie, aujourd’hui cette facilité d’accès aux finances n’est plus d’actualité. La COI, comme beaucoup d’autres organisations régionales</w:t>
      </w:r>
      <w:r w:rsidR="00E27508">
        <w:t>,</w:t>
      </w:r>
      <w:r w:rsidR="00365487">
        <w:t xml:space="preserve"> se retrouve dans la </w:t>
      </w:r>
      <w:r w:rsidR="00E27508">
        <w:t xml:space="preserve">nécessité </w:t>
      </w:r>
      <w:r w:rsidR="00365487">
        <w:t xml:space="preserve">d’aller à la recherche de </w:t>
      </w:r>
      <w:r w:rsidR="002E61F8">
        <w:t>financement et</w:t>
      </w:r>
      <w:r w:rsidR="008D7269">
        <w:t xml:space="preserve"> de répondre aux appels à projets, soit seule ou en consortium, avec un ou plusieurs partenaires, selon les critères établis par les financeurs dans un délai strict.  Ceci est aussi applicable pour le </w:t>
      </w:r>
      <w:r w:rsidR="00D232E3">
        <w:t>F</w:t>
      </w:r>
      <w:r w:rsidR="00E03433">
        <w:t>onds Verts</w:t>
      </w:r>
      <w:r w:rsidR="008D7269">
        <w:t xml:space="preserve"> pour le </w:t>
      </w:r>
      <w:r w:rsidR="00D232E3">
        <w:t>C</w:t>
      </w:r>
      <w:r w:rsidR="00E03433">
        <w:t>limat si</w:t>
      </w:r>
      <w:r w:rsidR="008D7269">
        <w:t xml:space="preserve"> la COI souhaite aller vers des grands projets. </w:t>
      </w:r>
      <w:r w:rsidR="00E03433">
        <w:t>L’accréditation au Fonds Vert pour le Climat</w:t>
      </w:r>
      <w:r w:rsidR="00E27508">
        <w:t>, ou à d’</w:t>
      </w:r>
      <w:r w:rsidR="00E03433">
        <w:t xml:space="preserve">autres mécanismes de financement, ne </w:t>
      </w:r>
      <w:r w:rsidR="00E27508">
        <w:t xml:space="preserve">garantit </w:t>
      </w:r>
      <w:r w:rsidR="00E03433">
        <w:t xml:space="preserve">pas l’obtention directe des fonds.  </w:t>
      </w:r>
    </w:p>
    <w:p w14:paraId="13E683D4" w14:textId="64754023" w:rsidR="0094327C" w:rsidRDefault="00365487" w:rsidP="0094327C">
      <w:pPr>
        <w:pStyle w:val="Paragraphe"/>
      </w:pPr>
      <w:r>
        <w:t>Ces</w:t>
      </w:r>
      <w:r w:rsidR="0094327C" w:rsidRPr="0094327C">
        <w:t xml:space="preserve"> évolutions renforcent la nécessité de poursuivre la modernisation de l’Organisation</w:t>
      </w:r>
      <w:r w:rsidR="00E8581B">
        <w:t>.</w:t>
      </w:r>
      <w:r w:rsidR="0094327C" w:rsidRPr="0094327C">
        <w:t xml:space="preserve"> Cette modernisation </w:t>
      </w:r>
      <w:r w:rsidR="00E03433">
        <w:t xml:space="preserve">doit </w:t>
      </w:r>
      <w:r w:rsidR="0094327C" w:rsidRPr="0094327C">
        <w:t>vise</w:t>
      </w:r>
      <w:r w:rsidR="00E03433">
        <w:t>r</w:t>
      </w:r>
      <w:r w:rsidR="0094327C" w:rsidRPr="0094327C">
        <w:t xml:space="preserve"> à accroître la flexibilité et la simplicité des processus de </w:t>
      </w:r>
      <w:r w:rsidR="00E27508">
        <w:t xml:space="preserve">mobilisation de </w:t>
      </w:r>
      <w:r w:rsidR="0094327C" w:rsidRPr="0094327C">
        <w:t>financement</w:t>
      </w:r>
      <w:r w:rsidR="00E27508">
        <w:t>s</w:t>
      </w:r>
      <w:r w:rsidR="0094327C" w:rsidRPr="0094327C">
        <w:t xml:space="preserve">, tout en consolidant la capacité stratégique de la COI à </w:t>
      </w:r>
      <w:r w:rsidR="00E27508">
        <w:t>gérer</w:t>
      </w:r>
      <w:r w:rsidR="0094327C" w:rsidRPr="0094327C">
        <w:t xml:space="preserve"> des ressources plus substantielles, diversifiées et pérennes.</w:t>
      </w:r>
    </w:p>
    <w:p w14:paraId="721D7CC9" w14:textId="1D1AD313" w:rsidR="0094327C" w:rsidRPr="0094327C" w:rsidRDefault="0094327C" w:rsidP="0094327C">
      <w:pPr>
        <w:pStyle w:val="Paragraphe"/>
      </w:pPr>
      <w:r w:rsidRPr="0094327C">
        <w:lastRenderedPageBreak/>
        <w:t>Fruit du positionnement stratégique régional affirmé de la COI et de la confiance croissante accordée par ses partenaires financiers, le processus de mobilisation des ressources de l’Organisation repose encore, dans une large mesure, sur des approches traditionnelles. Historiquement, la disponibilité des financements et l’alignement des thématiques proposées par les bailleurs avec les priorités du Plan de développement stratégique (PDS) de la COI ont favorisé une dynamique où les partenaires eux-mêmes initiaient des propositions de collaboration.</w:t>
      </w:r>
    </w:p>
    <w:p w14:paraId="704925D3" w14:textId="77777777" w:rsidR="0094327C" w:rsidRPr="0094327C" w:rsidRDefault="0094327C" w:rsidP="0094327C">
      <w:pPr>
        <w:pStyle w:val="Paragraphe"/>
      </w:pPr>
      <w:r w:rsidRPr="0094327C">
        <w:t>Dans certains cas, la COI identifie également des partenaires techniques et financiers sensibles à ses axes stratégiques, renforçant ainsi sa capacité à capter des opportunités de financement ciblées. Toutefois, cette approche, bien qu’efficace dans un contexte de disponibilité des ressources, montre aujourd’hui ses limites face à l’évolution du paysage international du financement du développement.</w:t>
      </w:r>
    </w:p>
    <w:p w14:paraId="022A070B" w14:textId="7A4D2305" w:rsidR="008D1089" w:rsidRDefault="005936F7" w:rsidP="0094327C">
      <w:pPr>
        <w:pStyle w:val="Paragraphe"/>
      </w:pPr>
      <w:r>
        <w:t xml:space="preserve">Cette </w:t>
      </w:r>
      <w:r w:rsidRPr="0094327C">
        <w:t>réalité</w:t>
      </w:r>
      <w:r w:rsidR="0094327C" w:rsidRPr="0094327C">
        <w:t xml:space="preserve"> appelle à une transformation du modèle de mobilisation des ressources, en intégrant des mécanismes plus proactifs, innovants et adaptés aux exigences actuelles des bailleurs. L’objectif est de renforcer la capacité de la COI à anticiper les opportunités, à structurer des propositions à fort impact, et à diversifier ses partenariats, tout en consolidant son positionnement stratégique comme acteur régional de référence.</w:t>
      </w:r>
    </w:p>
    <w:p w14:paraId="63B364D6" w14:textId="4854865C" w:rsidR="00C71CF3" w:rsidRPr="0094327C" w:rsidRDefault="00C71CF3" w:rsidP="0094327C">
      <w:pPr>
        <w:pStyle w:val="Paragraphe"/>
      </w:pPr>
      <w:r>
        <w:t xml:space="preserve">Autrement dit, la modernisation institutionnelle et fonctionnelle de la COI, qui se matérialise par un investissement croissant des </w:t>
      </w:r>
      <w:r w:rsidR="00946CA2">
        <w:t>États</w:t>
      </w:r>
      <w:r>
        <w:t xml:space="preserve"> membres </w:t>
      </w:r>
      <w:r w:rsidR="007D63B4">
        <w:t>en termes de contributions statutaires, n’a de sens que si le Secrétariat général est en mesure d’augmenter concrètement sa capacité de mobilisation de ressources et de développement d’un portefeuille de projets qui devront s’accompagner, à moyen terme, de frais de gestion</w:t>
      </w:r>
      <w:r w:rsidR="005A1D39">
        <w:t xml:space="preserve"> conformément au modèle économique adopté par les </w:t>
      </w:r>
      <w:r w:rsidR="00946CA2">
        <w:t>États</w:t>
      </w:r>
      <w:r w:rsidR="005A1D39">
        <w:t xml:space="preserve"> membres au 37</w:t>
      </w:r>
      <w:r w:rsidR="005A1D39" w:rsidRPr="00DA3915">
        <w:rPr>
          <w:vertAlign w:val="superscript"/>
        </w:rPr>
        <w:t>e</w:t>
      </w:r>
      <w:r w:rsidR="005A1D39">
        <w:t xml:space="preserve"> Conseil des ministres. </w:t>
      </w:r>
      <w:r w:rsidR="008A00AB">
        <w:t xml:space="preserve">Or, au-delà de 2026, </w:t>
      </w:r>
      <w:r w:rsidR="00BA3319">
        <w:t xml:space="preserve">la COI ne dispose pas de visibilité sur de nouveaux projets. </w:t>
      </w:r>
      <w:r w:rsidR="007D63B4">
        <w:t xml:space="preserve"> </w:t>
      </w:r>
    </w:p>
    <w:p w14:paraId="68009DDB" w14:textId="06AAE9C2" w:rsidR="0008468B" w:rsidRPr="0008468B" w:rsidRDefault="00955BB3" w:rsidP="00A70123">
      <w:pPr>
        <w:pStyle w:val="Titrepartie"/>
      </w:pPr>
      <w:r w:rsidRPr="0008468B">
        <w:t>Etat d’avancement</w:t>
      </w:r>
    </w:p>
    <w:p w14:paraId="65B993AE" w14:textId="1A51C697" w:rsidR="0094327C" w:rsidRDefault="0094327C" w:rsidP="00F33346">
      <w:pPr>
        <w:pStyle w:val="Sous-partie2"/>
      </w:pPr>
      <w:r>
        <w:t xml:space="preserve">Défis </w:t>
      </w:r>
      <w:r w:rsidR="008A221A">
        <w:t xml:space="preserve">internes de la COI en </w:t>
      </w:r>
      <w:r w:rsidR="003011AE">
        <w:t>mobilisation de</w:t>
      </w:r>
      <w:r w:rsidR="008A221A">
        <w:t xml:space="preserve"> ressources </w:t>
      </w:r>
    </w:p>
    <w:p w14:paraId="3B208DA5" w14:textId="388E168C" w:rsidR="00134490" w:rsidRPr="00134490" w:rsidRDefault="00134490" w:rsidP="00997E83">
      <w:pPr>
        <w:jc w:val="both"/>
        <w:rPr>
          <w:rFonts w:ascii="Verdana" w:hAnsi="Verdana" w:cs="Calibri"/>
          <w:sz w:val="20"/>
          <w:szCs w:val="20"/>
        </w:rPr>
      </w:pPr>
      <w:r w:rsidRPr="00134490">
        <w:rPr>
          <w:rFonts w:ascii="Verdana" w:hAnsi="Verdana" w:cs="Calibri"/>
          <w:sz w:val="20"/>
          <w:szCs w:val="20"/>
        </w:rPr>
        <w:t xml:space="preserve">Malgré les avancées significatives réalisées dans le cadre du Programme COI-Horizon 2030, la </w:t>
      </w:r>
      <w:r w:rsidR="001C11B9">
        <w:rPr>
          <w:rFonts w:ascii="Verdana" w:hAnsi="Verdana" w:cs="Calibri"/>
          <w:sz w:val="20"/>
          <w:szCs w:val="20"/>
        </w:rPr>
        <w:t>COI</w:t>
      </w:r>
      <w:r w:rsidRPr="00134490">
        <w:rPr>
          <w:rFonts w:ascii="Verdana" w:hAnsi="Verdana" w:cs="Calibri"/>
          <w:sz w:val="20"/>
          <w:szCs w:val="20"/>
        </w:rPr>
        <w:t xml:space="preserve"> continue de faire face à plusieurs défis structurels et opérationnels qui freinent son plein potentiel en matière de mobilisation de ressources. Ces défis sont les suivants :</w:t>
      </w:r>
    </w:p>
    <w:p w14:paraId="7DBD322E" w14:textId="0940F398" w:rsidR="00A53AE7" w:rsidRPr="00ED0ADD" w:rsidRDefault="00A53AE7" w:rsidP="00ED0ADD">
      <w:pPr>
        <w:pStyle w:val="Sous-partie2"/>
        <w:numPr>
          <w:ilvl w:val="2"/>
          <w:numId w:val="3"/>
        </w:numPr>
      </w:pPr>
      <w:r w:rsidRPr="00ED0ADD">
        <w:t xml:space="preserve">Absence d’allocations spécifiques des </w:t>
      </w:r>
      <w:r w:rsidR="0006666B">
        <w:t>partenaires et réponses aux appels à projets</w:t>
      </w:r>
    </w:p>
    <w:p w14:paraId="1E28DE08" w14:textId="35B02030" w:rsidR="0006666B" w:rsidRPr="0006666B" w:rsidRDefault="0006666B" w:rsidP="00DA3915">
      <w:pPr>
        <w:jc w:val="both"/>
        <w:rPr>
          <w:rFonts w:ascii="Verdana" w:hAnsi="Verdana" w:cs="Calibri"/>
          <w:sz w:val="20"/>
          <w:szCs w:val="20"/>
        </w:rPr>
      </w:pPr>
      <w:r w:rsidRPr="0006666B">
        <w:rPr>
          <w:rFonts w:ascii="Verdana" w:hAnsi="Verdana" w:cs="Calibri"/>
          <w:sz w:val="20"/>
          <w:szCs w:val="20"/>
        </w:rPr>
        <w:t>La COI ne bénéficie plus d’allocations financières spécifiques de la part de ses principaux partenaires, notamment l’Union européenne et</w:t>
      </w:r>
      <w:r w:rsidR="00776540">
        <w:rPr>
          <w:rFonts w:ascii="Verdana" w:hAnsi="Verdana" w:cs="Calibri"/>
          <w:sz w:val="20"/>
          <w:szCs w:val="20"/>
        </w:rPr>
        <w:t xml:space="preserve"> l’AFD</w:t>
      </w:r>
      <w:r w:rsidRPr="0006666B">
        <w:rPr>
          <w:rFonts w:ascii="Verdana" w:hAnsi="Verdana" w:cs="Calibri"/>
          <w:sz w:val="20"/>
          <w:szCs w:val="20"/>
        </w:rPr>
        <w:t>, comme cela était le cas lors des précédentes programmations régionales. Ces allocations dédiées constituaient un levier stratégique essentiel, permettant à l’Organisation de concevoir et de mettre en œuvre des programmes régionaux pluriannuels avec une certaine autonomie et une meilleure prévisibilité budgétaire.</w:t>
      </w:r>
    </w:p>
    <w:p w14:paraId="20DA9D2B" w14:textId="012A70FC" w:rsidR="0006666B" w:rsidRPr="0006666B" w:rsidRDefault="0006666B" w:rsidP="00DA3915">
      <w:pPr>
        <w:jc w:val="both"/>
        <w:rPr>
          <w:rFonts w:ascii="Verdana" w:hAnsi="Verdana" w:cs="Calibri"/>
          <w:sz w:val="20"/>
          <w:szCs w:val="20"/>
        </w:rPr>
      </w:pPr>
      <w:r w:rsidRPr="0006666B">
        <w:rPr>
          <w:rFonts w:ascii="Verdana" w:hAnsi="Verdana" w:cs="Calibri"/>
          <w:sz w:val="20"/>
          <w:szCs w:val="20"/>
        </w:rPr>
        <w:t>Dans le cadre de l’instrument NDICI – « Global Europe » pour la période 2021–2027, l’Union européenne a alloué environ 29,18 milliards d’euros</w:t>
      </w:r>
      <w:r w:rsidR="00776540">
        <w:rPr>
          <w:rStyle w:val="Appelnotedebasdep"/>
          <w:rFonts w:ascii="Verdana" w:hAnsi="Verdana" w:cs="Calibri"/>
          <w:sz w:val="20"/>
          <w:szCs w:val="20"/>
        </w:rPr>
        <w:footnoteReference w:id="3"/>
      </w:r>
      <w:r w:rsidR="00E27508">
        <w:rPr>
          <w:rFonts w:ascii="Verdana" w:hAnsi="Verdana" w:cs="Calibri"/>
          <w:sz w:val="20"/>
          <w:szCs w:val="20"/>
        </w:rPr>
        <w:t xml:space="preserve"> </w:t>
      </w:r>
      <w:r w:rsidRPr="0006666B">
        <w:rPr>
          <w:rFonts w:ascii="Verdana" w:hAnsi="Verdana" w:cs="Calibri"/>
          <w:sz w:val="20"/>
          <w:szCs w:val="20"/>
        </w:rPr>
        <w:t>à l’Afrique subsaharienne. Malgré cette enveloppe substantielle, la COI n’a pas été bénéficiaire de financements dans ce cadre, ce qui traduit une perte de visibilité et de positionnement stratégique de l’Organisation dans l’écosystème international du financement du développement.</w:t>
      </w:r>
    </w:p>
    <w:p w14:paraId="03CC9DEE" w14:textId="4D47F917" w:rsidR="00A53AE7" w:rsidRDefault="0006666B" w:rsidP="00ED0ADD">
      <w:pPr>
        <w:jc w:val="both"/>
        <w:rPr>
          <w:rFonts w:ascii="Verdana" w:hAnsi="Verdana" w:cs="Calibri"/>
          <w:sz w:val="20"/>
          <w:szCs w:val="20"/>
        </w:rPr>
      </w:pPr>
      <w:r w:rsidRPr="0006666B">
        <w:rPr>
          <w:rFonts w:ascii="Verdana" w:hAnsi="Verdana" w:cs="Calibri"/>
          <w:sz w:val="20"/>
          <w:szCs w:val="20"/>
        </w:rPr>
        <w:t xml:space="preserve">En l’absence de financements alloués, la mobilisation des ressources repose désormais principalement sur la réponse à des appels à projets compétitifs. Or, ces appels sont souvent assortis de délais très courts — en moyenne 30 jours — pour la soumission des </w:t>
      </w:r>
      <w:r w:rsidRPr="0006666B">
        <w:rPr>
          <w:rFonts w:ascii="Verdana" w:hAnsi="Verdana" w:cs="Calibri"/>
          <w:sz w:val="20"/>
          <w:szCs w:val="20"/>
        </w:rPr>
        <w:lastRenderedPageBreak/>
        <w:t>propositions. Ce calendrier, dicté par les bailleurs, est difficilement compatible avec les procédures internes de consultation et de validation de la COI</w:t>
      </w:r>
      <w:r w:rsidR="002E61F8" w:rsidRPr="0006666B">
        <w:rPr>
          <w:rFonts w:ascii="Verdana" w:hAnsi="Verdana" w:cs="Calibri"/>
          <w:sz w:val="20"/>
          <w:szCs w:val="20"/>
        </w:rPr>
        <w:t>,</w:t>
      </w:r>
      <w:r w:rsidR="002E61F8">
        <w:rPr>
          <w:rFonts w:ascii="Verdana" w:hAnsi="Verdana" w:cs="Calibri"/>
          <w:sz w:val="20"/>
          <w:szCs w:val="20"/>
        </w:rPr>
        <w:t xml:space="preserve"> </w:t>
      </w:r>
      <w:r w:rsidRPr="0006666B">
        <w:rPr>
          <w:rFonts w:ascii="Verdana" w:hAnsi="Verdana" w:cs="Calibri"/>
          <w:sz w:val="20"/>
          <w:szCs w:val="20"/>
        </w:rPr>
        <w:t>ce qui limite la capacité de réaction de l’Organisation et compromet son accès à des opportunités de financement.</w:t>
      </w:r>
    </w:p>
    <w:p w14:paraId="61439D4A" w14:textId="260A61BD" w:rsidR="00134490" w:rsidRPr="00134490" w:rsidRDefault="00134490" w:rsidP="00134490">
      <w:pPr>
        <w:pStyle w:val="Sous-partie2"/>
        <w:numPr>
          <w:ilvl w:val="2"/>
          <w:numId w:val="3"/>
        </w:numPr>
      </w:pPr>
      <w:r w:rsidRPr="00134490">
        <w:t>Mécanismes de prise de décision internes peu agiles</w:t>
      </w:r>
    </w:p>
    <w:p w14:paraId="79F6046F" w14:textId="1B6DE5E5" w:rsidR="00134490" w:rsidRDefault="00134490">
      <w:pPr>
        <w:jc w:val="both"/>
        <w:rPr>
          <w:rFonts w:ascii="Verdana" w:hAnsi="Verdana" w:cs="Calibri"/>
          <w:sz w:val="20"/>
          <w:szCs w:val="20"/>
        </w:rPr>
      </w:pPr>
      <w:r w:rsidRPr="00134490">
        <w:rPr>
          <w:rFonts w:ascii="Verdana" w:hAnsi="Verdana" w:cs="Calibri"/>
          <w:sz w:val="20"/>
          <w:szCs w:val="20"/>
        </w:rPr>
        <w:t>Les procédures internes de validation des projets, bien qu’encadrées par les instances de gouvernance, manquent parfois de réactivité face aux exigences des bailleurs. En pratique, la validation des projets se fait exclusivement lors des réunions du Comité des OPL</w:t>
      </w:r>
      <w:r w:rsidR="00396B8F">
        <w:rPr>
          <w:rFonts w:ascii="Verdana" w:hAnsi="Verdana" w:cs="Calibri"/>
          <w:sz w:val="20"/>
          <w:szCs w:val="20"/>
        </w:rPr>
        <w:t>,</w:t>
      </w:r>
      <w:r w:rsidR="001C11B9">
        <w:rPr>
          <w:rFonts w:ascii="Verdana" w:hAnsi="Verdana" w:cs="Calibri"/>
          <w:sz w:val="20"/>
          <w:szCs w:val="20"/>
        </w:rPr>
        <w:t xml:space="preserve"> puis du Conseil des ministres</w:t>
      </w:r>
      <w:r w:rsidRPr="00134490">
        <w:rPr>
          <w:rFonts w:ascii="Verdana" w:hAnsi="Verdana" w:cs="Calibri"/>
          <w:sz w:val="20"/>
          <w:szCs w:val="20"/>
        </w:rPr>
        <w:t>, qui se tiennent en moyenne deux fois par an</w:t>
      </w:r>
      <w:r w:rsidR="001C11B9">
        <w:rPr>
          <w:rFonts w:ascii="Verdana" w:hAnsi="Verdana" w:cs="Calibri"/>
          <w:sz w:val="20"/>
          <w:szCs w:val="20"/>
        </w:rPr>
        <w:t xml:space="preserve"> pour le premier, et une fois par an pour le second en session ordinaire</w:t>
      </w:r>
      <w:r w:rsidRPr="00134490">
        <w:rPr>
          <w:rFonts w:ascii="Verdana" w:hAnsi="Verdana" w:cs="Calibri"/>
          <w:sz w:val="20"/>
          <w:szCs w:val="20"/>
        </w:rPr>
        <w:t xml:space="preserve">. Ce rythme, couplé à l’absence de mécanismes délégués ou accélérés, entraîne des retards significatifs </w:t>
      </w:r>
      <w:r w:rsidR="00EE4AA4">
        <w:rPr>
          <w:rFonts w:ascii="Verdana" w:hAnsi="Verdana" w:cs="Calibri"/>
          <w:sz w:val="20"/>
          <w:szCs w:val="20"/>
        </w:rPr>
        <w:t xml:space="preserve">dans la soumission des projets </w:t>
      </w:r>
      <w:r w:rsidRPr="00134490">
        <w:rPr>
          <w:rFonts w:ascii="Verdana" w:hAnsi="Verdana" w:cs="Calibri"/>
          <w:sz w:val="20"/>
          <w:szCs w:val="20"/>
        </w:rPr>
        <w:t xml:space="preserve">et la perte d’opportunités de financement. </w:t>
      </w:r>
    </w:p>
    <w:p w14:paraId="25D1D58F" w14:textId="496813F0" w:rsidR="002E61F8" w:rsidRDefault="002E61F8" w:rsidP="002E61F8">
      <w:pPr>
        <w:jc w:val="both"/>
        <w:rPr>
          <w:rFonts w:ascii="Verdana" w:hAnsi="Verdana" w:cs="Calibri"/>
          <w:sz w:val="20"/>
          <w:szCs w:val="20"/>
        </w:rPr>
      </w:pPr>
      <w:r w:rsidRPr="00134490">
        <w:rPr>
          <w:rFonts w:ascii="Verdana" w:hAnsi="Verdana" w:cs="Calibri"/>
          <w:sz w:val="20"/>
          <w:szCs w:val="20"/>
        </w:rPr>
        <w:t>En raison des lenteurs dans les processus de validation, certains projets sont soumis tardivement ou ne sont pas soumis du tout. Ces retards nuisent à la crédibilité</w:t>
      </w:r>
      <w:r w:rsidR="00FE3522">
        <w:rPr>
          <w:rFonts w:ascii="Verdana" w:hAnsi="Verdana" w:cs="Calibri"/>
          <w:sz w:val="20"/>
          <w:szCs w:val="20"/>
        </w:rPr>
        <w:t xml:space="preserve"> et à la compétitivité</w:t>
      </w:r>
      <w:r w:rsidRPr="00134490">
        <w:rPr>
          <w:rFonts w:ascii="Verdana" w:hAnsi="Verdana" w:cs="Calibri"/>
          <w:sz w:val="20"/>
          <w:szCs w:val="20"/>
        </w:rPr>
        <w:t xml:space="preserve"> de l’Organisation auprès des bailleurs</w:t>
      </w:r>
      <w:r w:rsidR="00A12D55">
        <w:rPr>
          <w:rFonts w:ascii="Verdana" w:hAnsi="Verdana" w:cs="Calibri"/>
          <w:sz w:val="20"/>
          <w:szCs w:val="20"/>
        </w:rPr>
        <w:t xml:space="preserve"> et</w:t>
      </w:r>
      <w:r w:rsidRPr="00134490">
        <w:rPr>
          <w:rFonts w:ascii="Verdana" w:hAnsi="Verdana" w:cs="Calibri"/>
          <w:sz w:val="20"/>
          <w:szCs w:val="20"/>
        </w:rPr>
        <w:t xml:space="preserve"> </w:t>
      </w:r>
      <w:r w:rsidR="00A12D55">
        <w:rPr>
          <w:rFonts w:ascii="Verdana" w:hAnsi="Verdana" w:cs="Calibri"/>
          <w:sz w:val="20"/>
          <w:szCs w:val="20"/>
        </w:rPr>
        <w:t>des</w:t>
      </w:r>
      <w:r>
        <w:rPr>
          <w:rFonts w:ascii="Verdana" w:hAnsi="Verdana" w:cs="Calibri"/>
          <w:sz w:val="20"/>
          <w:szCs w:val="20"/>
        </w:rPr>
        <w:t xml:space="preserve"> partenaires </w:t>
      </w:r>
      <w:r w:rsidR="00A12D55">
        <w:rPr>
          <w:rFonts w:ascii="Verdana" w:hAnsi="Verdana" w:cs="Calibri"/>
          <w:sz w:val="20"/>
          <w:szCs w:val="20"/>
        </w:rPr>
        <w:t>dans le cas d’une opportunité de se joindre à un consortium. Or, le contexte</w:t>
      </w:r>
      <w:r w:rsidR="00255BAD">
        <w:rPr>
          <w:rFonts w:ascii="Verdana" w:hAnsi="Verdana" w:cs="Calibri"/>
          <w:sz w:val="20"/>
          <w:szCs w:val="20"/>
        </w:rPr>
        <w:t xml:space="preserve"> actuel de l’aide publique au développement et de la captation des financements internationaux </w:t>
      </w:r>
      <w:r w:rsidR="009D356E">
        <w:rPr>
          <w:rFonts w:ascii="Verdana" w:hAnsi="Verdana" w:cs="Calibri"/>
          <w:sz w:val="20"/>
          <w:szCs w:val="20"/>
        </w:rPr>
        <w:t>oblige</w:t>
      </w:r>
      <w:r w:rsidR="00255BAD">
        <w:rPr>
          <w:rFonts w:ascii="Verdana" w:hAnsi="Verdana" w:cs="Calibri"/>
          <w:sz w:val="20"/>
          <w:szCs w:val="20"/>
        </w:rPr>
        <w:t xml:space="preserve"> à gagner en agilité, en rapidité et en capacité de réponse selon un calendrier </w:t>
      </w:r>
      <w:r w:rsidR="009D356E">
        <w:rPr>
          <w:rFonts w:ascii="Verdana" w:hAnsi="Verdana" w:cs="Calibri"/>
          <w:sz w:val="20"/>
          <w:szCs w:val="20"/>
        </w:rPr>
        <w:t xml:space="preserve">qui ne correspond pas à celui de la COI. </w:t>
      </w:r>
    </w:p>
    <w:p w14:paraId="581B77BD" w14:textId="2B2CE482" w:rsidR="00A53AE7" w:rsidRPr="00927C5F" w:rsidRDefault="00E2165D" w:rsidP="00ED0ADD">
      <w:pPr>
        <w:jc w:val="both"/>
        <w:rPr>
          <w:rFonts w:ascii="Verdana" w:hAnsi="Verdana" w:cs="Calibri"/>
          <w:sz w:val="20"/>
          <w:szCs w:val="20"/>
        </w:rPr>
      </w:pPr>
      <w:r>
        <w:rPr>
          <w:rFonts w:ascii="Verdana" w:hAnsi="Verdana" w:cs="Calibri"/>
          <w:sz w:val="20"/>
          <w:szCs w:val="20"/>
        </w:rPr>
        <w:t>E</w:t>
      </w:r>
      <w:r w:rsidR="00A53AE7">
        <w:rPr>
          <w:rFonts w:ascii="Verdana" w:hAnsi="Verdana" w:cs="Calibri"/>
          <w:sz w:val="20"/>
          <w:szCs w:val="20"/>
        </w:rPr>
        <w:t>n 2024, trois</w:t>
      </w:r>
      <w:r w:rsidR="00A53AE7" w:rsidRPr="00A53AE7">
        <w:rPr>
          <w:rFonts w:ascii="Verdana" w:hAnsi="Verdana" w:cs="Calibri"/>
          <w:sz w:val="20"/>
          <w:szCs w:val="20"/>
        </w:rPr>
        <w:t xml:space="preserve"> propositions structurées</w:t>
      </w:r>
      <w:r w:rsidR="00A53AE7">
        <w:rPr>
          <w:rFonts w:ascii="Verdana" w:hAnsi="Verdana" w:cs="Calibri"/>
          <w:sz w:val="20"/>
          <w:szCs w:val="20"/>
        </w:rPr>
        <w:t xml:space="preserve"> </w:t>
      </w:r>
      <w:r w:rsidR="00A53AE7" w:rsidRPr="00A53AE7">
        <w:rPr>
          <w:rFonts w:ascii="Verdana" w:hAnsi="Verdana" w:cs="Calibri"/>
          <w:sz w:val="20"/>
          <w:szCs w:val="20"/>
        </w:rPr>
        <w:t xml:space="preserve">n’ont pu être transmises dans les délais requis, compromettant ainsi leur financement et affectant la crédibilité de l’Organisation. </w:t>
      </w:r>
      <w:r w:rsidR="00EE4AA4">
        <w:rPr>
          <w:rFonts w:ascii="Verdana" w:hAnsi="Verdana" w:cs="Calibri"/>
          <w:sz w:val="20"/>
          <w:szCs w:val="20"/>
        </w:rPr>
        <w:t xml:space="preserve">En 2025, plusieurs partenaires se sont rapprochés de la COI pour former un consortium en vue de répondre aux appels à projets. Pour </w:t>
      </w:r>
      <w:r w:rsidR="002E61F8">
        <w:rPr>
          <w:rFonts w:ascii="Verdana" w:hAnsi="Verdana" w:cs="Calibri"/>
          <w:sz w:val="20"/>
          <w:szCs w:val="20"/>
        </w:rPr>
        <w:t>les raisons administratives</w:t>
      </w:r>
      <w:r w:rsidR="00EE4AA4">
        <w:rPr>
          <w:rFonts w:ascii="Verdana" w:hAnsi="Verdana" w:cs="Calibri"/>
          <w:sz w:val="20"/>
          <w:szCs w:val="20"/>
        </w:rPr>
        <w:t xml:space="preserve">, le </w:t>
      </w:r>
      <w:r w:rsidR="002E61F8">
        <w:rPr>
          <w:rFonts w:ascii="Verdana" w:hAnsi="Verdana" w:cs="Calibri"/>
          <w:sz w:val="20"/>
          <w:szCs w:val="20"/>
        </w:rPr>
        <w:t>Secrétariat</w:t>
      </w:r>
      <w:r w:rsidR="00EE4AA4">
        <w:rPr>
          <w:rFonts w:ascii="Verdana" w:hAnsi="Verdana" w:cs="Calibri"/>
          <w:sz w:val="20"/>
          <w:szCs w:val="20"/>
        </w:rPr>
        <w:t xml:space="preserve"> </w:t>
      </w:r>
      <w:r w:rsidR="00E27508">
        <w:rPr>
          <w:rFonts w:ascii="Verdana" w:hAnsi="Verdana" w:cs="Calibri"/>
          <w:sz w:val="20"/>
          <w:szCs w:val="20"/>
        </w:rPr>
        <w:t>n’a pu donner suite à ces</w:t>
      </w:r>
      <w:r w:rsidR="00EE4AA4">
        <w:rPr>
          <w:rFonts w:ascii="Verdana" w:hAnsi="Verdana" w:cs="Calibri"/>
          <w:sz w:val="20"/>
          <w:szCs w:val="20"/>
        </w:rPr>
        <w:t xml:space="preserve"> opportunités. </w:t>
      </w:r>
      <w:r w:rsidR="00A53AE7" w:rsidRPr="00A53AE7">
        <w:rPr>
          <w:rFonts w:ascii="Verdana" w:hAnsi="Verdana" w:cs="Calibri"/>
          <w:sz w:val="20"/>
          <w:szCs w:val="20"/>
        </w:rPr>
        <w:t>Ce manque d’agilité opérationnelle limite la capacité de la COI à se positionner sur des opportunités stratégiques</w:t>
      </w:r>
      <w:r w:rsidR="00E27508">
        <w:rPr>
          <w:rFonts w:ascii="Verdana" w:hAnsi="Verdana" w:cs="Calibri"/>
          <w:sz w:val="20"/>
          <w:szCs w:val="20"/>
        </w:rPr>
        <w:t xml:space="preserve"> de financement</w:t>
      </w:r>
      <w:r w:rsidR="00A53AE7" w:rsidRPr="00A53AE7">
        <w:rPr>
          <w:rFonts w:ascii="Verdana" w:hAnsi="Verdana" w:cs="Calibri"/>
          <w:sz w:val="20"/>
          <w:szCs w:val="20"/>
        </w:rPr>
        <w:t>.</w:t>
      </w:r>
    </w:p>
    <w:p w14:paraId="6A3F1EF4" w14:textId="5B59B640" w:rsidR="001C11B9" w:rsidRDefault="009D356E" w:rsidP="00134490">
      <w:pPr>
        <w:jc w:val="both"/>
        <w:rPr>
          <w:rFonts w:ascii="Verdana" w:hAnsi="Verdana" w:cs="Calibri"/>
          <w:sz w:val="20"/>
          <w:szCs w:val="20"/>
        </w:rPr>
      </w:pPr>
      <w:r>
        <w:rPr>
          <w:rFonts w:ascii="Verdana" w:hAnsi="Verdana" w:cs="Calibri"/>
          <w:sz w:val="20"/>
          <w:szCs w:val="20"/>
        </w:rPr>
        <w:t xml:space="preserve">Il convient donc de conduire une réflexion sur la </w:t>
      </w:r>
      <w:r w:rsidR="00D8150E">
        <w:rPr>
          <w:rFonts w:ascii="Verdana" w:hAnsi="Verdana" w:cs="Calibri"/>
          <w:sz w:val="20"/>
          <w:szCs w:val="20"/>
        </w:rPr>
        <w:t xml:space="preserve">latitude </w:t>
      </w:r>
      <w:r w:rsidR="004526CE">
        <w:rPr>
          <w:rFonts w:ascii="Verdana" w:hAnsi="Verdana" w:cs="Calibri"/>
          <w:sz w:val="20"/>
          <w:szCs w:val="20"/>
        </w:rPr>
        <w:t xml:space="preserve">effective </w:t>
      </w:r>
      <w:r w:rsidR="00D8150E">
        <w:rPr>
          <w:rFonts w:ascii="Verdana" w:hAnsi="Verdana" w:cs="Calibri"/>
          <w:sz w:val="20"/>
          <w:szCs w:val="20"/>
        </w:rPr>
        <w:t xml:space="preserve">donnée au Secrétariat général pour, d’une part, répondre à des appels à propositions / appels à projets et, d’autre part, à se joindre à des groupements pour la formulation de projets en cohérence avec les axes stratégiques du PDS et les priorités du PAP. </w:t>
      </w:r>
    </w:p>
    <w:p w14:paraId="60B8DA4A" w14:textId="77777777" w:rsidR="009F6233" w:rsidRPr="000C1CCD" w:rsidRDefault="009F6233" w:rsidP="00134490">
      <w:pPr>
        <w:jc w:val="both"/>
        <w:rPr>
          <w:rFonts w:ascii="Verdana" w:hAnsi="Verdana" w:cs="Calibri"/>
          <w:sz w:val="20"/>
          <w:szCs w:val="20"/>
        </w:rPr>
      </w:pPr>
    </w:p>
    <w:p w14:paraId="242EBA19" w14:textId="77777777" w:rsidR="009B1496" w:rsidRDefault="009B1496" w:rsidP="00A70123">
      <w:pPr>
        <w:pStyle w:val="Titrepartie"/>
      </w:pPr>
      <w:r>
        <w:t>Recommandations et opportunités</w:t>
      </w:r>
    </w:p>
    <w:p w14:paraId="515FD969" w14:textId="74471CA0" w:rsidR="009B1496" w:rsidRPr="00134490" w:rsidRDefault="009B1496" w:rsidP="00927C5F">
      <w:pPr>
        <w:jc w:val="both"/>
        <w:rPr>
          <w:rFonts w:ascii="Verdana" w:hAnsi="Verdana" w:cs="Calibri"/>
          <w:sz w:val="20"/>
          <w:szCs w:val="20"/>
        </w:rPr>
      </w:pPr>
      <w:r w:rsidRPr="00134490">
        <w:rPr>
          <w:rFonts w:ascii="Verdana" w:hAnsi="Verdana" w:cs="Calibri"/>
          <w:sz w:val="20"/>
          <w:szCs w:val="20"/>
        </w:rPr>
        <w:t xml:space="preserve">Afin de répondre aux défis identifiés et d’améliorer l’efficacité du processus de mobilisation des ressources, le </w:t>
      </w:r>
      <w:r>
        <w:rPr>
          <w:rFonts w:ascii="Verdana" w:hAnsi="Verdana" w:cs="Calibri"/>
          <w:sz w:val="20"/>
          <w:szCs w:val="20"/>
        </w:rPr>
        <w:t>Secrétariat général propose au Comité des OPL d’adopter un ensemble de</w:t>
      </w:r>
      <w:r w:rsidRPr="00134490">
        <w:rPr>
          <w:rFonts w:ascii="Verdana" w:hAnsi="Verdana" w:cs="Calibri"/>
          <w:sz w:val="20"/>
          <w:szCs w:val="20"/>
        </w:rPr>
        <w:t xml:space="preserve"> recommandations structurantes visant à renforcer la réactivité, la coordination et la capacité </w:t>
      </w:r>
      <w:r w:rsidR="00CE59D1">
        <w:rPr>
          <w:rFonts w:ascii="Verdana" w:hAnsi="Verdana" w:cs="Calibri"/>
          <w:sz w:val="20"/>
          <w:szCs w:val="20"/>
        </w:rPr>
        <w:t xml:space="preserve">de mobilisation financière </w:t>
      </w:r>
      <w:r w:rsidRPr="00134490">
        <w:rPr>
          <w:rFonts w:ascii="Verdana" w:hAnsi="Verdana" w:cs="Calibri"/>
          <w:sz w:val="20"/>
          <w:szCs w:val="20"/>
        </w:rPr>
        <w:t>de la COI :</w:t>
      </w:r>
    </w:p>
    <w:p w14:paraId="652479D1" w14:textId="4F8325BB" w:rsidR="009B1496" w:rsidRPr="00927C5F" w:rsidRDefault="009B1496">
      <w:pPr>
        <w:pStyle w:val="Paragraphedeliste"/>
        <w:numPr>
          <w:ilvl w:val="0"/>
          <w:numId w:val="18"/>
        </w:numPr>
        <w:jc w:val="both"/>
        <w:rPr>
          <w:rFonts w:ascii="Verdana" w:hAnsi="Verdana"/>
          <w:b/>
          <w:bCs/>
          <w:sz w:val="20"/>
          <w:szCs w:val="20"/>
        </w:rPr>
      </w:pPr>
      <w:r w:rsidRPr="00134490">
        <w:rPr>
          <w:rFonts w:ascii="Verdana" w:hAnsi="Verdana"/>
          <w:b/>
          <w:bCs/>
          <w:sz w:val="20"/>
          <w:szCs w:val="20"/>
        </w:rPr>
        <w:t>Mise en place d’un mécanisme de validation déléguée</w:t>
      </w:r>
      <w:r w:rsidR="00762FE8">
        <w:rPr>
          <w:rFonts w:ascii="Verdana" w:hAnsi="Verdana"/>
          <w:b/>
          <w:bCs/>
          <w:sz w:val="20"/>
          <w:szCs w:val="20"/>
        </w:rPr>
        <w:t xml:space="preserve"> / différée</w:t>
      </w:r>
      <w:r>
        <w:rPr>
          <w:rFonts w:ascii="Verdana" w:hAnsi="Verdana"/>
          <w:b/>
          <w:bCs/>
          <w:sz w:val="20"/>
          <w:szCs w:val="20"/>
        </w:rPr>
        <w:t xml:space="preserve"> : </w:t>
      </w:r>
      <w:r w:rsidRPr="00134490">
        <w:rPr>
          <w:rFonts w:ascii="Verdana" w:hAnsi="Verdana"/>
          <w:sz w:val="20"/>
          <w:szCs w:val="20"/>
        </w:rPr>
        <w:t xml:space="preserve">Dans le but de ne pas compromettre les opportunités de financement en raison de délais institutionnels, il est recommandé </w:t>
      </w:r>
      <w:r w:rsidRPr="00142693">
        <w:rPr>
          <w:rFonts w:ascii="Verdana" w:hAnsi="Verdana"/>
          <w:b/>
          <w:bCs/>
          <w:sz w:val="20"/>
          <w:szCs w:val="20"/>
        </w:rPr>
        <w:t>d’instaurer un mécanisme de validation déléguée</w:t>
      </w:r>
      <w:r w:rsidRPr="00134490">
        <w:rPr>
          <w:rFonts w:ascii="Verdana" w:hAnsi="Verdana"/>
          <w:sz w:val="20"/>
          <w:szCs w:val="20"/>
        </w:rPr>
        <w:t>. Ce dispositif permettrait au Secrétariat général de soumettre</w:t>
      </w:r>
      <w:r w:rsidRPr="008C5162">
        <w:rPr>
          <w:rFonts w:ascii="Verdana" w:hAnsi="Verdana"/>
          <w:sz w:val="20"/>
          <w:szCs w:val="20"/>
        </w:rPr>
        <w:t>, à titre provisoire, des projets ou des premières phases de projets</w:t>
      </w:r>
      <w:r w:rsidR="00CE59D1">
        <w:rPr>
          <w:rFonts w:ascii="Verdana" w:hAnsi="Verdana"/>
          <w:sz w:val="20"/>
          <w:szCs w:val="20"/>
        </w:rPr>
        <w:t xml:space="preserve">. </w:t>
      </w:r>
      <w:r w:rsidRPr="00134490">
        <w:rPr>
          <w:rFonts w:ascii="Verdana" w:hAnsi="Verdana"/>
          <w:sz w:val="20"/>
          <w:szCs w:val="20"/>
        </w:rPr>
        <w:t>Ce mécanisme vise à accroître la flexibilité opérationnelle tout en maintenant les exigences de conformité et de transparence.</w:t>
      </w:r>
      <w:r w:rsidR="002F5C93">
        <w:rPr>
          <w:rFonts w:ascii="Verdana" w:hAnsi="Verdana"/>
          <w:sz w:val="20"/>
          <w:szCs w:val="20"/>
        </w:rPr>
        <w:t xml:space="preserve"> Le Secrétariat général sera, dans ce cas, tenu d’informer les </w:t>
      </w:r>
      <w:r w:rsidR="008400C5">
        <w:rPr>
          <w:rFonts w:ascii="Verdana" w:hAnsi="Verdana"/>
          <w:sz w:val="20"/>
          <w:szCs w:val="20"/>
        </w:rPr>
        <w:t>États</w:t>
      </w:r>
      <w:r w:rsidR="002F5C93">
        <w:rPr>
          <w:rFonts w:ascii="Verdana" w:hAnsi="Verdana"/>
          <w:sz w:val="20"/>
          <w:szCs w:val="20"/>
        </w:rPr>
        <w:t xml:space="preserve"> membres de l’opportunité identifiée et des grandes lignes de l’activité envisagée</w:t>
      </w:r>
      <w:r w:rsidR="00A87F04">
        <w:rPr>
          <w:rFonts w:ascii="Verdana" w:hAnsi="Verdana"/>
          <w:sz w:val="20"/>
          <w:szCs w:val="20"/>
        </w:rPr>
        <w:t xml:space="preserve"> en vue d’une présentation ultérieure aux instances. </w:t>
      </w:r>
    </w:p>
    <w:p w14:paraId="4E323AAB" w14:textId="77777777" w:rsidR="009B1496" w:rsidRPr="00142693" w:rsidRDefault="009B1496" w:rsidP="00927C5F">
      <w:pPr>
        <w:pStyle w:val="Paragraphedeliste"/>
        <w:numPr>
          <w:ilvl w:val="0"/>
          <w:numId w:val="18"/>
        </w:numPr>
        <w:jc w:val="both"/>
        <w:rPr>
          <w:rFonts w:ascii="Verdana" w:hAnsi="Verdana"/>
          <w:b/>
          <w:bCs/>
          <w:sz w:val="20"/>
          <w:szCs w:val="20"/>
        </w:rPr>
      </w:pPr>
      <w:r w:rsidRPr="00142693">
        <w:rPr>
          <w:rFonts w:ascii="Verdana" w:hAnsi="Verdana"/>
          <w:b/>
          <w:bCs/>
          <w:sz w:val="20"/>
          <w:szCs w:val="20"/>
        </w:rPr>
        <w:t xml:space="preserve">Organisation d’un Forum des partenaires techniques et financiers : </w:t>
      </w:r>
      <w:r w:rsidRPr="00142693">
        <w:rPr>
          <w:rFonts w:ascii="Verdana" w:hAnsi="Verdana"/>
          <w:sz w:val="20"/>
          <w:szCs w:val="20"/>
        </w:rPr>
        <w:t xml:space="preserve">Afin de consolider les partenariats et de présenter les priorités stratégiques de la COI, il est recommandé d’organiser un </w:t>
      </w:r>
      <w:r w:rsidRPr="00142693">
        <w:rPr>
          <w:rFonts w:ascii="Verdana" w:hAnsi="Verdana"/>
          <w:b/>
          <w:bCs/>
          <w:sz w:val="20"/>
          <w:szCs w:val="20"/>
        </w:rPr>
        <w:t>Forum régional des partenaires techniques et financiers entre fin 2026 et début 2027</w:t>
      </w:r>
      <w:r w:rsidRPr="00142693">
        <w:rPr>
          <w:rFonts w:ascii="Verdana" w:hAnsi="Verdana"/>
          <w:sz w:val="20"/>
          <w:szCs w:val="20"/>
        </w:rPr>
        <w:t xml:space="preserve">. Cet événement permettra de renforcer </w:t>
      </w:r>
      <w:r w:rsidRPr="00142693">
        <w:rPr>
          <w:rFonts w:ascii="Verdana" w:hAnsi="Verdana"/>
          <w:sz w:val="20"/>
          <w:szCs w:val="20"/>
        </w:rPr>
        <w:lastRenderedPageBreak/>
        <w:t>la visibilité de l’Organisation, de promouvoir ses axes d’intervention, et de favoriser la co-construction de projets avec les bailleurs et les opérateurs régionaux.</w:t>
      </w:r>
    </w:p>
    <w:p w14:paraId="163FF87B" w14:textId="77777777" w:rsidR="009B1496" w:rsidRDefault="009B1496" w:rsidP="00927C5F">
      <w:pPr>
        <w:pStyle w:val="Titrepartie"/>
        <w:numPr>
          <w:ilvl w:val="0"/>
          <w:numId w:val="0"/>
        </w:numPr>
        <w:ind w:left="720" w:hanging="360"/>
      </w:pPr>
    </w:p>
    <w:p w14:paraId="2F7F5914" w14:textId="52E40DF7" w:rsidR="00955BB3" w:rsidRPr="0008468B" w:rsidRDefault="00955BB3" w:rsidP="00A70123">
      <w:pPr>
        <w:pStyle w:val="Titrepartie"/>
      </w:pPr>
      <w:r w:rsidRPr="0008468B">
        <w:t>Proposition de décision</w:t>
      </w:r>
    </w:p>
    <w:bookmarkEnd w:id="0"/>
    <w:p w14:paraId="3B601674" w14:textId="3C89622F" w:rsidR="009B1496" w:rsidRDefault="009B1496" w:rsidP="00134490">
      <w:pPr>
        <w:rPr>
          <w:rFonts w:ascii="Verdana" w:hAnsi="Verdana" w:cs="Calibri"/>
          <w:sz w:val="20"/>
          <w:szCs w:val="20"/>
        </w:rPr>
      </w:pPr>
      <w:r>
        <w:rPr>
          <w:rFonts w:ascii="Verdana" w:hAnsi="Verdana" w:cs="Calibri"/>
          <w:sz w:val="20"/>
          <w:szCs w:val="20"/>
        </w:rPr>
        <w:t>Le Comité des OPL</w:t>
      </w:r>
      <w:r w:rsidR="007B1B19">
        <w:rPr>
          <w:rFonts w:ascii="Verdana" w:hAnsi="Verdana" w:cs="Calibri"/>
          <w:sz w:val="20"/>
          <w:szCs w:val="20"/>
        </w:rPr>
        <w:t xml:space="preserve"> </w:t>
      </w:r>
      <w:r>
        <w:rPr>
          <w:rFonts w:ascii="Verdana" w:hAnsi="Verdana" w:cs="Calibri"/>
          <w:sz w:val="20"/>
          <w:szCs w:val="20"/>
        </w:rPr>
        <w:t>:</w:t>
      </w:r>
    </w:p>
    <w:p w14:paraId="70F35550" w14:textId="008D4D00" w:rsidR="00C178E9" w:rsidRDefault="006B43D3">
      <w:pPr>
        <w:pStyle w:val="Paragraphedeliste"/>
        <w:numPr>
          <w:ilvl w:val="0"/>
          <w:numId w:val="19"/>
        </w:numPr>
        <w:jc w:val="both"/>
        <w:rPr>
          <w:rFonts w:ascii="Verdana" w:hAnsi="Verdana" w:cs="Calibri"/>
          <w:sz w:val="20"/>
          <w:szCs w:val="20"/>
        </w:rPr>
      </w:pPr>
      <w:r>
        <w:rPr>
          <w:rFonts w:ascii="Verdana" w:hAnsi="Verdana" w:cs="Calibri"/>
          <w:sz w:val="20"/>
          <w:szCs w:val="20"/>
        </w:rPr>
        <w:t>P</w:t>
      </w:r>
      <w:r w:rsidR="007B1B19">
        <w:rPr>
          <w:rFonts w:ascii="Verdana" w:hAnsi="Verdana" w:cs="Calibri"/>
          <w:sz w:val="20"/>
          <w:szCs w:val="20"/>
        </w:rPr>
        <w:t>rend</w:t>
      </w:r>
      <w:r w:rsidR="009B1496" w:rsidRPr="00C178E9">
        <w:rPr>
          <w:rFonts w:ascii="Verdana" w:hAnsi="Verdana" w:cs="Calibri"/>
          <w:sz w:val="20"/>
          <w:szCs w:val="20"/>
        </w:rPr>
        <w:t xml:space="preserve"> note de l’évolution des conditions et de l’accessibilité </w:t>
      </w:r>
      <w:r w:rsidR="007B1B19">
        <w:rPr>
          <w:rFonts w:ascii="Verdana" w:hAnsi="Verdana" w:cs="Calibri"/>
          <w:sz w:val="20"/>
          <w:szCs w:val="20"/>
        </w:rPr>
        <w:t xml:space="preserve">aux financements </w:t>
      </w:r>
      <w:r w:rsidR="009B1496" w:rsidRPr="00C178E9">
        <w:rPr>
          <w:rFonts w:ascii="Verdana" w:hAnsi="Verdana" w:cs="Calibri"/>
          <w:sz w:val="20"/>
          <w:szCs w:val="20"/>
        </w:rPr>
        <w:t>au développement</w:t>
      </w:r>
      <w:r w:rsidR="007B1B19">
        <w:rPr>
          <w:rFonts w:ascii="Verdana" w:hAnsi="Verdana" w:cs="Calibri"/>
          <w:sz w:val="20"/>
          <w:szCs w:val="20"/>
        </w:rPr>
        <w:t xml:space="preserve"> et invite le Secrétariat général à élaborer une stratégie de mobilisation des ressources innovantes en synergie avec le PDS</w:t>
      </w:r>
      <w:r>
        <w:rPr>
          <w:rFonts w:ascii="Verdana" w:hAnsi="Verdana" w:cs="Calibri"/>
          <w:sz w:val="20"/>
          <w:szCs w:val="20"/>
        </w:rPr>
        <w:t xml:space="preserve"> en vue de son approbation aux prochaines instances </w:t>
      </w:r>
      <w:r w:rsidR="00C178E9" w:rsidRPr="00C178E9">
        <w:rPr>
          <w:rFonts w:ascii="Verdana" w:hAnsi="Verdana" w:cs="Calibri"/>
          <w:sz w:val="20"/>
          <w:szCs w:val="20"/>
        </w:rPr>
        <w:t>;</w:t>
      </w:r>
    </w:p>
    <w:p w14:paraId="2AC9D59C" w14:textId="77777777" w:rsidR="008400C5" w:rsidRPr="00C178E9" w:rsidRDefault="008400C5" w:rsidP="008400C5">
      <w:pPr>
        <w:pStyle w:val="Paragraphedeliste"/>
        <w:jc w:val="both"/>
        <w:rPr>
          <w:rFonts w:ascii="Verdana" w:hAnsi="Verdana" w:cs="Calibri"/>
          <w:sz w:val="20"/>
          <w:szCs w:val="20"/>
        </w:rPr>
      </w:pPr>
    </w:p>
    <w:p w14:paraId="4648F921" w14:textId="4A091810" w:rsidR="008F173C" w:rsidRDefault="006B43D3" w:rsidP="007B1B19">
      <w:pPr>
        <w:pStyle w:val="Paragraphedeliste"/>
        <w:numPr>
          <w:ilvl w:val="0"/>
          <w:numId w:val="19"/>
        </w:numPr>
        <w:jc w:val="both"/>
        <w:rPr>
          <w:rFonts w:ascii="Verdana" w:hAnsi="Verdana" w:cs="Calibri"/>
          <w:sz w:val="20"/>
          <w:szCs w:val="20"/>
        </w:rPr>
      </w:pPr>
      <w:r>
        <w:rPr>
          <w:rFonts w:ascii="Verdana" w:hAnsi="Verdana" w:cs="Calibri"/>
          <w:sz w:val="20"/>
          <w:szCs w:val="20"/>
        </w:rPr>
        <w:t>I</w:t>
      </w:r>
      <w:r w:rsidR="007B1B19">
        <w:rPr>
          <w:rFonts w:ascii="Verdana" w:hAnsi="Verdana" w:cs="Calibri"/>
          <w:sz w:val="20"/>
          <w:szCs w:val="20"/>
        </w:rPr>
        <w:t>nvite le</w:t>
      </w:r>
      <w:r w:rsidR="009B1496">
        <w:rPr>
          <w:rFonts w:ascii="Verdana" w:hAnsi="Verdana" w:cs="Calibri"/>
          <w:sz w:val="20"/>
          <w:szCs w:val="20"/>
        </w:rPr>
        <w:t xml:space="preserve"> Secrétariat général, suivant les recommandations présentées</w:t>
      </w:r>
      <w:r>
        <w:rPr>
          <w:rFonts w:ascii="Verdana" w:hAnsi="Verdana" w:cs="Calibri"/>
          <w:sz w:val="20"/>
          <w:szCs w:val="20"/>
        </w:rPr>
        <w:t>,</w:t>
      </w:r>
      <w:r w:rsidR="007B1B19">
        <w:rPr>
          <w:rFonts w:ascii="Verdana" w:hAnsi="Verdana" w:cs="Calibri"/>
          <w:sz w:val="20"/>
          <w:szCs w:val="20"/>
        </w:rPr>
        <w:t xml:space="preserve"> à organiser </w:t>
      </w:r>
      <w:r>
        <w:rPr>
          <w:rFonts w:ascii="Verdana" w:hAnsi="Verdana" w:cs="Calibri"/>
          <w:sz w:val="20"/>
          <w:szCs w:val="20"/>
        </w:rPr>
        <w:t>une réunion de haut niveau avec d</w:t>
      </w:r>
      <w:r w:rsidR="00F23DA9">
        <w:rPr>
          <w:rFonts w:ascii="Verdana" w:hAnsi="Verdana" w:cs="Calibri"/>
          <w:sz w:val="20"/>
          <w:szCs w:val="20"/>
        </w:rPr>
        <w:t>es partenaires techniques et financiers</w:t>
      </w:r>
      <w:r w:rsidR="007B1B19">
        <w:rPr>
          <w:rFonts w:ascii="Verdana" w:hAnsi="Verdana" w:cs="Calibri"/>
          <w:sz w:val="20"/>
          <w:szCs w:val="20"/>
        </w:rPr>
        <w:t xml:space="preserve">, </w:t>
      </w:r>
      <w:r>
        <w:rPr>
          <w:rFonts w:ascii="Verdana" w:hAnsi="Verdana" w:cs="Calibri"/>
          <w:sz w:val="20"/>
          <w:szCs w:val="20"/>
        </w:rPr>
        <w:t>fin</w:t>
      </w:r>
      <w:r w:rsidR="007B1B19">
        <w:rPr>
          <w:rFonts w:ascii="Verdana" w:hAnsi="Verdana" w:cs="Calibri"/>
          <w:sz w:val="20"/>
          <w:szCs w:val="20"/>
        </w:rPr>
        <w:t xml:space="preserve"> 2026 </w:t>
      </w:r>
      <w:r w:rsidR="00F23DA9">
        <w:rPr>
          <w:rFonts w:ascii="Verdana" w:hAnsi="Verdana" w:cs="Calibri"/>
          <w:sz w:val="20"/>
          <w:szCs w:val="20"/>
        </w:rPr>
        <w:t xml:space="preserve">et </w:t>
      </w:r>
      <w:r w:rsidR="007B1B19">
        <w:rPr>
          <w:rFonts w:ascii="Verdana" w:hAnsi="Verdana" w:cs="Calibri"/>
          <w:sz w:val="20"/>
          <w:szCs w:val="20"/>
        </w:rPr>
        <w:t>de soumettre</w:t>
      </w:r>
      <w:r w:rsidR="00F23DA9">
        <w:rPr>
          <w:rFonts w:ascii="Verdana" w:hAnsi="Verdana" w:cs="Calibri"/>
          <w:sz w:val="20"/>
          <w:szCs w:val="20"/>
        </w:rPr>
        <w:t xml:space="preserve"> la note conceptuelle aux </w:t>
      </w:r>
      <w:r w:rsidR="00946CA2">
        <w:rPr>
          <w:rFonts w:ascii="Verdana" w:hAnsi="Verdana" w:cs="Calibri"/>
          <w:sz w:val="20"/>
          <w:szCs w:val="20"/>
        </w:rPr>
        <w:t>États</w:t>
      </w:r>
      <w:r w:rsidR="00F23DA9">
        <w:rPr>
          <w:rFonts w:ascii="Verdana" w:hAnsi="Verdana" w:cs="Calibri"/>
          <w:sz w:val="20"/>
          <w:szCs w:val="20"/>
        </w:rPr>
        <w:t xml:space="preserve"> membres</w:t>
      </w:r>
      <w:r w:rsidR="007B1B19">
        <w:rPr>
          <w:rFonts w:ascii="Verdana" w:hAnsi="Verdana" w:cs="Calibri"/>
          <w:sz w:val="20"/>
          <w:szCs w:val="20"/>
        </w:rPr>
        <w:t xml:space="preserve"> pour validation </w:t>
      </w:r>
      <w:r>
        <w:rPr>
          <w:rFonts w:ascii="Verdana" w:hAnsi="Verdana" w:cs="Calibri"/>
          <w:sz w:val="20"/>
          <w:szCs w:val="20"/>
        </w:rPr>
        <w:t>avant les prochaines instances</w:t>
      </w:r>
      <w:r w:rsidR="007B1B19">
        <w:rPr>
          <w:rFonts w:ascii="Verdana" w:hAnsi="Verdana" w:cs="Calibri"/>
          <w:sz w:val="20"/>
          <w:szCs w:val="20"/>
        </w:rPr>
        <w:t>.</w:t>
      </w:r>
    </w:p>
    <w:p w14:paraId="6A87B41E" w14:textId="77777777" w:rsidR="00834BD3" w:rsidRPr="00834BD3" w:rsidRDefault="00834BD3" w:rsidP="00834BD3">
      <w:pPr>
        <w:ind w:left="1080"/>
        <w:rPr>
          <w:rFonts w:ascii="Verdana" w:hAnsi="Verdana" w:cs="Calibri"/>
          <w:sz w:val="20"/>
          <w:szCs w:val="20"/>
        </w:rPr>
      </w:pPr>
    </w:p>
    <w:sectPr w:rsidR="00834BD3" w:rsidRPr="00834BD3"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A2DE" w14:textId="77777777" w:rsidR="00CC1ABC" w:rsidRDefault="00CC1ABC">
      <w:pPr>
        <w:spacing w:after="0" w:line="240" w:lineRule="auto"/>
      </w:pPr>
      <w:r>
        <w:separator/>
      </w:r>
    </w:p>
  </w:endnote>
  <w:endnote w:type="continuationSeparator" w:id="0">
    <w:p w14:paraId="7FDDD0A5" w14:textId="77777777" w:rsidR="00CC1ABC" w:rsidRDefault="00CC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701F" w14:textId="77777777" w:rsidR="00CC1ABC" w:rsidRDefault="00CC1ABC">
      <w:pPr>
        <w:spacing w:after="0" w:line="240" w:lineRule="auto"/>
      </w:pPr>
      <w:r>
        <w:separator/>
      </w:r>
    </w:p>
  </w:footnote>
  <w:footnote w:type="continuationSeparator" w:id="0">
    <w:p w14:paraId="112A829F" w14:textId="77777777" w:rsidR="00CC1ABC" w:rsidRDefault="00CC1ABC">
      <w:pPr>
        <w:spacing w:after="0" w:line="240" w:lineRule="auto"/>
      </w:pPr>
      <w:r>
        <w:continuationSeparator/>
      </w:r>
    </w:p>
  </w:footnote>
  <w:footnote w:id="1">
    <w:p w14:paraId="29B13FE9" w14:textId="5941E73E" w:rsidR="0094327C" w:rsidRPr="0094327C" w:rsidRDefault="0094327C">
      <w:pPr>
        <w:pStyle w:val="Notedebasdepage"/>
      </w:pPr>
      <w:r>
        <w:rPr>
          <w:rStyle w:val="Appelnotedebasdep"/>
        </w:rPr>
        <w:footnoteRef/>
      </w:r>
      <w:r>
        <w:t xml:space="preserve"> </w:t>
      </w:r>
      <w:hyperlink r:id="rId1" w:history="1">
        <w:r w:rsidRPr="000C0C51">
          <w:rPr>
            <w:rStyle w:val="Lienhypertexte"/>
          </w:rPr>
          <w:t>https://scalingcommunityofpractice.com/wp-content/uploads/2025/05/Scaling-at-AFD-fr-FINAL.pdf</w:t>
        </w:r>
      </w:hyperlink>
    </w:p>
  </w:footnote>
  <w:footnote w:id="2">
    <w:p w14:paraId="629CA34F" w14:textId="0DF2F588" w:rsidR="0094327C" w:rsidRPr="0094327C" w:rsidRDefault="0094327C">
      <w:pPr>
        <w:pStyle w:val="Notedebasdepage"/>
      </w:pPr>
      <w:r>
        <w:rPr>
          <w:rStyle w:val="Appelnotedebasdep"/>
        </w:rPr>
        <w:footnoteRef/>
      </w:r>
      <w:r>
        <w:t xml:space="preserve"> </w:t>
      </w:r>
      <w:hyperlink r:id="rId2" w:history="1">
        <w:r w:rsidRPr="000C0C51">
          <w:rPr>
            <w:rStyle w:val="Lienhypertexte"/>
          </w:rPr>
          <w:t>https://agir-ensemble-droits-humains.org/wp-content/uploads/2024/02/Rapport-DEFI-Petites-organisations-Grands-defis-financiers-VF.pdf</w:t>
        </w:r>
      </w:hyperlink>
    </w:p>
  </w:footnote>
  <w:footnote w:id="3">
    <w:p w14:paraId="1344210B" w14:textId="393AD74E" w:rsidR="00776540" w:rsidRDefault="00776540">
      <w:pPr>
        <w:pStyle w:val="Notedebasdepage"/>
      </w:pPr>
      <w:r>
        <w:rPr>
          <w:rStyle w:val="Appelnotedebasdep"/>
        </w:rPr>
        <w:footnoteRef/>
      </w:r>
      <w:r>
        <w:t xml:space="preserve"> </w:t>
      </w:r>
      <w:hyperlink r:id="rId3" w:history="1">
        <w:r w:rsidRPr="00FB2497">
          <w:rPr>
            <w:rStyle w:val="Lienhypertexte"/>
          </w:rPr>
          <w:t>https://international-partnerships.ec.europa.eu/funding-and-technical-assistance/funding-instruments/global-europe-neighbourhood-development-and-international-cooperation-instrument_en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3E07CEB"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34FDA">
      <w:rPr>
        <w:rFonts w:ascii="Verdana" w:hAnsi="Verdana"/>
        <w:b/>
        <w:bCs/>
        <w:sz w:val="20"/>
        <w:szCs w:val="20"/>
      </w:rPr>
      <w:t>1</w:t>
    </w:r>
    <w:r w:rsidR="0018252D" w:rsidRPr="00034FDA">
      <w:rPr>
        <w:rFonts w:ascii="Verdana" w:hAnsi="Verdana"/>
        <w:b/>
        <w:bCs/>
        <w:sz w:val="20"/>
        <w:szCs w:val="20"/>
      </w:rPr>
      <w:t>.</w:t>
    </w:r>
    <w:r w:rsidR="00034FDA">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C87112"/>
    <w:multiLevelType w:val="hybridMultilevel"/>
    <w:tmpl w:val="15E2D4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8A5F43"/>
    <w:multiLevelType w:val="hybridMultilevel"/>
    <w:tmpl w:val="8A543E42"/>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2C057681"/>
    <w:multiLevelType w:val="hybridMultilevel"/>
    <w:tmpl w:val="D87EE17E"/>
    <w:lvl w:ilvl="0" w:tplc="C724575E">
      <w:start w:val="2"/>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53266A"/>
    <w:multiLevelType w:val="hybridMultilevel"/>
    <w:tmpl w:val="986CE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9861A7"/>
    <w:multiLevelType w:val="hybridMultilevel"/>
    <w:tmpl w:val="0FB866EA"/>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754020"/>
    <w:multiLevelType w:val="hybridMultilevel"/>
    <w:tmpl w:val="25F0E2D6"/>
    <w:lvl w:ilvl="0" w:tplc="0AD884B4">
      <w:start w:val="6"/>
      <w:numFmt w:val="bullet"/>
      <w:lvlText w:val="-"/>
      <w:lvlJc w:val="left"/>
      <w:pPr>
        <w:ind w:left="720" w:hanging="360"/>
      </w:pPr>
      <w:rPr>
        <w:rFonts w:ascii="Verdana" w:eastAsiaTheme="minorHAnsi" w:hAnsi="Verdana"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7898887">
    <w:abstractNumId w:val="5"/>
  </w:num>
  <w:num w:numId="2" w16cid:durableId="757559289">
    <w:abstractNumId w:val="13"/>
  </w:num>
  <w:num w:numId="3" w16cid:durableId="1152218489">
    <w:abstractNumId w:val="3"/>
  </w:num>
  <w:num w:numId="4" w16cid:durableId="936863223">
    <w:abstractNumId w:val="0"/>
  </w:num>
  <w:num w:numId="5" w16cid:durableId="1736774521">
    <w:abstractNumId w:val="12"/>
  </w:num>
  <w:num w:numId="6" w16cid:durableId="1541552060">
    <w:abstractNumId w:val="4"/>
  </w:num>
  <w:num w:numId="7" w16cid:durableId="57897561">
    <w:abstractNumId w:val="6"/>
  </w:num>
  <w:num w:numId="8" w16cid:durableId="2023630452">
    <w:abstractNumId w:val="3"/>
    <w:lvlOverride w:ilvl="0">
      <w:startOverride w:val="1"/>
    </w:lvlOverride>
  </w:num>
  <w:num w:numId="9" w16cid:durableId="1533229171">
    <w:abstractNumId w:val="2"/>
  </w:num>
  <w:num w:numId="10" w16cid:durableId="1925912983">
    <w:abstractNumId w:val="8"/>
  </w:num>
  <w:num w:numId="11" w16cid:durableId="733741889">
    <w:abstractNumId w:val="11"/>
  </w:num>
  <w:num w:numId="12" w16cid:durableId="1599176692">
    <w:abstractNumId w:val="1"/>
  </w:num>
  <w:num w:numId="13" w16cid:durableId="308679578">
    <w:abstractNumId w:val="7"/>
  </w:num>
  <w:num w:numId="14" w16cid:durableId="1630161025">
    <w:abstractNumId w:val="3"/>
  </w:num>
  <w:num w:numId="15" w16cid:durableId="225720935">
    <w:abstractNumId w:val="3"/>
  </w:num>
  <w:num w:numId="16" w16cid:durableId="213079325">
    <w:abstractNumId w:val="3"/>
  </w:num>
  <w:num w:numId="17" w16cid:durableId="1064374552">
    <w:abstractNumId w:val="3"/>
  </w:num>
  <w:num w:numId="18" w16cid:durableId="1356728711">
    <w:abstractNumId w:val="9"/>
  </w:num>
  <w:num w:numId="19" w16cid:durableId="1895433528">
    <w:abstractNumId w:val="10"/>
  </w:num>
  <w:num w:numId="20" w16cid:durableId="194284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0202"/>
    <w:rsid w:val="00013A5F"/>
    <w:rsid w:val="00034FDA"/>
    <w:rsid w:val="000373B2"/>
    <w:rsid w:val="00042CF5"/>
    <w:rsid w:val="00060CA0"/>
    <w:rsid w:val="00063A26"/>
    <w:rsid w:val="0006666B"/>
    <w:rsid w:val="0007099B"/>
    <w:rsid w:val="0008468B"/>
    <w:rsid w:val="000A468A"/>
    <w:rsid w:val="000A4FF4"/>
    <w:rsid w:val="000B0FBD"/>
    <w:rsid w:val="000C1CCD"/>
    <w:rsid w:val="000C4071"/>
    <w:rsid w:val="000F4728"/>
    <w:rsid w:val="00107D9D"/>
    <w:rsid w:val="00134490"/>
    <w:rsid w:val="001369EA"/>
    <w:rsid w:val="00142693"/>
    <w:rsid w:val="00152F2B"/>
    <w:rsid w:val="0018252D"/>
    <w:rsid w:val="001A56F1"/>
    <w:rsid w:val="001B4738"/>
    <w:rsid w:val="001C11B9"/>
    <w:rsid w:val="001D2B5F"/>
    <w:rsid w:val="001F4FB5"/>
    <w:rsid w:val="002067FB"/>
    <w:rsid w:val="0024338E"/>
    <w:rsid w:val="002524F3"/>
    <w:rsid w:val="00255BAD"/>
    <w:rsid w:val="002824B9"/>
    <w:rsid w:val="002878AE"/>
    <w:rsid w:val="002A0933"/>
    <w:rsid w:val="002A096E"/>
    <w:rsid w:val="002C56ED"/>
    <w:rsid w:val="002D6C15"/>
    <w:rsid w:val="002E61F8"/>
    <w:rsid w:val="002F5C93"/>
    <w:rsid w:val="003011AE"/>
    <w:rsid w:val="00334176"/>
    <w:rsid w:val="0034491B"/>
    <w:rsid w:val="003455EB"/>
    <w:rsid w:val="00353B7C"/>
    <w:rsid w:val="00360166"/>
    <w:rsid w:val="003604B9"/>
    <w:rsid w:val="00365487"/>
    <w:rsid w:val="003772FB"/>
    <w:rsid w:val="00391152"/>
    <w:rsid w:val="00396B8F"/>
    <w:rsid w:val="003C2538"/>
    <w:rsid w:val="003D485F"/>
    <w:rsid w:val="003D5328"/>
    <w:rsid w:val="003E71DE"/>
    <w:rsid w:val="0041278C"/>
    <w:rsid w:val="00417683"/>
    <w:rsid w:val="00426673"/>
    <w:rsid w:val="00427B11"/>
    <w:rsid w:val="00433ED8"/>
    <w:rsid w:val="00451B70"/>
    <w:rsid w:val="004526CE"/>
    <w:rsid w:val="004607F7"/>
    <w:rsid w:val="00473E4A"/>
    <w:rsid w:val="004B31F7"/>
    <w:rsid w:val="004F0D3F"/>
    <w:rsid w:val="004F5C4B"/>
    <w:rsid w:val="00527A98"/>
    <w:rsid w:val="005321DD"/>
    <w:rsid w:val="0053773D"/>
    <w:rsid w:val="005936F7"/>
    <w:rsid w:val="005A1D39"/>
    <w:rsid w:val="00602A07"/>
    <w:rsid w:val="00620B90"/>
    <w:rsid w:val="006356AF"/>
    <w:rsid w:val="006548BF"/>
    <w:rsid w:val="00660504"/>
    <w:rsid w:val="00671A32"/>
    <w:rsid w:val="00672C60"/>
    <w:rsid w:val="00673F30"/>
    <w:rsid w:val="00684122"/>
    <w:rsid w:val="006A6833"/>
    <w:rsid w:val="006B43D3"/>
    <w:rsid w:val="006E2D9E"/>
    <w:rsid w:val="007058AE"/>
    <w:rsid w:val="00762FE8"/>
    <w:rsid w:val="00776540"/>
    <w:rsid w:val="007B1B19"/>
    <w:rsid w:val="007B245C"/>
    <w:rsid w:val="007B5E14"/>
    <w:rsid w:val="007C78FC"/>
    <w:rsid w:val="007D63B4"/>
    <w:rsid w:val="00804C7F"/>
    <w:rsid w:val="00816DAC"/>
    <w:rsid w:val="0083290E"/>
    <w:rsid w:val="00834BD3"/>
    <w:rsid w:val="008400C5"/>
    <w:rsid w:val="00843555"/>
    <w:rsid w:val="00843FF2"/>
    <w:rsid w:val="008453AB"/>
    <w:rsid w:val="00853508"/>
    <w:rsid w:val="00854EEA"/>
    <w:rsid w:val="008551DA"/>
    <w:rsid w:val="00857C1C"/>
    <w:rsid w:val="0086108D"/>
    <w:rsid w:val="00870AC9"/>
    <w:rsid w:val="008A00AB"/>
    <w:rsid w:val="008A221A"/>
    <w:rsid w:val="008B30EB"/>
    <w:rsid w:val="008B7E88"/>
    <w:rsid w:val="008C5162"/>
    <w:rsid w:val="008D1089"/>
    <w:rsid w:val="008D193F"/>
    <w:rsid w:val="008D7269"/>
    <w:rsid w:val="008E6668"/>
    <w:rsid w:val="008F173C"/>
    <w:rsid w:val="00903A3D"/>
    <w:rsid w:val="00927C5F"/>
    <w:rsid w:val="0093527E"/>
    <w:rsid w:val="0094327C"/>
    <w:rsid w:val="00946CA2"/>
    <w:rsid w:val="00955BB3"/>
    <w:rsid w:val="00997E83"/>
    <w:rsid w:val="009A38AD"/>
    <w:rsid w:val="009B1496"/>
    <w:rsid w:val="009D356E"/>
    <w:rsid w:val="009F6233"/>
    <w:rsid w:val="00A12D55"/>
    <w:rsid w:val="00A148A1"/>
    <w:rsid w:val="00A36C09"/>
    <w:rsid w:val="00A37C9F"/>
    <w:rsid w:val="00A42666"/>
    <w:rsid w:val="00A53AE7"/>
    <w:rsid w:val="00A66D4F"/>
    <w:rsid w:val="00A70123"/>
    <w:rsid w:val="00A76B07"/>
    <w:rsid w:val="00A81B98"/>
    <w:rsid w:val="00A86705"/>
    <w:rsid w:val="00A86C0D"/>
    <w:rsid w:val="00A87F04"/>
    <w:rsid w:val="00A90305"/>
    <w:rsid w:val="00AA63A3"/>
    <w:rsid w:val="00AB5EB7"/>
    <w:rsid w:val="00AD4D97"/>
    <w:rsid w:val="00AE2453"/>
    <w:rsid w:val="00B05DFC"/>
    <w:rsid w:val="00B24EB4"/>
    <w:rsid w:val="00B36EEA"/>
    <w:rsid w:val="00B65E8D"/>
    <w:rsid w:val="00BA3319"/>
    <w:rsid w:val="00BA4B55"/>
    <w:rsid w:val="00BB20F0"/>
    <w:rsid w:val="00BE342D"/>
    <w:rsid w:val="00BF17BA"/>
    <w:rsid w:val="00C05A22"/>
    <w:rsid w:val="00C12C93"/>
    <w:rsid w:val="00C178E9"/>
    <w:rsid w:val="00C26AC3"/>
    <w:rsid w:val="00C325F5"/>
    <w:rsid w:val="00C33EB7"/>
    <w:rsid w:val="00C457E8"/>
    <w:rsid w:val="00C46FB7"/>
    <w:rsid w:val="00C609B9"/>
    <w:rsid w:val="00C71CF3"/>
    <w:rsid w:val="00CA196D"/>
    <w:rsid w:val="00CC1ABC"/>
    <w:rsid w:val="00CD3DD4"/>
    <w:rsid w:val="00CE2386"/>
    <w:rsid w:val="00CE59D1"/>
    <w:rsid w:val="00CE626E"/>
    <w:rsid w:val="00CF2DCC"/>
    <w:rsid w:val="00CF66FC"/>
    <w:rsid w:val="00D232E3"/>
    <w:rsid w:val="00D435DE"/>
    <w:rsid w:val="00D7662A"/>
    <w:rsid w:val="00D8150E"/>
    <w:rsid w:val="00DA3915"/>
    <w:rsid w:val="00E03433"/>
    <w:rsid w:val="00E06B4A"/>
    <w:rsid w:val="00E10B89"/>
    <w:rsid w:val="00E2165D"/>
    <w:rsid w:val="00E27508"/>
    <w:rsid w:val="00E32408"/>
    <w:rsid w:val="00E51322"/>
    <w:rsid w:val="00E845D4"/>
    <w:rsid w:val="00E8581B"/>
    <w:rsid w:val="00EC0356"/>
    <w:rsid w:val="00EC22CC"/>
    <w:rsid w:val="00ED0ADD"/>
    <w:rsid w:val="00ED6B69"/>
    <w:rsid w:val="00EE34F4"/>
    <w:rsid w:val="00EE4AA4"/>
    <w:rsid w:val="00EE75A8"/>
    <w:rsid w:val="00EF22A4"/>
    <w:rsid w:val="00F23DA9"/>
    <w:rsid w:val="00F30744"/>
    <w:rsid w:val="00F54EA0"/>
    <w:rsid w:val="00F62D7E"/>
    <w:rsid w:val="00F6614F"/>
    <w:rsid w:val="00F82BA6"/>
    <w:rsid w:val="00F8365F"/>
    <w:rsid w:val="00F96EE9"/>
    <w:rsid w:val="00FE285D"/>
    <w:rsid w:val="00FE3522"/>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8D1089"/>
    <w:rPr>
      <w:color w:val="0563C1" w:themeColor="hyperlink"/>
      <w:u w:val="single"/>
    </w:rPr>
  </w:style>
  <w:style w:type="paragraph" w:styleId="Notedebasdepage">
    <w:name w:val="footnote text"/>
    <w:basedOn w:val="Normal"/>
    <w:link w:val="NotedebasdepageCar"/>
    <w:uiPriority w:val="99"/>
    <w:semiHidden/>
    <w:unhideWhenUsed/>
    <w:rsid w:val="008D1089"/>
    <w:pPr>
      <w:spacing w:after="0" w:line="240" w:lineRule="auto"/>
    </w:pPr>
    <w:rPr>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8D1089"/>
    <w:rPr>
      <w:kern w:val="2"/>
      <w:sz w:val="20"/>
      <w:szCs w:val="20"/>
      <w14:ligatures w14:val="standardContextual"/>
    </w:rPr>
  </w:style>
  <w:style w:type="character" w:styleId="Appelnotedebasdep">
    <w:name w:val="footnote reference"/>
    <w:basedOn w:val="Policepardfaut"/>
    <w:uiPriority w:val="99"/>
    <w:semiHidden/>
    <w:unhideWhenUsed/>
    <w:rsid w:val="008D1089"/>
    <w:rPr>
      <w:vertAlign w:val="superscript"/>
    </w:rPr>
  </w:style>
  <w:style w:type="paragraph" w:styleId="Rvision">
    <w:name w:val="Revision"/>
    <w:hidden/>
    <w:uiPriority w:val="99"/>
    <w:semiHidden/>
    <w:rsid w:val="001C11B9"/>
    <w:pPr>
      <w:spacing w:after="0" w:line="240" w:lineRule="auto"/>
    </w:pPr>
  </w:style>
  <w:style w:type="character" w:styleId="Mentionnonrsolue">
    <w:name w:val="Unresolved Mention"/>
    <w:basedOn w:val="Policepardfaut"/>
    <w:uiPriority w:val="99"/>
    <w:semiHidden/>
    <w:unhideWhenUsed/>
    <w:rsid w:val="0077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funding-and-technical-assistance/funding-instruments/global-europe-neighbourhood-development-and-international-cooperation-instrument_en" TargetMode="External"/><Relationship Id="rId2" Type="http://schemas.openxmlformats.org/officeDocument/2006/relationships/hyperlink" Target="https://agir-ensemble-droits-humains.org/wp-content/uploads/2024/02/Rapport-DEFI-Petites-organisations-Grands-defis-financiers-VF.pdf" TargetMode="External"/><Relationship Id="rId1" Type="http://schemas.openxmlformats.org/officeDocument/2006/relationships/hyperlink" Target="https://scalingcommunityofpractice.com/wp-content/uploads/2025/05/Scaling-at-AFD-fr-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4625-7BBD-41D5-9DB1-7FF7BAFA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1740</Words>
  <Characters>9573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5</cp:revision>
  <dcterms:created xsi:type="dcterms:W3CDTF">2025-11-10T06:09:00Z</dcterms:created>
  <dcterms:modified xsi:type="dcterms:W3CDTF">2025-11-11T07:50:00Z</dcterms:modified>
</cp:coreProperties>
</file>