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7ADDE54" w:rsidR="00C12C93" w:rsidRPr="00CD0256" w:rsidRDefault="00A5332A" w:rsidP="00CD0256">
      <w:pPr>
        <w:jc w:val="both"/>
        <w:rPr>
          <w:rFonts w:ascii="Verdana" w:hAnsi="Verdana"/>
          <w:b/>
          <w:bCs/>
          <w:sz w:val="2"/>
          <w:szCs w:val="2"/>
        </w:rPr>
      </w:pPr>
      <w:r w:rsidRPr="00CD0256">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rsidRPr="00CD0256" w14:paraId="51109D41" w14:textId="77777777" w:rsidTr="000E2E1E">
        <w:tc>
          <w:tcPr>
            <w:tcW w:w="9062" w:type="dxa"/>
            <w:gridSpan w:val="2"/>
          </w:tcPr>
          <w:p w14:paraId="6FC76F95" w14:textId="41BA9504" w:rsidR="00EC22CC" w:rsidRPr="00CD0256" w:rsidRDefault="00046C29" w:rsidP="00CD0256">
            <w:pPr>
              <w:jc w:val="center"/>
              <w:rPr>
                <w:rFonts w:ascii="Verdana" w:hAnsi="Verdana"/>
                <w:b/>
                <w:bCs/>
              </w:rPr>
            </w:pPr>
            <w:r w:rsidRPr="00CD0256">
              <w:rPr>
                <w:rFonts w:ascii="Verdana" w:eastAsia="Times New Roman" w:hAnsi="Verdana"/>
                <w:b/>
                <w:bCs/>
                <w:color w:val="000000" w:themeColor="text1"/>
              </w:rPr>
              <w:t xml:space="preserve">Plan d’actions prioritaires </w:t>
            </w:r>
            <w:r w:rsidR="00ED2312" w:rsidRPr="00CD0256">
              <w:rPr>
                <w:rFonts w:ascii="Verdana" w:eastAsia="Times New Roman" w:hAnsi="Verdana"/>
                <w:b/>
                <w:bCs/>
                <w:color w:val="000000" w:themeColor="text1"/>
              </w:rPr>
              <w:t>du PDS 2023-2033</w:t>
            </w:r>
          </w:p>
        </w:tc>
      </w:tr>
      <w:tr w:rsidR="00EC22CC" w:rsidRPr="00CD0256" w14:paraId="7F1B63D2" w14:textId="77777777" w:rsidTr="002A0933">
        <w:tc>
          <w:tcPr>
            <w:tcW w:w="7225" w:type="dxa"/>
          </w:tcPr>
          <w:p w14:paraId="056D9B10" w14:textId="0047EC4D" w:rsidR="00EC22CC" w:rsidRPr="00CD0256" w:rsidRDefault="007E3A62" w:rsidP="00CD0256">
            <w:pPr>
              <w:jc w:val="both"/>
              <w:rPr>
                <w:rFonts w:ascii="Verdana" w:hAnsi="Verdana"/>
                <w:sz w:val="20"/>
                <w:szCs w:val="20"/>
              </w:rPr>
            </w:pPr>
            <w:r w:rsidRPr="00CD0256">
              <w:rPr>
                <w:rFonts w:ascii="Verdana" w:hAnsi="Verdana"/>
                <w:sz w:val="20"/>
                <w:szCs w:val="20"/>
              </w:rPr>
              <w:t xml:space="preserve">Comité des OPL </w:t>
            </w:r>
            <w:r w:rsidR="00657F06" w:rsidRPr="00CD0256">
              <w:rPr>
                <w:rFonts w:ascii="Verdana" w:hAnsi="Verdana"/>
                <w:sz w:val="20"/>
                <w:szCs w:val="20"/>
              </w:rPr>
              <w:t>02</w:t>
            </w:r>
            <w:r w:rsidR="00B27A0B" w:rsidRPr="00CD0256">
              <w:rPr>
                <w:rFonts w:ascii="Verdana" w:hAnsi="Verdana"/>
                <w:sz w:val="20"/>
                <w:szCs w:val="20"/>
              </w:rPr>
              <w:t>/2025</w:t>
            </w:r>
            <w:r w:rsidR="00657F06" w:rsidRPr="00CD0256">
              <w:rPr>
                <w:rFonts w:ascii="Verdana" w:hAnsi="Verdana"/>
                <w:sz w:val="20"/>
                <w:szCs w:val="20"/>
              </w:rPr>
              <w:t xml:space="preserve"> | Novembre 2025,</w:t>
            </w:r>
            <w:r w:rsidRPr="00CD0256">
              <w:rPr>
                <w:rFonts w:ascii="Verdana" w:hAnsi="Verdana"/>
                <w:sz w:val="20"/>
                <w:szCs w:val="20"/>
              </w:rPr>
              <w:t xml:space="preserve"> Maurice </w:t>
            </w:r>
          </w:p>
        </w:tc>
        <w:tc>
          <w:tcPr>
            <w:tcW w:w="1837" w:type="dxa"/>
          </w:tcPr>
          <w:p w14:paraId="58E25D1F" w14:textId="14032785" w:rsidR="00EC22CC" w:rsidRPr="00CD0256" w:rsidRDefault="002A096E" w:rsidP="00CD0256">
            <w:pPr>
              <w:jc w:val="center"/>
              <w:rPr>
                <w:rFonts w:ascii="Verdana" w:hAnsi="Verdana"/>
                <w:sz w:val="20"/>
                <w:szCs w:val="20"/>
              </w:rPr>
            </w:pPr>
            <w:r w:rsidRPr="00CD0256">
              <w:rPr>
                <w:rFonts w:ascii="Verdana" w:hAnsi="Verdana"/>
                <w:sz w:val="20"/>
                <w:szCs w:val="20"/>
              </w:rPr>
              <w:t xml:space="preserve">Point </w:t>
            </w:r>
            <w:r w:rsidR="00A77DA6" w:rsidRPr="00CD0256">
              <w:rPr>
                <w:rFonts w:ascii="Verdana" w:hAnsi="Verdana"/>
                <w:sz w:val="20"/>
                <w:szCs w:val="20"/>
              </w:rPr>
              <w:t>1</w:t>
            </w:r>
            <w:r w:rsidR="00ED2312" w:rsidRPr="00CD0256">
              <w:rPr>
                <w:rFonts w:ascii="Verdana" w:hAnsi="Verdana"/>
                <w:sz w:val="20"/>
                <w:szCs w:val="20"/>
              </w:rPr>
              <w:t>.2</w:t>
            </w:r>
          </w:p>
        </w:tc>
      </w:tr>
      <w:tr w:rsidR="00EC22CC" w:rsidRPr="00CD0256" w14:paraId="537D1DE5" w14:textId="77777777" w:rsidTr="002A0933">
        <w:tc>
          <w:tcPr>
            <w:tcW w:w="7225" w:type="dxa"/>
          </w:tcPr>
          <w:p w14:paraId="43DEF09E" w14:textId="4FF14C0B" w:rsidR="007E3A62" w:rsidRPr="00CD0256" w:rsidRDefault="00A148A1" w:rsidP="00CD0256">
            <w:pPr>
              <w:jc w:val="both"/>
              <w:rPr>
                <w:rFonts w:ascii="Verdana" w:hAnsi="Verdana"/>
                <w:sz w:val="20"/>
                <w:szCs w:val="20"/>
              </w:rPr>
            </w:pPr>
            <w:r w:rsidRPr="00CD0256">
              <w:rPr>
                <w:rFonts w:ascii="Verdana" w:hAnsi="Verdana"/>
                <w:i/>
                <w:iCs/>
                <w:sz w:val="20"/>
                <w:szCs w:val="20"/>
              </w:rPr>
              <w:t>Dossier suivi par :</w:t>
            </w:r>
            <w:r w:rsidR="00EC22CC" w:rsidRPr="00CD0256">
              <w:rPr>
                <w:rFonts w:ascii="Verdana" w:hAnsi="Verdana"/>
                <w:sz w:val="20"/>
                <w:szCs w:val="20"/>
              </w:rPr>
              <w:t xml:space="preserve"> </w:t>
            </w:r>
            <w:r w:rsidR="007D3EB1" w:rsidRPr="00CD0256">
              <w:rPr>
                <w:rFonts w:ascii="Verdana" w:hAnsi="Verdana"/>
                <w:sz w:val="20"/>
                <w:szCs w:val="20"/>
              </w:rPr>
              <w:t>GR</w:t>
            </w:r>
            <w:r w:rsidR="00832AA2" w:rsidRPr="00CD0256">
              <w:rPr>
                <w:rFonts w:ascii="Verdana" w:hAnsi="Verdana"/>
                <w:sz w:val="20"/>
                <w:szCs w:val="20"/>
              </w:rPr>
              <w:t xml:space="preserve"> et</w:t>
            </w:r>
            <w:r w:rsidR="00703AC4" w:rsidRPr="00CD0256">
              <w:rPr>
                <w:rFonts w:ascii="Verdana" w:hAnsi="Verdana"/>
                <w:sz w:val="20"/>
                <w:szCs w:val="20"/>
              </w:rPr>
              <w:t xml:space="preserve"> Aina </w:t>
            </w:r>
            <w:proofErr w:type="spellStart"/>
            <w:r w:rsidR="00703AC4" w:rsidRPr="00CD0256">
              <w:rPr>
                <w:rFonts w:ascii="Verdana" w:hAnsi="Verdana"/>
                <w:sz w:val="20"/>
                <w:szCs w:val="20"/>
              </w:rPr>
              <w:t>Andriamahefazafy</w:t>
            </w:r>
            <w:proofErr w:type="spellEnd"/>
            <w:r w:rsidR="00832AA2" w:rsidRPr="00CD0256">
              <w:rPr>
                <w:rFonts w:ascii="Verdana" w:hAnsi="Verdana"/>
                <w:sz w:val="20"/>
                <w:szCs w:val="20"/>
              </w:rPr>
              <w:t>, spécialiste suivi-évaluation</w:t>
            </w:r>
          </w:p>
        </w:tc>
        <w:tc>
          <w:tcPr>
            <w:tcW w:w="1837" w:type="dxa"/>
          </w:tcPr>
          <w:p w14:paraId="5AC1AFAB" w14:textId="2DF39498" w:rsidR="00EC22CC" w:rsidRPr="00CD0256" w:rsidRDefault="00BB0861" w:rsidP="00CD0256">
            <w:pPr>
              <w:jc w:val="center"/>
              <w:rPr>
                <w:rFonts w:ascii="Verdana" w:hAnsi="Verdana"/>
                <w:sz w:val="20"/>
                <w:szCs w:val="20"/>
              </w:rPr>
            </w:pPr>
            <w:r w:rsidRPr="00CD0256">
              <w:rPr>
                <w:rFonts w:ascii="Verdana" w:hAnsi="Verdana"/>
                <w:sz w:val="20"/>
                <w:szCs w:val="20"/>
              </w:rPr>
              <w:t>D</w:t>
            </w:r>
            <w:r w:rsidR="004607F7" w:rsidRPr="00CD0256">
              <w:rPr>
                <w:rFonts w:ascii="Verdana" w:hAnsi="Verdana"/>
                <w:sz w:val="20"/>
                <w:szCs w:val="20"/>
              </w:rPr>
              <w:t>écision</w:t>
            </w:r>
          </w:p>
        </w:tc>
      </w:tr>
      <w:tr w:rsidR="00A90305" w:rsidRPr="00CD0256" w14:paraId="6896DB30" w14:textId="77777777" w:rsidTr="009F5233">
        <w:tc>
          <w:tcPr>
            <w:tcW w:w="9062" w:type="dxa"/>
            <w:gridSpan w:val="2"/>
          </w:tcPr>
          <w:p w14:paraId="0495241B" w14:textId="3D2BE9EF" w:rsidR="00A90305" w:rsidRPr="00CD0256" w:rsidRDefault="00A90305" w:rsidP="00CD0256">
            <w:pPr>
              <w:jc w:val="both"/>
              <w:rPr>
                <w:rFonts w:ascii="Verdana" w:hAnsi="Verdana"/>
                <w:sz w:val="20"/>
                <w:szCs w:val="20"/>
              </w:rPr>
            </w:pPr>
            <w:r w:rsidRPr="00CD0256">
              <w:rPr>
                <w:rFonts w:ascii="Verdana" w:hAnsi="Verdana"/>
                <w:i/>
                <w:iCs/>
                <w:sz w:val="20"/>
                <w:szCs w:val="20"/>
              </w:rPr>
              <w:t xml:space="preserve">Version du </w:t>
            </w:r>
            <w:r w:rsidR="007D3EB1" w:rsidRPr="00CD0256">
              <w:rPr>
                <w:rFonts w:ascii="Verdana" w:hAnsi="Verdana"/>
                <w:i/>
                <w:iCs/>
                <w:sz w:val="20"/>
                <w:szCs w:val="20"/>
              </w:rPr>
              <w:t>10 octobre 2025</w:t>
            </w:r>
          </w:p>
        </w:tc>
      </w:tr>
    </w:tbl>
    <w:p w14:paraId="1611BCC4" w14:textId="77777777" w:rsidR="00854EEA" w:rsidRPr="00CD0256" w:rsidRDefault="00854EEA" w:rsidP="00CD0256">
      <w:pPr>
        <w:pStyle w:val="Paragraphe"/>
      </w:pPr>
      <w:bookmarkStart w:id="0" w:name="_Hlk24535240"/>
    </w:p>
    <w:p w14:paraId="678F0DFC" w14:textId="3923B394" w:rsidR="00854EEA" w:rsidRPr="00CD0256" w:rsidRDefault="00955BB3" w:rsidP="00CD0256">
      <w:pPr>
        <w:pStyle w:val="Titrepartie"/>
      </w:pPr>
      <w:r w:rsidRPr="00CD0256">
        <w:t>Résumé</w:t>
      </w:r>
    </w:p>
    <w:p w14:paraId="1B8470EC" w14:textId="20360F3B" w:rsidR="007D619A" w:rsidRPr="00CD0256" w:rsidRDefault="00DA39C1" w:rsidP="00CD0256">
      <w:pPr>
        <w:pStyle w:val="Paragraphe"/>
      </w:pPr>
      <w:r w:rsidRPr="00CD0256">
        <w:t xml:space="preserve">Le Comité des OPL n°01/2025 d’avril 2025 a validé les priorités identifiées dans le Plan d’actions prioritaires (PAP). </w:t>
      </w:r>
      <w:r w:rsidR="00A93E24" w:rsidRPr="00CD0256">
        <w:t>À</w:t>
      </w:r>
      <w:r w:rsidRPr="00CD0256">
        <w:t xml:space="preserve"> la suite de cette validation, le Secrétariat général a poursuivi le</w:t>
      </w:r>
      <w:r w:rsidR="007D619A" w:rsidRPr="00CD0256">
        <w:t xml:space="preserve"> travail d’élaboration du cadre de suivi-évaluation devant constituer le troisième chapitre du PAP pour son adoption finale. </w:t>
      </w:r>
    </w:p>
    <w:p w14:paraId="135BA0FC" w14:textId="0D0B96E4" w:rsidR="00E500B8" w:rsidRPr="00CD0256" w:rsidRDefault="00D62D8F" w:rsidP="00CD0256">
      <w:pPr>
        <w:pStyle w:val="Paragraphe"/>
      </w:pPr>
      <w:r w:rsidRPr="00CD0256">
        <w:t xml:space="preserve">Pour rappel, le PAP est une déclinaison opérationnelle du Plan de développement stratégique 2023-2033 (PDS) adopté par le </w:t>
      </w:r>
      <w:r w:rsidR="00A9119C" w:rsidRPr="00CD0256">
        <w:t>37</w:t>
      </w:r>
      <w:r w:rsidR="00A9119C" w:rsidRPr="00CD0256">
        <w:rPr>
          <w:vertAlign w:val="superscript"/>
        </w:rPr>
        <w:t>e</w:t>
      </w:r>
      <w:r w:rsidR="00A9119C" w:rsidRPr="00CD0256">
        <w:t xml:space="preserve"> Conseil des ministres</w:t>
      </w:r>
      <w:r w:rsidR="00E500B8" w:rsidRPr="00CD0256">
        <w:t xml:space="preserve"> du 17 mai 2023.</w:t>
      </w:r>
    </w:p>
    <w:p w14:paraId="61E2E552" w14:textId="16019B74" w:rsidR="00F87015" w:rsidRPr="00CD0256" w:rsidRDefault="00002560" w:rsidP="00CD0256">
      <w:pPr>
        <w:pStyle w:val="Paragraphe"/>
      </w:pPr>
      <w:r w:rsidRPr="00CD0256">
        <w:t>Un expert technique</w:t>
      </w:r>
      <w:r w:rsidR="00A93E24">
        <w:t xml:space="preserve"> de</w:t>
      </w:r>
      <w:r w:rsidRPr="00CD0256">
        <w:t xml:space="preserve"> court-terme a été recruté dans le cadre du programme COI Horizon 2030 soutenu par l’AFD et l’Union européenne pour </w:t>
      </w:r>
      <w:r w:rsidR="00FC2DD6" w:rsidRPr="00CD0256">
        <w:t xml:space="preserve">élaborer le PAP en consultation avec les </w:t>
      </w:r>
      <w:r w:rsidR="00A93E24" w:rsidRPr="00CD0256">
        <w:t>États</w:t>
      </w:r>
      <w:r w:rsidR="00FC2DD6" w:rsidRPr="00CD0256">
        <w:t xml:space="preserve"> membres. Après une réécriture par le Secrétariat général</w:t>
      </w:r>
      <w:r w:rsidR="00F4714A" w:rsidRPr="00CD0256">
        <w:t xml:space="preserve"> pour en améliorer la lisibilité et l’articulation avec le PDS, le projet de PAP a été soumis au Comité des OPL. </w:t>
      </w:r>
    </w:p>
    <w:p w14:paraId="32A94EC9" w14:textId="71DA610D" w:rsidR="00916C60" w:rsidRPr="00CD0256" w:rsidRDefault="00916C60" w:rsidP="00CD0256">
      <w:pPr>
        <w:pStyle w:val="Paragraphe"/>
      </w:pPr>
      <w:r w:rsidRPr="00CD0256">
        <w:t xml:space="preserve">En parallèle, le Secrétariat général a </w:t>
      </w:r>
      <w:r w:rsidR="009816A2" w:rsidRPr="00CD0256">
        <w:t>actualisé</w:t>
      </w:r>
      <w:r w:rsidRPr="00CD0256">
        <w:t xml:space="preserve"> et étoffé le </w:t>
      </w:r>
      <w:r w:rsidR="00890E86" w:rsidRPr="00CD0256">
        <w:t xml:space="preserve">cadre de suivi-évaluation du PDS 2023-2033 en veillant à une articulation avec le cadre logique du PAP, les initiatives en cours et les </w:t>
      </w:r>
      <w:r w:rsidR="0003276F" w:rsidRPr="00CD0256">
        <w:t>orientations stratégiques et décisions des instances. Le cadre de suivi-évaluation du PDS</w:t>
      </w:r>
      <w:r w:rsidR="0003128E" w:rsidRPr="00CD0256">
        <w:t xml:space="preserve"> présente des indicateurs de résultats spécifiques, mesurables, atteignables, réalistes et temporels (SMART)</w:t>
      </w:r>
      <w:r w:rsidR="009816A2" w:rsidRPr="00CD0256">
        <w:t xml:space="preserve">. </w:t>
      </w:r>
    </w:p>
    <w:p w14:paraId="5C46FDFC" w14:textId="77777777" w:rsidR="004D4E89" w:rsidRPr="00CD0256" w:rsidRDefault="004D4E89" w:rsidP="00CD0256">
      <w:pPr>
        <w:pStyle w:val="Paragraphe"/>
        <w:rPr>
          <w:color w:val="4472C4" w:themeColor="accent1"/>
        </w:rPr>
      </w:pPr>
    </w:p>
    <w:p w14:paraId="68009DDB" w14:textId="06AAE9C2" w:rsidR="0008468B" w:rsidRPr="00CD0256" w:rsidRDefault="00955BB3" w:rsidP="00CD0256">
      <w:pPr>
        <w:pStyle w:val="Titrepartie"/>
      </w:pPr>
      <w:r w:rsidRPr="00CD0256">
        <w:t>Etat d’avancement</w:t>
      </w:r>
    </w:p>
    <w:p w14:paraId="16F66265" w14:textId="129E0254" w:rsidR="00047D29" w:rsidRPr="00CD0256" w:rsidRDefault="00047D29" w:rsidP="00CD0256">
      <w:pPr>
        <w:pStyle w:val="Paragraphedeliste"/>
        <w:ind w:left="0"/>
        <w:jc w:val="both"/>
        <w:rPr>
          <w:rFonts w:ascii="Verdana" w:hAnsi="Verdana" w:cs="Calibri"/>
          <w:sz w:val="20"/>
          <w:szCs w:val="20"/>
        </w:rPr>
      </w:pPr>
      <w:r w:rsidRPr="00CD0256">
        <w:rPr>
          <w:rFonts w:ascii="Verdana" w:hAnsi="Verdana" w:cs="Calibri"/>
          <w:sz w:val="20"/>
          <w:szCs w:val="20"/>
        </w:rPr>
        <w:t xml:space="preserve">Le document a été présenté au COPL des 02-03 décembre 2024 pour une validation initiale des priorités programmatiques des actions de la COI, objet du premier chapitre, telles qu’elles ont été identifiées à l’issue des consultations menées avec les différents acteurs (Secrétariat général, </w:t>
      </w:r>
      <w:r w:rsidR="00CD0256" w:rsidRPr="00CD0256">
        <w:rPr>
          <w:rFonts w:ascii="Verdana" w:hAnsi="Verdana" w:cs="Calibri"/>
          <w:sz w:val="20"/>
          <w:szCs w:val="20"/>
        </w:rPr>
        <w:t>États</w:t>
      </w:r>
      <w:r w:rsidRPr="00CD0256">
        <w:rPr>
          <w:rFonts w:ascii="Verdana" w:hAnsi="Verdana" w:cs="Calibri"/>
          <w:sz w:val="20"/>
          <w:szCs w:val="20"/>
        </w:rPr>
        <w:t xml:space="preserve"> membres) et telles qu’elles ressortent des décisions des instances comme suit :</w:t>
      </w:r>
    </w:p>
    <w:p w14:paraId="0529768A" w14:textId="7626A2A6" w:rsidR="00047D29" w:rsidRPr="00CD0256" w:rsidRDefault="00047D29" w:rsidP="00CD0256">
      <w:pPr>
        <w:pStyle w:val="Paragraphedeliste"/>
        <w:numPr>
          <w:ilvl w:val="0"/>
          <w:numId w:val="19"/>
        </w:numPr>
        <w:ind w:left="709"/>
        <w:jc w:val="both"/>
        <w:rPr>
          <w:rFonts w:ascii="Verdana" w:hAnsi="Verdana" w:cs="Calibri"/>
          <w:b/>
          <w:bCs/>
          <w:sz w:val="20"/>
          <w:szCs w:val="20"/>
        </w:rPr>
      </w:pPr>
      <w:r w:rsidRPr="00CD0256">
        <w:rPr>
          <w:rFonts w:ascii="Verdana" w:hAnsi="Verdana" w:cs="Calibri"/>
          <w:b/>
          <w:bCs/>
          <w:sz w:val="20"/>
          <w:szCs w:val="20"/>
        </w:rPr>
        <w:t>Priorité 1 – Achever le processus de modernisation de la COI</w:t>
      </w:r>
      <w:r w:rsidR="001D68BC">
        <w:rPr>
          <w:rFonts w:ascii="Verdana" w:hAnsi="Verdana" w:cs="Calibri"/>
          <w:b/>
          <w:bCs/>
          <w:sz w:val="20"/>
          <w:szCs w:val="20"/>
        </w:rPr>
        <w:t> ;</w:t>
      </w:r>
    </w:p>
    <w:p w14:paraId="22B5484D" w14:textId="00D3548F" w:rsidR="00047D29" w:rsidRPr="00CD0256" w:rsidRDefault="00047D29" w:rsidP="00CD0256">
      <w:pPr>
        <w:pStyle w:val="Paragraphedeliste"/>
        <w:numPr>
          <w:ilvl w:val="0"/>
          <w:numId w:val="19"/>
        </w:numPr>
        <w:ind w:left="709"/>
        <w:jc w:val="both"/>
        <w:rPr>
          <w:rFonts w:ascii="Verdana" w:hAnsi="Verdana" w:cs="Calibri"/>
          <w:b/>
          <w:bCs/>
          <w:sz w:val="20"/>
          <w:szCs w:val="20"/>
        </w:rPr>
      </w:pPr>
      <w:r w:rsidRPr="00CD0256">
        <w:rPr>
          <w:rFonts w:ascii="Verdana" w:hAnsi="Verdana" w:cs="Calibri"/>
          <w:b/>
          <w:bCs/>
          <w:sz w:val="20"/>
          <w:szCs w:val="20"/>
        </w:rPr>
        <w:t>Priorité 2 - Assurer la sécurité alimentaire régionale</w:t>
      </w:r>
      <w:r w:rsidR="001D68BC">
        <w:rPr>
          <w:rFonts w:ascii="Verdana" w:hAnsi="Verdana" w:cs="Calibri"/>
          <w:b/>
          <w:bCs/>
          <w:sz w:val="20"/>
          <w:szCs w:val="20"/>
        </w:rPr>
        <w:t> ;</w:t>
      </w:r>
    </w:p>
    <w:p w14:paraId="1FA38658" w14:textId="77777777" w:rsidR="00047D29" w:rsidRPr="00CD0256" w:rsidRDefault="00047D29" w:rsidP="00CD0256">
      <w:pPr>
        <w:pStyle w:val="Paragraphedeliste"/>
        <w:numPr>
          <w:ilvl w:val="0"/>
          <w:numId w:val="19"/>
        </w:numPr>
        <w:ind w:left="709"/>
        <w:jc w:val="both"/>
        <w:rPr>
          <w:rFonts w:ascii="Verdana" w:hAnsi="Verdana" w:cs="Calibri"/>
          <w:b/>
          <w:bCs/>
          <w:sz w:val="20"/>
          <w:szCs w:val="20"/>
        </w:rPr>
      </w:pPr>
      <w:r w:rsidRPr="00CD0256">
        <w:rPr>
          <w:rFonts w:ascii="Verdana" w:hAnsi="Verdana" w:cs="Calibri"/>
          <w:b/>
          <w:bCs/>
          <w:sz w:val="20"/>
          <w:szCs w:val="20"/>
        </w:rPr>
        <w:t>Priorité 3 – Accélérer la coopération économique.</w:t>
      </w:r>
    </w:p>
    <w:p w14:paraId="5F65A5AC" w14:textId="77777777" w:rsidR="00047D29" w:rsidRPr="00CD0256" w:rsidRDefault="00047D29" w:rsidP="00CD0256">
      <w:pPr>
        <w:pStyle w:val="Paragraphedeliste"/>
        <w:ind w:left="0"/>
        <w:jc w:val="both"/>
        <w:rPr>
          <w:rFonts w:ascii="Verdana" w:hAnsi="Verdana" w:cs="Calibri"/>
          <w:sz w:val="20"/>
          <w:szCs w:val="20"/>
        </w:rPr>
      </w:pPr>
    </w:p>
    <w:p w14:paraId="5991B12B" w14:textId="11C7AF20" w:rsidR="00047D29" w:rsidRPr="00CD0256" w:rsidRDefault="00421E09" w:rsidP="00CD0256">
      <w:pPr>
        <w:pStyle w:val="Paragraphedeliste"/>
        <w:ind w:left="0"/>
        <w:jc w:val="both"/>
        <w:rPr>
          <w:rFonts w:ascii="Verdana" w:hAnsi="Verdana" w:cs="Calibri"/>
          <w:sz w:val="20"/>
          <w:szCs w:val="20"/>
        </w:rPr>
      </w:pPr>
      <w:r w:rsidRPr="00CD0256">
        <w:rPr>
          <w:rFonts w:ascii="Verdana" w:hAnsi="Verdana" w:cs="Calibri"/>
          <w:sz w:val="20"/>
          <w:szCs w:val="20"/>
        </w:rPr>
        <w:t>Ces priorités, validées par le Comité des OPL n°01/2025 d’</w:t>
      </w:r>
      <w:r w:rsidR="009816A2" w:rsidRPr="00CD0256">
        <w:rPr>
          <w:rFonts w:ascii="Verdana" w:hAnsi="Verdana" w:cs="Calibri"/>
          <w:sz w:val="20"/>
          <w:szCs w:val="20"/>
        </w:rPr>
        <w:t>avril</w:t>
      </w:r>
      <w:r w:rsidRPr="00CD0256">
        <w:rPr>
          <w:rFonts w:ascii="Verdana" w:hAnsi="Verdana" w:cs="Calibri"/>
          <w:sz w:val="20"/>
          <w:szCs w:val="20"/>
        </w:rPr>
        <w:t xml:space="preserve"> 2025,</w:t>
      </w:r>
      <w:r w:rsidR="00047D29" w:rsidRPr="00CD0256">
        <w:rPr>
          <w:rFonts w:ascii="Verdana" w:hAnsi="Verdana" w:cs="Calibri"/>
          <w:sz w:val="20"/>
          <w:szCs w:val="20"/>
        </w:rPr>
        <w:t xml:space="preserve"> ne remettent pas en question la pertinence d’autres projets</w:t>
      </w:r>
      <w:r w:rsidRPr="00CD0256">
        <w:rPr>
          <w:rFonts w:ascii="Verdana" w:hAnsi="Verdana" w:cs="Calibri"/>
          <w:sz w:val="20"/>
          <w:szCs w:val="20"/>
        </w:rPr>
        <w:t xml:space="preserve">, </w:t>
      </w:r>
      <w:r w:rsidR="00047D29" w:rsidRPr="00CD0256">
        <w:rPr>
          <w:rFonts w:ascii="Verdana" w:hAnsi="Verdana" w:cs="Calibri"/>
          <w:sz w:val="20"/>
          <w:szCs w:val="20"/>
        </w:rPr>
        <w:t xml:space="preserve">programmes </w:t>
      </w:r>
      <w:r w:rsidRPr="00CD0256">
        <w:rPr>
          <w:rFonts w:ascii="Verdana" w:hAnsi="Verdana" w:cs="Calibri"/>
          <w:sz w:val="20"/>
          <w:szCs w:val="20"/>
        </w:rPr>
        <w:t xml:space="preserve">ou initiatives </w:t>
      </w:r>
      <w:r w:rsidR="00047D29" w:rsidRPr="00CD0256">
        <w:rPr>
          <w:rFonts w:ascii="Verdana" w:hAnsi="Verdana" w:cs="Calibri"/>
          <w:sz w:val="20"/>
          <w:szCs w:val="20"/>
        </w:rPr>
        <w:t xml:space="preserve">en cours d’exécution </w:t>
      </w:r>
      <w:r w:rsidRPr="00CD0256">
        <w:rPr>
          <w:rFonts w:ascii="Verdana" w:hAnsi="Verdana" w:cs="Calibri"/>
          <w:sz w:val="20"/>
          <w:szCs w:val="20"/>
        </w:rPr>
        <w:t>bénéficiant d’</w:t>
      </w:r>
      <w:r w:rsidR="00047D29" w:rsidRPr="00CD0256">
        <w:rPr>
          <w:rFonts w:ascii="Verdana" w:hAnsi="Verdana" w:cs="Calibri"/>
          <w:sz w:val="20"/>
          <w:szCs w:val="20"/>
        </w:rPr>
        <w:t>une assise partenariale ou dont l’échéance de pérennisation s’inscrirait pl</w:t>
      </w:r>
      <w:r w:rsidR="001D68BC">
        <w:rPr>
          <w:rFonts w:ascii="Verdana" w:hAnsi="Verdana" w:cs="Calibri"/>
          <w:sz w:val="20"/>
          <w:szCs w:val="20"/>
        </w:rPr>
        <w:t>utôt</w:t>
      </w:r>
      <w:r w:rsidR="00047D29" w:rsidRPr="00CD0256">
        <w:rPr>
          <w:rFonts w:ascii="Verdana" w:hAnsi="Verdana" w:cs="Calibri"/>
          <w:sz w:val="20"/>
          <w:szCs w:val="20"/>
        </w:rPr>
        <w:t xml:space="preserve"> dans une seconde phase de PAP du PDS. </w:t>
      </w:r>
    </w:p>
    <w:p w14:paraId="454697DC" w14:textId="77777777" w:rsidR="00047D29" w:rsidRPr="00CD0256" w:rsidRDefault="00047D29" w:rsidP="00CD0256">
      <w:pPr>
        <w:pStyle w:val="Paragraphedeliste"/>
        <w:ind w:left="0"/>
        <w:jc w:val="both"/>
        <w:rPr>
          <w:rFonts w:ascii="Verdana" w:hAnsi="Verdana" w:cs="Calibri"/>
          <w:sz w:val="20"/>
          <w:szCs w:val="20"/>
        </w:rPr>
      </w:pPr>
    </w:p>
    <w:p w14:paraId="403CB993" w14:textId="71FAAF14" w:rsidR="00047D29" w:rsidRPr="00CD0256" w:rsidRDefault="00047D29" w:rsidP="00CD0256">
      <w:pPr>
        <w:pStyle w:val="Paragraphedeliste"/>
        <w:ind w:left="0"/>
        <w:jc w:val="both"/>
        <w:rPr>
          <w:rFonts w:ascii="Verdana" w:hAnsi="Verdana" w:cs="Calibri"/>
          <w:sz w:val="20"/>
          <w:szCs w:val="20"/>
        </w:rPr>
      </w:pPr>
      <w:r w:rsidRPr="00CD0256">
        <w:rPr>
          <w:rFonts w:ascii="Verdana" w:hAnsi="Verdana" w:cs="Calibri"/>
          <w:sz w:val="20"/>
          <w:szCs w:val="20"/>
        </w:rPr>
        <w:t>Ces priorités identifiées sont le reflet</w:t>
      </w:r>
      <w:r w:rsidR="008351A1" w:rsidRPr="00CD0256">
        <w:rPr>
          <w:rFonts w:ascii="Verdana" w:hAnsi="Verdana" w:cs="Calibri"/>
          <w:sz w:val="20"/>
          <w:szCs w:val="20"/>
        </w:rPr>
        <w:t xml:space="preserve"> </w:t>
      </w:r>
      <w:r w:rsidRPr="00CD0256">
        <w:rPr>
          <w:rFonts w:ascii="Verdana" w:hAnsi="Verdana" w:cs="Calibri"/>
          <w:sz w:val="20"/>
          <w:szCs w:val="20"/>
        </w:rPr>
        <w:t>des efforts</w:t>
      </w:r>
      <w:r w:rsidR="008351A1" w:rsidRPr="00CD0256">
        <w:rPr>
          <w:rFonts w:ascii="Verdana" w:hAnsi="Verdana" w:cs="Calibri"/>
          <w:sz w:val="20"/>
          <w:szCs w:val="20"/>
        </w:rPr>
        <w:t xml:space="preserve"> prioritaires</w:t>
      </w:r>
      <w:r w:rsidRPr="00CD0256">
        <w:rPr>
          <w:rFonts w:ascii="Verdana" w:hAnsi="Verdana" w:cs="Calibri"/>
          <w:sz w:val="20"/>
          <w:szCs w:val="20"/>
        </w:rPr>
        <w:t xml:space="preserve"> que l’organisation entend fournir tel que rappelé dans le document, en termes de programmation, de mobilisation de partenariats et de ressources dans les domaines pour lesquels une impulsion politique renouvelée et des partenariats effectifs sont nécessaires.</w:t>
      </w:r>
    </w:p>
    <w:p w14:paraId="7B1BDDE0" w14:textId="08604D62" w:rsidR="00C974BB" w:rsidRPr="00CD0256" w:rsidRDefault="00A93E24" w:rsidP="00CD0256">
      <w:pPr>
        <w:pStyle w:val="Paragraphe"/>
      </w:pPr>
      <w:r w:rsidRPr="00CD0256">
        <w:t>À</w:t>
      </w:r>
      <w:r w:rsidR="00347B54" w:rsidRPr="00CD0256">
        <w:t xml:space="preserve"> la suite de l</w:t>
      </w:r>
      <w:r w:rsidR="000B0F59" w:rsidRPr="00CD0256">
        <w:t xml:space="preserve">a validation </w:t>
      </w:r>
      <w:r w:rsidR="00347B54" w:rsidRPr="00CD0256">
        <w:t>d</w:t>
      </w:r>
      <w:r w:rsidR="000B0F59" w:rsidRPr="00CD0256">
        <w:t xml:space="preserve">es parties narratives du PAP par le Comité des OPL, le document est soumis dans sa version intégrale avec un cadre de suivi-évaluation pour son approbation finale. </w:t>
      </w:r>
    </w:p>
    <w:p w14:paraId="2DA57F5E" w14:textId="61A1EBEF" w:rsidR="001D1B19" w:rsidRPr="00CD0256" w:rsidRDefault="001D1B19" w:rsidP="00CD0256">
      <w:pPr>
        <w:pStyle w:val="Paragraphe"/>
      </w:pPr>
      <w:r w:rsidRPr="00CD0256">
        <w:lastRenderedPageBreak/>
        <w:t xml:space="preserve">En parallèle, le Secrétariat général a mis à jour le cadre de suivi-évaluation du Plan de développement stratégique en veillant à </w:t>
      </w:r>
      <w:r w:rsidR="003B3E02" w:rsidRPr="00CD0256">
        <w:t>une cohérence d’ensemble avec le Plan d’actions prioritaires, les décisions et orientations des instances ainsi qu’avec les actions en cours ou programmées. Ce cadre de suivi-évaluation</w:t>
      </w:r>
      <w:r w:rsidR="000F6489" w:rsidRPr="00CD0256">
        <w:t xml:space="preserve"> constitue le socle de mesure des avancées et de la performance de la mise en œuvre du PDS. </w:t>
      </w:r>
    </w:p>
    <w:p w14:paraId="6394E409" w14:textId="77777777" w:rsidR="000F6489" w:rsidRPr="00CD0256" w:rsidRDefault="000F6489" w:rsidP="00CD0256">
      <w:pPr>
        <w:pStyle w:val="Paragraphe"/>
      </w:pPr>
    </w:p>
    <w:p w14:paraId="2F7F5914" w14:textId="608AD6BB" w:rsidR="00955BB3" w:rsidRPr="00CD0256" w:rsidRDefault="00955BB3" w:rsidP="00CD0256">
      <w:pPr>
        <w:pStyle w:val="Titrepartie"/>
      </w:pPr>
      <w:r w:rsidRPr="00CD0256">
        <w:t>Proposition de décision</w:t>
      </w:r>
    </w:p>
    <w:p w14:paraId="05F1F967" w14:textId="39DAAC56" w:rsidR="0008468B" w:rsidRPr="00CD0256" w:rsidRDefault="0008468B" w:rsidP="00CD0256">
      <w:pPr>
        <w:pStyle w:val="Paragraphe"/>
        <w:ind w:left="284"/>
      </w:pPr>
      <w:r w:rsidRPr="00CD0256">
        <w:t>Le Comité des OPL</w:t>
      </w:r>
      <w:r w:rsidR="00A76B07" w:rsidRPr="00CD0256">
        <w:t> :</w:t>
      </w:r>
    </w:p>
    <w:p w14:paraId="03C362FE" w14:textId="197F7E01" w:rsidR="00C376E1" w:rsidRPr="00CD0256" w:rsidRDefault="003F5E13" w:rsidP="00CD0256">
      <w:pPr>
        <w:pStyle w:val="Paragraphe"/>
        <w:numPr>
          <w:ilvl w:val="0"/>
          <w:numId w:val="6"/>
        </w:numPr>
      </w:pPr>
      <w:r w:rsidRPr="00CD0256">
        <w:t>Valide le projet de Plan d’actions prioritaires 2025-2029 proposé par le Secrétariat général</w:t>
      </w:r>
      <w:r w:rsidR="00737FE3" w:rsidRPr="00CD0256">
        <w:t xml:space="preserve"> ainsi que le cadre de suivi-évaluation actualisé du Plan de développement stratégique 2023-2033</w:t>
      </w:r>
      <w:r w:rsidR="00423BE4" w:rsidRPr="00CD0256">
        <w:t xml:space="preserve"> ; </w:t>
      </w:r>
    </w:p>
    <w:p w14:paraId="379A15CA" w14:textId="75B4C40C" w:rsidR="00163EAB" w:rsidRPr="00CD0256" w:rsidRDefault="00A5018F" w:rsidP="00CD0256">
      <w:pPr>
        <w:pStyle w:val="Paragraphe"/>
        <w:numPr>
          <w:ilvl w:val="0"/>
          <w:numId w:val="6"/>
        </w:numPr>
      </w:pPr>
      <w:r w:rsidRPr="00CD0256">
        <w:t>Décide d’inscrire l’approbation</w:t>
      </w:r>
      <w:r w:rsidR="00046675" w:rsidRPr="00CD0256">
        <w:t xml:space="preserve"> </w:t>
      </w:r>
      <w:r w:rsidR="005E24E7" w:rsidRPr="00CD0256">
        <w:t xml:space="preserve">du cadre de suivi-évaluation du Plan de développement stratégique 2023-2033 et </w:t>
      </w:r>
      <w:r w:rsidR="00046675" w:rsidRPr="00CD0256">
        <w:t>d</w:t>
      </w:r>
      <w:r w:rsidR="005E24E7" w:rsidRPr="00CD0256">
        <w:t>e la version intégrale du</w:t>
      </w:r>
      <w:r w:rsidR="00046675" w:rsidRPr="00CD0256">
        <w:t xml:space="preserve"> Plan d’actions prioritaires 2025-2029 à la prochaine session du Conseil des ministres en vue d’une mise en œuvre immédiate et </w:t>
      </w:r>
      <w:r w:rsidR="001D68BC">
        <w:t>d’</w:t>
      </w:r>
      <w:r w:rsidR="00D63420" w:rsidRPr="00CD0256">
        <w:t xml:space="preserve">un suivi régulier </w:t>
      </w:r>
      <w:r w:rsidR="00046675" w:rsidRPr="00CD0256">
        <w:t>par le Secrétariat général</w:t>
      </w:r>
      <w:r w:rsidR="00D63420" w:rsidRPr="00CD0256">
        <w:t xml:space="preserve">. </w:t>
      </w:r>
      <w:bookmarkEnd w:id="0"/>
    </w:p>
    <w:p w14:paraId="08BA8D16" w14:textId="77777777" w:rsidR="00992163" w:rsidRPr="00CD0256" w:rsidRDefault="00992163" w:rsidP="00CD0256">
      <w:pPr>
        <w:pStyle w:val="Paragraphe"/>
        <w:ind w:left="720"/>
      </w:pPr>
    </w:p>
    <w:p w14:paraId="3266D2EB" w14:textId="77777777" w:rsidR="00992163" w:rsidRPr="00CD0256" w:rsidRDefault="00992163" w:rsidP="00CD0256">
      <w:pPr>
        <w:pStyle w:val="Titrepartie"/>
      </w:pPr>
      <w:r w:rsidRPr="00CD0256">
        <w:t>Rappel des décisions antérieures</w:t>
      </w:r>
    </w:p>
    <w:p w14:paraId="44FBE4A4" w14:textId="77777777" w:rsidR="00992163" w:rsidRPr="00CD0256" w:rsidRDefault="00992163" w:rsidP="00CD0256">
      <w:pPr>
        <w:spacing w:after="120" w:line="240" w:lineRule="auto"/>
        <w:jc w:val="both"/>
        <w:rPr>
          <w:rFonts w:ascii="Verdana" w:hAnsi="Verdana"/>
          <w:b/>
          <w:bCs/>
          <w:i/>
          <w:iCs/>
          <w:sz w:val="18"/>
          <w:szCs w:val="18"/>
        </w:rPr>
      </w:pPr>
      <w:bookmarkStart w:id="1" w:name="_Hlk210741326"/>
      <w:r w:rsidRPr="00CD0256">
        <w:rPr>
          <w:rFonts w:ascii="Verdana" w:hAnsi="Verdana"/>
          <w:b/>
          <w:bCs/>
          <w:i/>
          <w:iCs/>
          <w:sz w:val="18"/>
          <w:szCs w:val="18"/>
        </w:rPr>
        <w:t>Cf. Décision 2. Plan d’actions prioritaires du PDS 2023-2033, COPL n°01/2025, 06 avril 2025</w:t>
      </w:r>
    </w:p>
    <w:p w14:paraId="0E7F3432" w14:textId="77777777" w:rsidR="00992163" w:rsidRPr="00CD0256" w:rsidRDefault="00992163" w:rsidP="00CD0256">
      <w:pPr>
        <w:pStyle w:val="Paragraphe"/>
        <w:spacing w:after="120" w:line="240" w:lineRule="auto"/>
        <w:rPr>
          <w:sz w:val="18"/>
          <w:szCs w:val="18"/>
        </w:rPr>
      </w:pPr>
      <w:r w:rsidRPr="00CD0256">
        <w:rPr>
          <w:sz w:val="18"/>
          <w:szCs w:val="18"/>
        </w:rPr>
        <w:t>Le Comité des OPL :</w:t>
      </w:r>
    </w:p>
    <w:p w14:paraId="41021E68" w14:textId="77777777" w:rsidR="00992163" w:rsidRPr="00CD0256" w:rsidRDefault="00992163" w:rsidP="00CD0256">
      <w:pPr>
        <w:pStyle w:val="Paragraphe"/>
        <w:numPr>
          <w:ilvl w:val="0"/>
          <w:numId w:val="6"/>
        </w:numPr>
        <w:spacing w:after="120" w:line="240" w:lineRule="auto"/>
        <w:ind w:left="851" w:hanging="567"/>
        <w:rPr>
          <w:sz w:val="18"/>
          <w:szCs w:val="18"/>
        </w:rPr>
      </w:pPr>
      <w:r w:rsidRPr="00CD0256">
        <w:rPr>
          <w:sz w:val="18"/>
          <w:szCs w:val="18"/>
        </w:rPr>
        <w:t>Approuve les priorités identifiées dans le projet de Plan d’actions prioritaires (PAP) ;</w:t>
      </w:r>
    </w:p>
    <w:bookmarkEnd w:id="1"/>
    <w:p w14:paraId="0955571F" w14:textId="77777777" w:rsidR="00992163" w:rsidRPr="00CD0256" w:rsidRDefault="00992163" w:rsidP="00CD0256">
      <w:pPr>
        <w:pStyle w:val="Paragraphe"/>
        <w:numPr>
          <w:ilvl w:val="0"/>
          <w:numId w:val="6"/>
        </w:numPr>
        <w:spacing w:after="120" w:line="240" w:lineRule="auto"/>
        <w:ind w:left="851" w:hanging="567"/>
        <w:rPr>
          <w:sz w:val="18"/>
          <w:szCs w:val="18"/>
        </w:rPr>
      </w:pPr>
      <w:r w:rsidRPr="00CD0256">
        <w:rPr>
          <w:sz w:val="18"/>
          <w:szCs w:val="18"/>
        </w:rPr>
        <w:t xml:space="preserve">Demande au Secrétariat général de poursuivre la finalisation du document portant PAP 2025-2029 du Plan de développement stratégique (PDS) </w:t>
      </w:r>
      <w:r w:rsidRPr="00CD0256">
        <w:rPr>
          <w:rFonts w:eastAsia="Calibri"/>
          <w:sz w:val="18"/>
          <w:szCs w:val="18"/>
        </w:rPr>
        <w:t xml:space="preserve">en veillant à maintenir l’esprit de co-construction ayant prévalu pour l’élaboration du PDS et </w:t>
      </w:r>
      <w:r w:rsidRPr="00CD0256">
        <w:rPr>
          <w:sz w:val="18"/>
          <w:szCs w:val="18"/>
        </w:rPr>
        <w:t xml:space="preserve">en y intégrant le cadre de suivi-évaluation et de le soumettre aux États membres pour validation dans les meilleurs délais. </w:t>
      </w:r>
    </w:p>
    <w:p w14:paraId="29FC03D9" w14:textId="77777777" w:rsidR="00992163" w:rsidRPr="00CD0256" w:rsidRDefault="00992163" w:rsidP="00CD0256">
      <w:pPr>
        <w:pStyle w:val="Exergue"/>
        <w:spacing w:line="276" w:lineRule="auto"/>
        <w:rPr>
          <w:sz w:val="18"/>
          <w:szCs w:val="18"/>
        </w:rPr>
      </w:pPr>
    </w:p>
    <w:p w14:paraId="442C6F87" w14:textId="77777777" w:rsidR="00992163" w:rsidRPr="00CD0256" w:rsidRDefault="00992163" w:rsidP="00CD0256">
      <w:pPr>
        <w:pStyle w:val="Exergue"/>
        <w:spacing w:line="276" w:lineRule="auto"/>
        <w:rPr>
          <w:sz w:val="18"/>
          <w:szCs w:val="18"/>
        </w:rPr>
      </w:pPr>
      <w:r w:rsidRPr="00CD0256">
        <w:rPr>
          <w:sz w:val="18"/>
          <w:szCs w:val="18"/>
        </w:rPr>
        <w:t>Cf. Décision 4. Plan d’actions prioritaires du PDS 2023-2033, COPL n°02/2024, 02-03 décembre 2024</w:t>
      </w:r>
    </w:p>
    <w:p w14:paraId="77BF63C2" w14:textId="77777777" w:rsidR="00992163" w:rsidRPr="00CD0256" w:rsidRDefault="00992163" w:rsidP="00CD0256">
      <w:pPr>
        <w:ind w:left="284"/>
        <w:jc w:val="both"/>
        <w:rPr>
          <w:rFonts w:ascii="Verdana" w:eastAsia="Calibri" w:hAnsi="Verdana" w:cs="Calibri"/>
          <w:sz w:val="18"/>
          <w:szCs w:val="18"/>
        </w:rPr>
      </w:pPr>
      <w:r w:rsidRPr="00CD0256">
        <w:rPr>
          <w:rFonts w:ascii="Verdana" w:eastAsia="Calibri" w:hAnsi="Verdana" w:cs="Calibri"/>
          <w:sz w:val="18"/>
          <w:szCs w:val="18"/>
        </w:rPr>
        <w:t>Le Comité des OPL :</w:t>
      </w:r>
    </w:p>
    <w:p w14:paraId="046301E4" w14:textId="77777777" w:rsidR="00992163" w:rsidRPr="00CD0256" w:rsidRDefault="00992163" w:rsidP="00CD0256">
      <w:pPr>
        <w:numPr>
          <w:ilvl w:val="0"/>
          <w:numId w:val="18"/>
        </w:numPr>
        <w:jc w:val="both"/>
        <w:rPr>
          <w:rFonts w:ascii="Verdana" w:eastAsia="Calibri" w:hAnsi="Verdana" w:cs="Calibri"/>
          <w:sz w:val="18"/>
          <w:szCs w:val="18"/>
        </w:rPr>
      </w:pPr>
      <w:r w:rsidRPr="00CD0256">
        <w:rPr>
          <w:rFonts w:ascii="Verdana" w:eastAsia="Calibri" w:hAnsi="Verdana" w:cs="Calibri"/>
          <w:sz w:val="18"/>
          <w:szCs w:val="18"/>
        </w:rPr>
        <w:t>Salue l’appui apporté par le programme COI Horizon 2030 dans l’élaboration du projet de plan d’actions prioritaires (PAP) 2025-2029 du Plan de Développement Stratégique ; </w:t>
      </w:r>
    </w:p>
    <w:p w14:paraId="654C3768" w14:textId="77777777" w:rsidR="00992163" w:rsidRPr="00CD0256" w:rsidRDefault="00992163" w:rsidP="00CD0256">
      <w:pPr>
        <w:numPr>
          <w:ilvl w:val="0"/>
          <w:numId w:val="18"/>
        </w:numPr>
        <w:jc w:val="both"/>
        <w:rPr>
          <w:rFonts w:ascii="Verdana" w:eastAsia="Calibri" w:hAnsi="Verdana" w:cs="Calibri"/>
          <w:sz w:val="18"/>
          <w:szCs w:val="18"/>
        </w:rPr>
      </w:pPr>
      <w:r w:rsidRPr="00CD0256">
        <w:rPr>
          <w:rFonts w:ascii="Verdana" w:eastAsia="Calibri" w:hAnsi="Verdana" w:cs="Calibri"/>
          <w:sz w:val="18"/>
          <w:szCs w:val="18"/>
        </w:rPr>
        <w:t xml:space="preserve">Prend note des priorités identifiées dans ledit projet de PAP et demande aux OPL de transmettre leur approbation dans un délai de deux semaines ; </w:t>
      </w:r>
    </w:p>
    <w:p w14:paraId="37F677BC" w14:textId="25AB6B9C" w:rsidR="00992163" w:rsidRPr="00CD0256" w:rsidRDefault="00992163" w:rsidP="00CD0256">
      <w:pPr>
        <w:numPr>
          <w:ilvl w:val="0"/>
          <w:numId w:val="18"/>
        </w:numPr>
        <w:jc w:val="both"/>
        <w:rPr>
          <w:rFonts w:ascii="Verdana" w:eastAsia="Calibri" w:hAnsi="Verdana" w:cs="Calibri"/>
          <w:sz w:val="18"/>
          <w:szCs w:val="18"/>
        </w:rPr>
      </w:pPr>
      <w:r w:rsidRPr="00CD0256">
        <w:rPr>
          <w:rFonts w:ascii="Verdana" w:eastAsia="Calibri" w:hAnsi="Verdana" w:cs="Calibri"/>
          <w:sz w:val="18"/>
          <w:szCs w:val="18"/>
        </w:rPr>
        <w:t xml:space="preserve">Demande au Secrétariat général de finaliser le document portant PAP 2025-2029 du PDS en veillant à maintenir l’esprit de co-construction ayant prévalu pour l’élaboration du PDS et en y intégrant le cadre de suivi-évaluation et de le soumettre aux </w:t>
      </w:r>
      <w:r w:rsidR="00A93E24" w:rsidRPr="00CD0256">
        <w:rPr>
          <w:rFonts w:ascii="Verdana" w:eastAsia="Calibri" w:hAnsi="Verdana" w:cs="Calibri"/>
          <w:sz w:val="18"/>
          <w:szCs w:val="18"/>
        </w:rPr>
        <w:t>États</w:t>
      </w:r>
      <w:r w:rsidRPr="00CD0256">
        <w:rPr>
          <w:rFonts w:ascii="Verdana" w:eastAsia="Calibri" w:hAnsi="Verdana" w:cs="Calibri"/>
          <w:sz w:val="18"/>
          <w:szCs w:val="18"/>
        </w:rPr>
        <w:t xml:space="preserve"> membres pour validation dans les meilleurs délais.</w:t>
      </w:r>
    </w:p>
    <w:p w14:paraId="00F42CC9" w14:textId="77777777" w:rsidR="00992163" w:rsidRPr="00CD0256" w:rsidRDefault="00992163" w:rsidP="00CD0256">
      <w:pPr>
        <w:pStyle w:val="Paragraphe"/>
      </w:pPr>
    </w:p>
    <w:p w14:paraId="1D6F1669" w14:textId="72833CAD" w:rsidR="00417683" w:rsidRPr="00CD0256" w:rsidRDefault="00417683" w:rsidP="00CD0256">
      <w:pPr>
        <w:pStyle w:val="Titrepartie"/>
      </w:pPr>
      <w:r w:rsidRPr="00CD0256">
        <w:t>Annexe</w:t>
      </w:r>
      <w:r w:rsidR="008F173C" w:rsidRPr="00CD0256">
        <w:t>s</w:t>
      </w:r>
      <w:r w:rsidRPr="00CD0256">
        <w:t> :</w:t>
      </w:r>
    </w:p>
    <w:p w14:paraId="374F3417" w14:textId="76DD9122" w:rsidR="00C325F5" w:rsidRPr="001D68BC" w:rsidRDefault="00620B90" w:rsidP="00CD0256">
      <w:pPr>
        <w:pStyle w:val="Paragraphe"/>
        <w:numPr>
          <w:ilvl w:val="0"/>
          <w:numId w:val="9"/>
        </w:numPr>
        <w:rPr>
          <w:sz w:val="18"/>
          <w:szCs w:val="18"/>
        </w:rPr>
      </w:pPr>
      <w:r w:rsidRPr="001D68BC">
        <w:rPr>
          <w:sz w:val="18"/>
          <w:szCs w:val="18"/>
        </w:rPr>
        <w:t xml:space="preserve">Annexe 1 : </w:t>
      </w:r>
      <w:r w:rsidR="004373A1" w:rsidRPr="001D68BC">
        <w:rPr>
          <w:sz w:val="18"/>
          <w:szCs w:val="18"/>
        </w:rPr>
        <w:t>Plan d’actions prioritaires de la COI 2025-2029</w:t>
      </w:r>
    </w:p>
    <w:p w14:paraId="54B138CC" w14:textId="0EF29F64" w:rsidR="00DD5CD5" w:rsidRPr="001D68BC" w:rsidRDefault="00DD5CD5" w:rsidP="00CD0256">
      <w:pPr>
        <w:pStyle w:val="Paragraphe"/>
        <w:numPr>
          <w:ilvl w:val="0"/>
          <w:numId w:val="9"/>
        </w:numPr>
        <w:rPr>
          <w:sz w:val="18"/>
          <w:szCs w:val="18"/>
        </w:rPr>
      </w:pPr>
      <w:r w:rsidRPr="001D68BC">
        <w:rPr>
          <w:sz w:val="18"/>
          <w:szCs w:val="18"/>
        </w:rPr>
        <w:t xml:space="preserve">Annexe 2 : </w:t>
      </w:r>
      <w:r w:rsidR="00625445" w:rsidRPr="001D68BC">
        <w:rPr>
          <w:sz w:val="18"/>
          <w:szCs w:val="18"/>
        </w:rPr>
        <w:t>Cadre de suivi-évaluation et d</w:t>
      </w:r>
      <w:r w:rsidRPr="001D68BC">
        <w:rPr>
          <w:sz w:val="18"/>
          <w:szCs w:val="18"/>
        </w:rPr>
        <w:t xml:space="preserve">ictionnaire </w:t>
      </w:r>
      <w:r w:rsidR="0054562C" w:rsidRPr="001D68BC">
        <w:rPr>
          <w:sz w:val="18"/>
          <w:szCs w:val="18"/>
        </w:rPr>
        <w:t>des indicateurs du PAP</w:t>
      </w:r>
    </w:p>
    <w:p w14:paraId="3F5CB1A7" w14:textId="08F13D04" w:rsidR="000F6489" w:rsidRPr="001D68BC" w:rsidRDefault="000F6489" w:rsidP="00CD0256">
      <w:pPr>
        <w:pStyle w:val="Paragraphe"/>
        <w:numPr>
          <w:ilvl w:val="0"/>
          <w:numId w:val="9"/>
        </w:numPr>
        <w:rPr>
          <w:sz w:val="18"/>
          <w:szCs w:val="18"/>
        </w:rPr>
      </w:pPr>
      <w:r w:rsidRPr="001D68BC">
        <w:rPr>
          <w:sz w:val="18"/>
          <w:szCs w:val="18"/>
        </w:rPr>
        <w:t xml:space="preserve">Annexe </w:t>
      </w:r>
      <w:r w:rsidR="0054562C" w:rsidRPr="001D68BC">
        <w:rPr>
          <w:sz w:val="18"/>
          <w:szCs w:val="18"/>
        </w:rPr>
        <w:t>3</w:t>
      </w:r>
      <w:r w:rsidRPr="001D68BC">
        <w:rPr>
          <w:sz w:val="18"/>
          <w:szCs w:val="18"/>
        </w:rPr>
        <w:t xml:space="preserve"> : Cadre </w:t>
      </w:r>
      <w:r w:rsidR="00625445" w:rsidRPr="001D68BC">
        <w:rPr>
          <w:sz w:val="18"/>
          <w:szCs w:val="18"/>
        </w:rPr>
        <w:t xml:space="preserve">logique </w:t>
      </w:r>
      <w:r w:rsidRPr="001D68BC">
        <w:rPr>
          <w:sz w:val="18"/>
          <w:szCs w:val="18"/>
        </w:rPr>
        <w:t>du PDS 2023-2033</w:t>
      </w:r>
      <w:r w:rsidR="00625445" w:rsidRPr="001D68BC">
        <w:rPr>
          <w:sz w:val="18"/>
          <w:szCs w:val="18"/>
        </w:rPr>
        <w:t xml:space="preserve"> et dictionnaire des indicateurs</w:t>
      </w:r>
    </w:p>
    <w:sectPr w:rsidR="000F6489" w:rsidRPr="001D68B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1F93" w14:textId="77777777" w:rsidR="00C417C5" w:rsidRDefault="00C417C5">
      <w:pPr>
        <w:spacing w:after="0" w:line="240" w:lineRule="auto"/>
      </w:pPr>
      <w:r>
        <w:separator/>
      </w:r>
    </w:p>
  </w:endnote>
  <w:endnote w:type="continuationSeparator" w:id="0">
    <w:p w14:paraId="2E47C282" w14:textId="77777777" w:rsidR="00C417C5" w:rsidRDefault="00C4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B27A0B">
          <w:rPr>
            <w:noProof/>
          </w:rPr>
          <w:t>3</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BF2F" w14:textId="77777777" w:rsidR="00C417C5" w:rsidRDefault="00C417C5">
      <w:pPr>
        <w:spacing w:after="0" w:line="240" w:lineRule="auto"/>
      </w:pPr>
      <w:r>
        <w:separator/>
      </w:r>
    </w:p>
  </w:footnote>
  <w:footnote w:type="continuationSeparator" w:id="0">
    <w:p w14:paraId="5A07219C" w14:textId="77777777" w:rsidR="00C417C5" w:rsidRDefault="00C4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1F323D38" w:rsidR="00AA63A3" w:rsidRDefault="00854EEA" w:rsidP="005B3A54">
    <w:pPr>
      <w:pStyle w:val="En-tte"/>
      <w:tabs>
        <w:tab w:val="clear" w:pos="4536"/>
        <w:tab w:val="clear" w:pos="9072"/>
        <w:tab w:val="center" w:pos="0"/>
      </w:tabs>
      <w:rPr>
        <w:rFonts w:ascii="Verdana" w:hAnsi="Verdana"/>
        <w:b/>
        <w:bCs/>
        <w:sz w:val="20"/>
        <w:szCs w:val="20"/>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27A0B">
      <w:rPr>
        <w:rFonts w:ascii="Verdana" w:hAnsi="Verdana"/>
        <w:b/>
        <w:bCs/>
        <w:sz w:val="20"/>
        <w:szCs w:val="20"/>
      </w:rPr>
      <w:t>1</w:t>
    </w:r>
    <w:r w:rsidR="005B3A54">
      <w:rPr>
        <w:rFonts w:ascii="Verdana" w:hAnsi="Verdana"/>
        <w:b/>
        <w:bCs/>
        <w:sz w:val="20"/>
        <w:szCs w:val="20"/>
      </w:rPr>
      <w:t>.</w:t>
    </w:r>
    <w:r w:rsidR="003847BC">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9D384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68067A"/>
    <w:multiLevelType w:val="hybridMultilevel"/>
    <w:tmpl w:val="07442B10"/>
    <w:lvl w:ilvl="0" w:tplc="6B341F6E">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1E5BCA"/>
    <w:multiLevelType w:val="hybridMultilevel"/>
    <w:tmpl w:val="3F4A5D94"/>
    <w:lvl w:ilvl="0" w:tplc="BFF00AD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0962670">
    <w:abstractNumId w:val="5"/>
  </w:num>
  <w:num w:numId="2" w16cid:durableId="1847398307">
    <w:abstractNumId w:val="11"/>
  </w:num>
  <w:num w:numId="3" w16cid:durableId="27146526">
    <w:abstractNumId w:val="3"/>
  </w:num>
  <w:num w:numId="4" w16cid:durableId="216015393">
    <w:abstractNumId w:val="1"/>
  </w:num>
  <w:num w:numId="5" w16cid:durableId="204801357">
    <w:abstractNumId w:val="10"/>
  </w:num>
  <w:num w:numId="6" w16cid:durableId="1251936528">
    <w:abstractNumId w:val="4"/>
  </w:num>
  <w:num w:numId="7" w16cid:durableId="293878088">
    <w:abstractNumId w:val="6"/>
  </w:num>
  <w:num w:numId="8" w16cid:durableId="755130371">
    <w:abstractNumId w:val="3"/>
    <w:lvlOverride w:ilvl="0">
      <w:startOverride w:val="1"/>
    </w:lvlOverride>
  </w:num>
  <w:num w:numId="9" w16cid:durableId="1836216010">
    <w:abstractNumId w:val="2"/>
  </w:num>
  <w:num w:numId="10" w16cid:durableId="1671524192">
    <w:abstractNumId w:val="16"/>
  </w:num>
  <w:num w:numId="11" w16cid:durableId="344720988">
    <w:abstractNumId w:val="9"/>
  </w:num>
  <w:num w:numId="12" w16cid:durableId="1538739565">
    <w:abstractNumId w:val="0"/>
  </w:num>
  <w:num w:numId="13" w16cid:durableId="1270624539">
    <w:abstractNumId w:val="12"/>
  </w:num>
  <w:num w:numId="14" w16cid:durableId="1775326960">
    <w:abstractNumId w:val="8"/>
  </w:num>
  <w:num w:numId="15" w16cid:durableId="1546404283">
    <w:abstractNumId w:val="17"/>
  </w:num>
  <w:num w:numId="16" w16cid:durableId="1572739186">
    <w:abstractNumId w:val="13"/>
  </w:num>
  <w:num w:numId="17" w16cid:durableId="900403075">
    <w:abstractNumId w:val="15"/>
  </w:num>
  <w:num w:numId="18" w16cid:durableId="1744449382">
    <w:abstractNumId w:val="7"/>
  </w:num>
  <w:num w:numId="19" w16cid:durableId="1434091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560"/>
    <w:rsid w:val="0000327E"/>
    <w:rsid w:val="00007900"/>
    <w:rsid w:val="00013311"/>
    <w:rsid w:val="000220CF"/>
    <w:rsid w:val="0003128E"/>
    <w:rsid w:val="0003276F"/>
    <w:rsid w:val="00034CAC"/>
    <w:rsid w:val="000373B2"/>
    <w:rsid w:val="000409BC"/>
    <w:rsid w:val="00042CF5"/>
    <w:rsid w:val="0004384C"/>
    <w:rsid w:val="00046675"/>
    <w:rsid w:val="00046C29"/>
    <w:rsid w:val="00047D29"/>
    <w:rsid w:val="000507BA"/>
    <w:rsid w:val="000577DE"/>
    <w:rsid w:val="00060CA0"/>
    <w:rsid w:val="00063A26"/>
    <w:rsid w:val="0008409C"/>
    <w:rsid w:val="0008468B"/>
    <w:rsid w:val="00084740"/>
    <w:rsid w:val="000959CB"/>
    <w:rsid w:val="000A468A"/>
    <w:rsid w:val="000B0F59"/>
    <w:rsid w:val="000B0FBD"/>
    <w:rsid w:val="000B1B75"/>
    <w:rsid w:val="000B1D8E"/>
    <w:rsid w:val="000C0AF1"/>
    <w:rsid w:val="000F0119"/>
    <w:rsid w:val="000F40AE"/>
    <w:rsid w:val="000F4728"/>
    <w:rsid w:val="000F6489"/>
    <w:rsid w:val="000F7D7E"/>
    <w:rsid w:val="00107D9D"/>
    <w:rsid w:val="00110724"/>
    <w:rsid w:val="00163EAB"/>
    <w:rsid w:val="00172FF2"/>
    <w:rsid w:val="0017410D"/>
    <w:rsid w:val="00176B1B"/>
    <w:rsid w:val="0018252D"/>
    <w:rsid w:val="0018467B"/>
    <w:rsid w:val="001A2FF8"/>
    <w:rsid w:val="001A56F1"/>
    <w:rsid w:val="001B4738"/>
    <w:rsid w:val="001B4B3E"/>
    <w:rsid w:val="001D1776"/>
    <w:rsid w:val="001D1B19"/>
    <w:rsid w:val="001D33E9"/>
    <w:rsid w:val="001D3DBB"/>
    <w:rsid w:val="001D68BC"/>
    <w:rsid w:val="001F203C"/>
    <w:rsid w:val="001F241C"/>
    <w:rsid w:val="00202F30"/>
    <w:rsid w:val="00210BC3"/>
    <w:rsid w:val="00221DB9"/>
    <w:rsid w:val="00226317"/>
    <w:rsid w:val="00237F81"/>
    <w:rsid w:val="002470EB"/>
    <w:rsid w:val="0025268C"/>
    <w:rsid w:val="00262211"/>
    <w:rsid w:val="0026664B"/>
    <w:rsid w:val="0029457B"/>
    <w:rsid w:val="002A0933"/>
    <w:rsid w:val="002A096E"/>
    <w:rsid w:val="002A2AC5"/>
    <w:rsid w:val="002B6A49"/>
    <w:rsid w:val="002C4340"/>
    <w:rsid w:val="002C56ED"/>
    <w:rsid w:val="002C58DC"/>
    <w:rsid w:val="002E496C"/>
    <w:rsid w:val="002E5AA4"/>
    <w:rsid w:val="00303FBC"/>
    <w:rsid w:val="00320899"/>
    <w:rsid w:val="00326460"/>
    <w:rsid w:val="00331EFE"/>
    <w:rsid w:val="00347595"/>
    <w:rsid w:val="00347B54"/>
    <w:rsid w:val="003500AB"/>
    <w:rsid w:val="00355BB6"/>
    <w:rsid w:val="00356FF0"/>
    <w:rsid w:val="003604B9"/>
    <w:rsid w:val="00372275"/>
    <w:rsid w:val="0037332D"/>
    <w:rsid w:val="003772FB"/>
    <w:rsid w:val="003847BC"/>
    <w:rsid w:val="003851FA"/>
    <w:rsid w:val="00391152"/>
    <w:rsid w:val="003B3E02"/>
    <w:rsid w:val="003C03D4"/>
    <w:rsid w:val="003C2538"/>
    <w:rsid w:val="003C7937"/>
    <w:rsid w:val="003D485F"/>
    <w:rsid w:val="003D5328"/>
    <w:rsid w:val="003E4BAB"/>
    <w:rsid w:val="003F5E13"/>
    <w:rsid w:val="004009B6"/>
    <w:rsid w:val="0041278C"/>
    <w:rsid w:val="0041699E"/>
    <w:rsid w:val="00417683"/>
    <w:rsid w:val="00421E09"/>
    <w:rsid w:val="00423AAD"/>
    <w:rsid w:val="00423BE4"/>
    <w:rsid w:val="00425FBD"/>
    <w:rsid w:val="00426673"/>
    <w:rsid w:val="004334A7"/>
    <w:rsid w:val="00433B9B"/>
    <w:rsid w:val="004373A1"/>
    <w:rsid w:val="00456464"/>
    <w:rsid w:val="00457C2A"/>
    <w:rsid w:val="004607F7"/>
    <w:rsid w:val="00464F56"/>
    <w:rsid w:val="00467379"/>
    <w:rsid w:val="00475585"/>
    <w:rsid w:val="00480D30"/>
    <w:rsid w:val="0048177D"/>
    <w:rsid w:val="0048233D"/>
    <w:rsid w:val="004B08F2"/>
    <w:rsid w:val="004B2164"/>
    <w:rsid w:val="004B30B1"/>
    <w:rsid w:val="004B741E"/>
    <w:rsid w:val="004C084C"/>
    <w:rsid w:val="004C2DE0"/>
    <w:rsid w:val="004D3232"/>
    <w:rsid w:val="004D4BC2"/>
    <w:rsid w:val="004D4E89"/>
    <w:rsid w:val="004D4EBF"/>
    <w:rsid w:val="004E20E8"/>
    <w:rsid w:val="004E49F4"/>
    <w:rsid w:val="004F5C4B"/>
    <w:rsid w:val="004F793E"/>
    <w:rsid w:val="005003E0"/>
    <w:rsid w:val="00520ED8"/>
    <w:rsid w:val="0052682D"/>
    <w:rsid w:val="005269A6"/>
    <w:rsid w:val="00526C20"/>
    <w:rsid w:val="005347AA"/>
    <w:rsid w:val="0053773D"/>
    <w:rsid w:val="0054347B"/>
    <w:rsid w:val="005439C0"/>
    <w:rsid w:val="0054562C"/>
    <w:rsid w:val="0055207A"/>
    <w:rsid w:val="00561CB6"/>
    <w:rsid w:val="00562AD8"/>
    <w:rsid w:val="00574DE2"/>
    <w:rsid w:val="00577D2A"/>
    <w:rsid w:val="00580122"/>
    <w:rsid w:val="00582DEC"/>
    <w:rsid w:val="00584B79"/>
    <w:rsid w:val="00593A8C"/>
    <w:rsid w:val="005963B4"/>
    <w:rsid w:val="005A30AE"/>
    <w:rsid w:val="005A3834"/>
    <w:rsid w:val="005A4657"/>
    <w:rsid w:val="005A56D9"/>
    <w:rsid w:val="005A5F32"/>
    <w:rsid w:val="005B0E6B"/>
    <w:rsid w:val="005B253D"/>
    <w:rsid w:val="005B3A54"/>
    <w:rsid w:val="005D13B2"/>
    <w:rsid w:val="005E24E7"/>
    <w:rsid w:val="005E42AF"/>
    <w:rsid w:val="005E6F02"/>
    <w:rsid w:val="005F453D"/>
    <w:rsid w:val="006125C6"/>
    <w:rsid w:val="00620B90"/>
    <w:rsid w:val="0062124A"/>
    <w:rsid w:val="00625445"/>
    <w:rsid w:val="006356AF"/>
    <w:rsid w:val="00646A0F"/>
    <w:rsid w:val="006548BF"/>
    <w:rsid w:val="00657F06"/>
    <w:rsid w:val="00660504"/>
    <w:rsid w:val="006630AF"/>
    <w:rsid w:val="00674128"/>
    <w:rsid w:val="00675D02"/>
    <w:rsid w:val="00675EC1"/>
    <w:rsid w:val="00693A7E"/>
    <w:rsid w:val="006A20A1"/>
    <w:rsid w:val="006B188E"/>
    <w:rsid w:val="006B19AB"/>
    <w:rsid w:val="006E2D9E"/>
    <w:rsid w:val="006E50D1"/>
    <w:rsid w:val="006F3770"/>
    <w:rsid w:val="00703AC4"/>
    <w:rsid w:val="007218E9"/>
    <w:rsid w:val="00735EE6"/>
    <w:rsid w:val="00737FE3"/>
    <w:rsid w:val="00745EE8"/>
    <w:rsid w:val="007601F2"/>
    <w:rsid w:val="00762819"/>
    <w:rsid w:val="00771493"/>
    <w:rsid w:val="007811A2"/>
    <w:rsid w:val="0079268A"/>
    <w:rsid w:val="0079524B"/>
    <w:rsid w:val="007A152A"/>
    <w:rsid w:val="007A6448"/>
    <w:rsid w:val="007B245C"/>
    <w:rsid w:val="007C1F02"/>
    <w:rsid w:val="007C644A"/>
    <w:rsid w:val="007C78FC"/>
    <w:rsid w:val="007D18A4"/>
    <w:rsid w:val="007D1A26"/>
    <w:rsid w:val="007D3EB1"/>
    <w:rsid w:val="007D619A"/>
    <w:rsid w:val="007E3A62"/>
    <w:rsid w:val="007F1673"/>
    <w:rsid w:val="00805834"/>
    <w:rsid w:val="00816DAC"/>
    <w:rsid w:val="0083290E"/>
    <w:rsid w:val="00832AA2"/>
    <w:rsid w:val="008351A1"/>
    <w:rsid w:val="00843FF2"/>
    <w:rsid w:val="008453AB"/>
    <w:rsid w:val="00854EEA"/>
    <w:rsid w:val="008551DA"/>
    <w:rsid w:val="00855736"/>
    <w:rsid w:val="00890E86"/>
    <w:rsid w:val="008B55BF"/>
    <w:rsid w:val="008C18E1"/>
    <w:rsid w:val="008C25EE"/>
    <w:rsid w:val="008D193F"/>
    <w:rsid w:val="008D39E2"/>
    <w:rsid w:val="008F173C"/>
    <w:rsid w:val="008F7EE0"/>
    <w:rsid w:val="0090443D"/>
    <w:rsid w:val="00916C60"/>
    <w:rsid w:val="009228B6"/>
    <w:rsid w:val="0093619D"/>
    <w:rsid w:val="00937C14"/>
    <w:rsid w:val="00940F77"/>
    <w:rsid w:val="009511C0"/>
    <w:rsid w:val="00955BB3"/>
    <w:rsid w:val="0096403D"/>
    <w:rsid w:val="0096677D"/>
    <w:rsid w:val="00967157"/>
    <w:rsid w:val="00975130"/>
    <w:rsid w:val="009816A2"/>
    <w:rsid w:val="00987BE5"/>
    <w:rsid w:val="00992163"/>
    <w:rsid w:val="009A043C"/>
    <w:rsid w:val="009A38AD"/>
    <w:rsid w:val="009B1A7D"/>
    <w:rsid w:val="009B1E58"/>
    <w:rsid w:val="009E2979"/>
    <w:rsid w:val="009E3526"/>
    <w:rsid w:val="009F78F5"/>
    <w:rsid w:val="00A148A1"/>
    <w:rsid w:val="00A24991"/>
    <w:rsid w:val="00A328DD"/>
    <w:rsid w:val="00A36C09"/>
    <w:rsid w:val="00A37C51"/>
    <w:rsid w:val="00A37C9F"/>
    <w:rsid w:val="00A40AC4"/>
    <w:rsid w:val="00A5018F"/>
    <w:rsid w:val="00A5332A"/>
    <w:rsid w:val="00A605E9"/>
    <w:rsid w:val="00A70123"/>
    <w:rsid w:val="00A76B07"/>
    <w:rsid w:val="00A77DA6"/>
    <w:rsid w:val="00A81B98"/>
    <w:rsid w:val="00A90305"/>
    <w:rsid w:val="00A90ED8"/>
    <w:rsid w:val="00A9119C"/>
    <w:rsid w:val="00A93E24"/>
    <w:rsid w:val="00AA0B40"/>
    <w:rsid w:val="00AA63A3"/>
    <w:rsid w:val="00AA644B"/>
    <w:rsid w:val="00AB42FB"/>
    <w:rsid w:val="00AB5EB7"/>
    <w:rsid w:val="00AD4D97"/>
    <w:rsid w:val="00AD66F9"/>
    <w:rsid w:val="00AE2453"/>
    <w:rsid w:val="00AF205D"/>
    <w:rsid w:val="00AF2469"/>
    <w:rsid w:val="00AF358D"/>
    <w:rsid w:val="00AF5833"/>
    <w:rsid w:val="00AF6C12"/>
    <w:rsid w:val="00B043A7"/>
    <w:rsid w:val="00B05DFC"/>
    <w:rsid w:val="00B214D4"/>
    <w:rsid w:val="00B27A0B"/>
    <w:rsid w:val="00B36EEA"/>
    <w:rsid w:val="00B40746"/>
    <w:rsid w:val="00B5002D"/>
    <w:rsid w:val="00B52ED9"/>
    <w:rsid w:val="00B61AA6"/>
    <w:rsid w:val="00B65480"/>
    <w:rsid w:val="00B65AC3"/>
    <w:rsid w:val="00B764EF"/>
    <w:rsid w:val="00B86234"/>
    <w:rsid w:val="00B90F02"/>
    <w:rsid w:val="00BA4B55"/>
    <w:rsid w:val="00BA7304"/>
    <w:rsid w:val="00BB0861"/>
    <w:rsid w:val="00BD4397"/>
    <w:rsid w:val="00BD75EF"/>
    <w:rsid w:val="00BE178B"/>
    <w:rsid w:val="00BE4DD6"/>
    <w:rsid w:val="00BE67F9"/>
    <w:rsid w:val="00BF3CA1"/>
    <w:rsid w:val="00BF5640"/>
    <w:rsid w:val="00BF7CFD"/>
    <w:rsid w:val="00C12C93"/>
    <w:rsid w:val="00C16F22"/>
    <w:rsid w:val="00C325F5"/>
    <w:rsid w:val="00C33361"/>
    <w:rsid w:val="00C353CD"/>
    <w:rsid w:val="00C376E1"/>
    <w:rsid w:val="00C417C5"/>
    <w:rsid w:val="00C457E8"/>
    <w:rsid w:val="00C609B9"/>
    <w:rsid w:val="00C73A50"/>
    <w:rsid w:val="00C73C34"/>
    <w:rsid w:val="00C808AD"/>
    <w:rsid w:val="00C974BB"/>
    <w:rsid w:val="00CD0256"/>
    <w:rsid w:val="00CE2386"/>
    <w:rsid w:val="00CE3237"/>
    <w:rsid w:val="00D0154B"/>
    <w:rsid w:val="00D050A9"/>
    <w:rsid w:val="00D06AD1"/>
    <w:rsid w:val="00D07209"/>
    <w:rsid w:val="00D102C1"/>
    <w:rsid w:val="00D3175B"/>
    <w:rsid w:val="00D326CA"/>
    <w:rsid w:val="00D41D82"/>
    <w:rsid w:val="00D62D8F"/>
    <w:rsid w:val="00D63420"/>
    <w:rsid w:val="00D821D3"/>
    <w:rsid w:val="00D85530"/>
    <w:rsid w:val="00DA39C1"/>
    <w:rsid w:val="00DB1431"/>
    <w:rsid w:val="00DD5CD5"/>
    <w:rsid w:val="00DD682F"/>
    <w:rsid w:val="00DF0F89"/>
    <w:rsid w:val="00DF699B"/>
    <w:rsid w:val="00E0013F"/>
    <w:rsid w:val="00E0317D"/>
    <w:rsid w:val="00E21161"/>
    <w:rsid w:val="00E272C7"/>
    <w:rsid w:val="00E32408"/>
    <w:rsid w:val="00E32821"/>
    <w:rsid w:val="00E415D7"/>
    <w:rsid w:val="00E42A25"/>
    <w:rsid w:val="00E46274"/>
    <w:rsid w:val="00E500B8"/>
    <w:rsid w:val="00E52D4B"/>
    <w:rsid w:val="00E555AE"/>
    <w:rsid w:val="00E57F99"/>
    <w:rsid w:val="00E61C27"/>
    <w:rsid w:val="00E845D4"/>
    <w:rsid w:val="00E905E5"/>
    <w:rsid w:val="00E90985"/>
    <w:rsid w:val="00E90D3E"/>
    <w:rsid w:val="00E96ECE"/>
    <w:rsid w:val="00EC22CC"/>
    <w:rsid w:val="00EC2430"/>
    <w:rsid w:val="00ED2312"/>
    <w:rsid w:val="00ED6B69"/>
    <w:rsid w:val="00EE34F4"/>
    <w:rsid w:val="00EF22A4"/>
    <w:rsid w:val="00F16218"/>
    <w:rsid w:val="00F17485"/>
    <w:rsid w:val="00F40F05"/>
    <w:rsid w:val="00F45746"/>
    <w:rsid w:val="00F4714A"/>
    <w:rsid w:val="00F54EA0"/>
    <w:rsid w:val="00F5604D"/>
    <w:rsid w:val="00F56E8C"/>
    <w:rsid w:val="00F6614F"/>
    <w:rsid w:val="00F73BF8"/>
    <w:rsid w:val="00F83346"/>
    <w:rsid w:val="00F85538"/>
    <w:rsid w:val="00F87015"/>
    <w:rsid w:val="00F877B2"/>
    <w:rsid w:val="00F91338"/>
    <w:rsid w:val="00F96EE9"/>
    <w:rsid w:val="00FA7793"/>
    <w:rsid w:val="00FB3B37"/>
    <w:rsid w:val="00FB606F"/>
    <w:rsid w:val="00FC0948"/>
    <w:rsid w:val="00FC2DD6"/>
    <w:rsid w:val="00FD064E"/>
    <w:rsid w:val="00FD294B"/>
    <w:rsid w:val="00FD2C45"/>
    <w:rsid w:val="00FE027D"/>
    <w:rsid w:val="00FE0773"/>
    <w:rsid w:val="00FE285D"/>
    <w:rsid w:val="00FE4E3A"/>
    <w:rsid w:val="00FF44C7"/>
    <w:rsid w:val="00FF4D6C"/>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docId w15:val="{0FC1C8DF-BE17-4E26-8F47-2E00F59B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361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619D"/>
    <w:rPr>
      <w:rFonts w:ascii="Tahoma" w:hAnsi="Tahoma" w:cs="Tahoma"/>
      <w:sz w:val="16"/>
      <w:szCs w:val="16"/>
    </w:rPr>
  </w:style>
  <w:style w:type="paragraph" w:styleId="Rvision">
    <w:name w:val="Revision"/>
    <w:hidden/>
    <w:uiPriority w:val="99"/>
    <w:semiHidden/>
    <w:rsid w:val="005F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662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826</Words>
  <Characters>4548</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N'DIAYE</dc:creator>
  <cp:lastModifiedBy>Shirley LAW</cp:lastModifiedBy>
  <cp:revision>54</cp:revision>
  <dcterms:created xsi:type="dcterms:W3CDTF">2025-03-24T05:15:00Z</dcterms:created>
  <dcterms:modified xsi:type="dcterms:W3CDTF">2025-11-06T09:17:00Z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