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251" w:type="dxa"/>
        <w:tblInd w:w="279" w:type="dxa"/>
        <w:tblLayout w:type="fixed"/>
        <w:tblLook w:val="04A0" w:firstRow="1" w:lastRow="0" w:firstColumn="1" w:lastColumn="0" w:noHBand="0" w:noVBand="1"/>
      </w:tblPr>
      <w:tblGrid>
        <w:gridCol w:w="1843"/>
        <w:gridCol w:w="1365"/>
        <w:gridCol w:w="6075"/>
        <w:gridCol w:w="1455"/>
        <w:gridCol w:w="4513"/>
      </w:tblGrid>
      <w:tr w:rsidR="004F29BC" w:rsidRPr="00362BB1" w14:paraId="4F27EBC7" w14:textId="77777777" w:rsidTr="25137305">
        <w:tc>
          <w:tcPr>
            <w:tcW w:w="1843" w:type="dxa"/>
          </w:tcPr>
          <w:p w14:paraId="7EF1F869" w14:textId="77777777" w:rsidR="004F29BC" w:rsidRPr="00362BB1" w:rsidRDefault="004F29BC" w:rsidP="48BE4D71"/>
        </w:tc>
        <w:tc>
          <w:tcPr>
            <w:tcW w:w="1365" w:type="dxa"/>
          </w:tcPr>
          <w:p w14:paraId="23D3CD88" w14:textId="77777777" w:rsidR="004F29BC" w:rsidRPr="00362BB1" w:rsidRDefault="004F29BC" w:rsidP="00154FC7">
            <w:pPr>
              <w:jc w:val="center"/>
              <w:rPr>
                <w:rFonts w:ascii="Verdana" w:hAnsi="Verdana"/>
                <w:sz w:val="18"/>
                <w:szCs w:val="18"/>
              </w:rPr>
            </w:pPr>
          </w:p>
        </w:tc>
        <w:tc>
          <w:tcPr>
            <w:tcW w:w="6075" w:type="dxa"/>
          </w:tcPr>
          <w:p w14:paraId="0F8097C7" w14:textId="77777777" w:rsidR="004F29BC" w:rsidRPr="00362BB1" w:rsidRDefault="004F29BC" w:rsidP="00154FC7">
            <w:pPr>
              <w:jc w:val="both"/>
              <w:rPr>
                <w:rFonts w:ascii="Verdana" w:hAnsi="Verdana"/>
                <w:sz w:val="18"/>
                <w:szCs w:val="18"/>
              </w:rPr>
            </w:pPr>
          </w:p>
        </w:tc>
        <w:tc>
          <w:tcPr>
            <w:tcW w:w="1455" w:type="dxa"/>
          </w:tcPr>
          <w:p w14:paraId="534B57B4" w14:textId="77777777" w:rsidR="004F29BC" w:rsidRPr="00362BB1" w:rsidRDefault="004F29BC" w:rsidP="005803FB">
            <w:pPr>
              <w:jc w:val="center"/>
              <w:rPr>
                <w:rFonts w:ascii="Verdana" w:hAnsi="Verdana"/>
                <w:sz w:val="18"/>
                <w:szCs w:val="18"/>
              </w:rPr>
            </w:pPr>
          </w:p>
        </w:tc>
        <w:tc>
          <w:tcPr>
            <w:tcW w:w="4513" w:type="dxa"/>
          </w:tcPr>
          <w:p w14:paraId="0C7066E4" w14:textId="77777777" w:rsidR="004F29BC" w:rsidRPr="00362BB1" w:rsidRDefault="004F29BC" w:rsidP="00154FC7">
            <w:pPr>
              <w:rPr>
                <w:rFonts w:ascii="Verdana" w:hAnsi="Verdana"/>
                <w:sz w:val="18"/>
                <w:szCs w:val="18"/>
              </w:rPr>
            </w:pPr>
          </w:p>
        </w:tc>
      </w:tr>
      <w:tr w:rsidR="004F29BC" w:rsidRPr="00362BB1" w14:paraId="2EC03F4C" w14:textId="77777777" w:rsidTr="25137305">
        <w:tc>
          <w:tcPr>
            <w:tcW w:w="1843" w:type="dxa"/>
          </w:tcPr>
          <w:p w14:paraId="1F81C04B" w14:textId="498BE8B9" w:rsidR="004F29BC" w:rsidRPr="00362BB1" w:rsidRDefault="004F29BC" w:rsidP="00644C2E">
            <w:pPr>
              <w:jc w:val="center"/>
              <w:rPr>
                <w:rFonts w:ascii="Verdana" w:hAnsi="Verdana"/>
                <w:sz w:val="18"/>
                <w:szCs w:val="18"/>
              </w:rPr>
            </w:pPr>
            <w:r w:rsidRPr="00362BB1">
              <w:rPr>
                <w:rFonts w:ascii="Verdana" w:hAnsi="Verdana"/>
                <w:sz w:val="18"/>
                <w:szCs w:val="18"/>
              </w:rPr>
              <w:t>Plan d’actions prioritaires du PDS 2023-2033</w:t>
            </w:r>
          </w:p>
        </w:tc>
        <w:tc>
          <w:tcPr>
            <w:tcW w:w="1365" w:type="dxa"/>
          </w:tcPr>
          <w:p w14:paraId="4FBAD0B7" w14:textId="1A5E0D6A" w:rsidR="004F29BC" w:rsidRPr="00362BB1" w:rsidRDefault="004F29BC" w:rsidP="00154FC7">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4CE5E3A8" w14:textId="35C086EF" w:rsidR="004F29BC" w:rsidRPr="00362BB1" w:rsidRDefault="004F29BC" w:rsidP="00154FC7">
            <w:pPr>
              <w:pStyle w:val="Paragraphe"/>
              <w:ind w:left="31"/>
              <w:rPr>
                <w:sz w:val="18"/>
                <w:szCs w:val="18"/>
              </w:rPr>
            </w:pPr>
            <w:r w:rsidRPr="00362BB1">
              <w:rPr>
                <w:sz w:val="18"/>
                <w:szCs w:val="18"/>
              </w:rPr>
              <w:t xml:space="preserve">Demande au Secrétariat général de poursuivre la finalisation du document portant PAP 2025-2029 du Plan de développement stratégique (PDS) </w:t>
            </w:r>
            <w:r w:rsidRPr="00362BB1">
              <w:rPr>
                <w:rFonts w:eastAsia="Calibri"/>
                <w:sz w:val="18"/>
                <w:szCs w:val="18"/>
              </w:rPr>
              <w:t xml:space="preserve">en veillant à maintenir l’esprit de co-construction ayant prévalu pour l’élaboration du PDS et </w:t>
            </w:r>
            <w:r w:rsidRPr="00362BB1">
              <w:rPr>
                <w:sz w:val="18"/>
                <w:szCs w:val="18"/>
              </w:rPr>
              <w:t xml:space="preserve">en y intégrant le cadre de suivi-évaluation et de le soumettre aux États membres pour validation dans les meilleurs délais. </w:t>
            </w:r>
          </w:p>
        </w:tc>
        <w:tc>
          <w:tcPr>
            <w:tcW w:w="1455" w:type="dxa"/>
          </w:tcPr>
          <w:p w14:paraId="7A1FB010" w14:textId="56B3F1F8" w:rsidR="004F29BC" w:rsidRPr="00362BB1" w:rsidRDefault="0BC1D27E" w:rsidP="005803FB">
            <w:pPr>
              <w:jc w:val="center"/>
              <w:rPr>
                <w:rFonts w:ascii="Verdana" w:hAnsi="Verdana"/>
                <w:sz w:val="18"/>
                <w:szCs w:val="18"/>
              </w:rPr>
            </w:pPr>
            <w:r w:rsidRPr="2CB75343">
              <w:rPr>
                <w:rFonts w:ascii="Verdana" w:hAnsi="Verdana"/>
                <w:sz w:val="18"/>
                <w:szCs w:val="18"/>
              </w:rPr>
              <w:t>DIR/COM/</w:t>
            </w:r>
          </w:p>
          <w:p w14:paraId="2A5B8271" w14:textId="5DD207E8" w:rsidR="004F29BC" w:rsidRPr="00362BB1" w:rsidRDefault="0BC1D27E" w:rsidP="005803FB">
            <w:pPr>
              <w:jc w:val="center"/>
              <w:rPr>
                <w:rFonts w:ascii="Verdana" w:hAnsi="Verdana"/>
                <w:sz w:val="18"/>
                <w:szCs w:val="18"/>
              </w:rPr>
            </w:pPr>
            <w:proofErr w:type="spellStart"/>
            <w:proofErr w:type="gramStart"/>
            <w:r w:rsidRPr="2CB75343">
              <w:rPr>
                <w:rFonts w:ascii="Verdana" w:hAnsi="Verdana"/>
                <w:sz w:val="18"/>
                <w:szCs w:val="18"/>
              </w:rPr>
              <w:t>S.Suivi</w:t>
            </w:r>
            <w:proofErr w:type="gramEnd"/>
            <w:r w:rsidRPr="2CB75343">
              <w:rPr>
                <w:rFonts w:ascii="Verdana" w:hAnsi="Verdana"/>
                <w:sz w:val="18"/>
                <w:szCs w:val="18"/>
              </w:rPr>
              <w:t>-Evaluation</w:t>
            </w:r>
            <w:proofErr w:type="spellEnd"/>
          </w:p>
        </w:tc>
        <w:tc>
          <w:tcPr>
            <w:tcW w:w="4513" w:type="dxa"/>
          </w:tcPr>
          <w:p w14:paraId="4B1DF3A3" w14:textId="5D3AB36B" w:rsidR="004F29BC" w:rsidRPr="005803FB" w:rsidRDefault="7E6596F8" w:rsidP="2CB75343">
            <w:pPr>
              <w:jc w:val="both"/>
              <w:rPr>
                <w:rFonts w:ascii="Verdana" w:hAnsi="Verdana"/>
                <w:sz w:val="18"/>
                <w:szCs w:val="18"/>
              </w:rPr>
            </w:pPr>
            <w:r w:rsidRPr="005803FB">
              <w:rPr>
                <w:rFonts w:ascii="Verdana" w:hAnsi="Verdana"/>
                <w:sz w:val="18"/>
                <w:szCs w:val="18"/>
              </w:rPr>
              <w:t xml:space="preserve">Travail en cours. </w:t>
            </w:r>
            <w:r w:rsidR="0BC1D27E" w:rsidRPr="005803FB">
              <w:rPr>
                <w:rFonts w:ascii="Verdana" w:hAnsi="Verdana"/>
                <w:sz w:val="18"/>
                <w:szCs w:val="18"/>
              </w:rPr>
              <w:t xml:space="preserve">La finalisation du PAP </w:t>
            </w:r>
            <w:r w:rsidR="6FF93F8A" w:rsidRPr="005803FB">
              <w:rPr>
                <w:rFonts w:ascii="Verdana" w:hAnsi="Verdana"/>
                <w:sz w:val="18"/>
                <w:szCs w:val="18"/>
              </w:rPr>
              <w:t xml:space="preserve">se rapporte </w:t>
            </w:r>
            <w:r w:rsidR="553AB16E" w:rsidRPr="005803FB">
              <w:rPr>
                <w:rFonts w:ascii="Verdana" w:hAnsi="Verdana"/>
                <w:sz w:val="18"/>
                <w:szCs w:val="18"/>
              </w:rPr>
              <w:t>à :</w:t>
            </w:r>
          </w:p>
          <w:p w14:paraId="0DFF02CB" w14:textId="1C2D9976" w:rsidR="004F29BC" w:rsidRPr="005803FB" w:rsidRDefault="184134F0" w:rsidP="009D4A2A">
            <w:pPr>
              <w:pStyle w:val="Paragraphedeliste"/>
              <w:numPr>
                <w:ilvl w:val="0"/>
                <w:numId w:val="7"/>
              </w:numPr>
              <w:ind w:left="355" w:hanging="425"/>
              <w:jc w:val="both"/>
              <w:rPr>
                <w:rFonts w:ascii="Verdana" w:hAnsi="Verdana"/>
                <w:sz w:val="18"/>
                <w:szCs w:val="18"/>
                <w:lang w:val="fr"/>
              </w:rPr>
            </w:pPr>
            <w:r w:rsidRPr="005803FB">
              <w:rPr>
                <w:rFonts w:ascii="Verdana" w:hAnsi="Verdana"/>
                <w:sz w:val="18"/>
                <w:szCs w:val="18"/>
              </w:rPr>
              <w:t xml:space="preserve">La consolidation </w:t>
            </w:r>
            <w:r w:rsidR="6FF93F8A" w:rsidRPr="005803FB">
              <w:rPr>
                <w:rFonts w:ascii="Verdana" w:hAnsi="Verdana"/>
                <w:sz w:val="18"/>
                <w:szCs w:val="18"/>
              </w:rPr>
              <w:t xml:space="preserve">du </w:t>
            </w:r>
            <w:r w:rsidR="6FF93F8A" w:rsidRPr="005803FB">
              <w:rPr>
                <w:rFonts w:ascii="Verdana" w:hAnsi="Verdana"/>
                <w:sz w:val="18"/>
                <w:szCs w:val="18"/>
                <w:lang w:val="fr"/>
              </w:rPr>
              <w:t>chapitre 2 se rapportant à l’outil de pilotage stratégique que constituerait la vision d’ensemble du PAP 2025-2029 en articulation avec le PDS.</w:t>
            </w:r>
          </w:p>
          <w:p w14:paraId="13A7FDCC" w14:textId="0FFC0608" w:rsidR="004F29BC" w:rsidRPr="005803FB" w:rsidRDefault="4DBBA22A" w:rsidP="009D4A2A">
            <w:pPr>
              <w:pStyle w:val="Paragraphedeliste"/>
              <w:numPr>
                <w:ilvl w:val="0"/>
                <w:numId w:val="7"/>
              </w:numPr>
              <w:ind w:left="355" w:hanging="425"/>
              <w:jc w:val="both"/>
              <w:rPr>
                <w:rFonts w:ascii="Verdana" w:hAnsi="Verdana"/>
                <w:sz w:val="18"/>
                <w:szCs w:val="18"/>
              </w:rPr>
            </w:pPr>
            <w:r w:rsidRPr="005803FB">
              <w:rPr>
                <w:rFonts w:ascii="Verdana" w:hAnsi="Verdana"/>
                <w:sz w:val="18"/>
                <w:szCs w:val="18"/>
              </w:rPr>
              <w:t>L’élaboration</w:t>
            </w:r>
            <w:r w:rsidR="6FF93F8A" w:rsidRPr="005803FB">
              <w:rPr>
                <w:rFonts w:ascii="Verdana" w:hAnsi="Verdana"/>
                <w:sz w:val="18"/>
                <w:szCs w:val="18"/>
              </w:rPr>
              <w:t xml:space="preserve"> d’un 3ème chapitre </w:t>
            </w:r>
            <w:r w:rsidR="65262497" w:rsidRPr="005803FB">
              <w:rPr>
                <w:rFonts w:ascii="Verdana" w:hAnsi="Verdana"/>
                <w:sz w:val="18"/>
                <w:szCs w:val="18"/>
              </w:rPr>
              <w:t>relatif à la mise</w:t>
            </w:r>
            <w:r w:rsidR="6FF93F8A" w:rsidRPr="005803FB">
              <w:rPr>
                <w:rFonts w:ascii="Verdana" w:hAnsi="Verdana"/>
                <w:sz w:val="18"/>
                <w:szCs w:val="18"/>
              </w:rPr>
              <w:t xml:space="preserve"> en place des indicateurs de suivi du Plan d’actions prioritaires 2025-2029, </w:t>
            </w:r>
            <w:r w:rsidR="310F988A" w:rsidRPr="005803FB">
              <w:rPr>
                <w:rFonts w:ascii="Verdana" w:hAnsi="Verdana"/>
                <w:sz w:val="18"/>
                <w:szCs w:val="18"/>
              </w:rPr>
              <w:t xml:space="preserve">(le préalable étant la finalisation de cadre de suivi-évaluation du PDS en cours avec les dernières consultations menées au </w:t>
            </w:r>
            <w:r w:rsidR="692587EE" w:rsidRPr="005803FB">
              <w:rPr>
                <w:rFonts w:ascii="Verdana" w:hAnsi="Verdana"/>
                <w:sz w:val="18"/>
                <w:szCs w:val="18"/>
              </w:rPr>
              <w:t>niveau</w:t>
            </w:r>
            <w:r w:rsidR="310F988A" w:rsidRPr="005803FB">
              <w:rPr>
                <w:rFonts w:ascii="Verdana" w:hAnsi="Verdana"/>
                <w:sz w:val="18"/>
                <w:szCs w:val="18"/>
              </w:rPr>
              <w:t xml:space="preserve"> </w:t>
            </w:r>
            <w:r w:rsidR="0B63C609" w:rsidRPr="005803FB">
              <w:rPr>
                <w:rFonts w:ascii="Verdana" w:hAnsi="Verdana"/>
                <w:sz w:val="18"/>
                <w:szCs w:val="18"/>
              </w:rPr>
              <w:t>des DI et projets).</w:t>
            </w:r>
          </w:p>
        </w:tc>
      </w:tr>
      <w:tr w:rsidR="00654CB0" w:rsidRPr="00362BB1" w14:paraId="5572D756" w14:textId="77777777" w:rsidTr="25137305">
        <w:trPr>
          <w:trHeight w:val="1094"/>
        </w:trPr>
        <w:tc>
          <w:tcPr>
            <w:tcW w:w="1843" w:type="dxa"/>
          </w:tcPr>
          <w:p w14:paraId="20490554" w14:textId="21280B3E" w:rsidR="00654CB0" w:rsidRPr="00362BB1" w:rsidRDefault="00654CB0" w:rsidP="00644C2E">
            <w:pPr>
              <w:jc w:val="center"/>
              <w:rPr>
                <w:rFonts w:ascii="Verdana" w:hAnsi="Verdana"/>
                <w:sz w:val="18"/>
                <w:szCs w:val="18"/>
              </w:rPr>
            </w:pPr>
            <w:r w:rsidRPr="00362BB1">
              <w:rPr>
                <w:rFonts w:ascii="Verdana" w:hAnsi="Verdana"/>
                <w:sz w:val="18"/>
                <w:szCs w:val="18"/>
              </w:rPr>
              <w:t>Demande de statut d’observateur de la République de Corée</w:t>
            </w:r>
          </w:p>
        </w:tc>
        <w:tc>
          <w:tcPr>
            <w:tcW w:w="1365" w:type="dxa"/>
          </w:tcPr>
          <w:p w14:paraId="21818F94" w14:textId="77777777" w:rsidR="00654CB0" w:rsidRPr="00362BB1" w:rsidRDefault="00654CB0" w:rsidP="00154FC7">
            <w:pPr>
              <w:jc w:val="center"/>
              <w:rPr>
                <w:rFonts w:ascii="Verdana" w:hAnsi="Verdana"/>
                <w:sz w:val="18"/>
                <w:szCs w:val="18"/>
              </w:rPr>
            </w:pPr>
            <w:r w:rsidRPr="00362BB1">
              <w:rPr>
                <w:rFonts w:ascii="Verdana" w:hAnsi="Verdana"/>
                <w:sz w:val="18"/>
                <w:szCs w:val="18"/>
              </w:rPr>
              <w:t>39</w:t>
            </w:r>
            <w:r w:rsidRPr="00362BB1">
              <w:rPr>
                <w:rFonts w:ascii="Verdana" w:hAnsi="Verdana"/>
                <w:sz w:val="18"/>
                <w:szCs w:val="18"/>
                <w:vertAlign w:val="superscript"/>
              </w:rPr>
              <w:t>e</w:t>
            </w:r>
            <w:r w:rsidRPr="00362BB1">
              <w:rPr>
                <w:rFonts w:ascii="Verdana" w:hAnsi="Verdana"/>
                <w:sz w:val="18"/>
                <w:szCs w:val="18"/>
              </w:rPr>
              <w:t xml:space="preserve"> Conseil</w:t>
            </w:r>
          </w:p>
          <w:p w14:paraId="2C5E1C44" w14:textId="026DF43D" w:rsidR="00654CB0" w:rsidRPr="00362BB1" w:rsidRDefault="00654CB0" w:rsidP="00154FC7">
            <w:pPr>
              <w:jc w:val="center"/>
              <w:rPr>
                <w:rFonts w:ascii="Verdana" w:hAnsi="Verdana"/>
                <w:sz w:val="18"/>
                <w:szCs w:val="18"/>
              </w:rPr>
            </w:pPr>
            <w:r w:rsidRPr="00362BB1">
              <w:rPr>
                <w:rFonts w:ascii="Verdana" w:hAnsi="Verdana"/>
                <w:sz w:val="18"/>
                <w:szCs w:val="18"/>
              </w:rPr>
              <w:t xml:space="preserve">16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06EC30B9" w14:textId="77777777" w:rsidR="00654CB0" w:rsidRPr="00362BB1" w:rsidRDefault="00654CB0" w:rsidP="009D4A2A">
            <w:pPr>
              <w:pStyle w:val="Paragraphe"/>
              <w:numPr>
                <w:ilvl w:val="0"/>
                <w:numId w:val="9"/>
              </w:numPr>
              <w:rPr>
                <w:sz w:val="18"/>
                <w:szCs w:val="18"/>
              </w:rPr>
            </w:pPr>
            <w:r w:rsidRPr="00362BB1">
              <w:rPr>
                <w:sz w:val="18"/>
                <w:szCs w:val="18"/>
              </w:rPr>
              <w:t xml:space="preserve">Approuve la demande de la République de Corée de bénéficier du statut d’observateur auprès de la COI ; </w:t>
            </w:r>
          </w:p>
          <w:p w14:paraId="316F31BF" w14:textId="2E15DB56" w:rsidR="00654CB0" w:rsidRPr="00654CB0" w:rsidRDefault="00654CB0" w:rsidP="009D4A2A">
            <w:pPr>
              <w:pStyle w:val="Paragraphe"/>
              <w:numPr>
                <w:ilvl w:val="0"/>
                <w:numId w:val="9"/>
              </w:numPr>
              <w:ind w:left="315" w:hanging="315"/>
              <w:rPr>
                <w:sz w:val="18"/>
                <w:szCs w:val="18"/>
              </w:rPr>
            </w:pPr>
            <w:r w:rsidRPr="00362BB1">
              <w:rPr>
                <w:sz w:val="18"/>
                <w:szCs w:val="18"/>
              </w:rPr>
              <w:t xml:space="preserve">Remercie la République de Corée pour l’intérêt qu’elle porte au développement de la coopération avec la COI. </w:t>
            </w:r>
          </w:p>
        </w:tc>
        <w:tc>
          <w:tcPr>
            <w:tcW w:w="1455" w:type="dxa"/>
          </w:tcPr>
          <w:p w14:paraId="11D44C73" w14:textId="77777777" w:rsidR="00654CB0" w:rsidRPr="00362BB1" w:rsidRDefault="00654CB0" w:rsidP="005803FB">
            <w:pPr>
              <w:jc w:val="center"/>
              <w:rPr>
                <w:rFonts w:ascii="Verdana" w:hAnsi="Verdana"/>
                <w:sz w:val="18"/>
                <w:szCs w:val="18"/>
              </w:rPr>
            </w:pPr>
          </w:p>
        </w:tc>
        <w:tc>
          <w:tcPr>
            <w:tcW w:w="4513" w:type="dxa"/>
          </w:tcPr>
          <w:p w14:paraId="18858603" w14:textId="699C9BD7" w:rsidR="00654CB0" w:rsidRPr="00362BB1" w:rsidRDefault="331EA394" w:rsidP="009A2D9B">
            <w:pPr>
              <w:jc w:val="both"/>
              <w:rPr>
                <w:rFonts w:ascii="Verdana" w:hAnsi="Verdana"/>
                <w:sz w:val="18"/>
                <w:szCs w:val="18"/>
              </w:rPr>
            </w:pPr>
            <w:r w:rsidRPr="48BE4D71">
              <w:rPr>
                <w:rFonts w:ascii="Verdana" w:hAnsi="Verdana"/>
                <w:sz w:val="18"/>
                <w:szCs w:val="18"/>
              </w:rPr>
              <w:t>L’Ambassade de Corée devra communiquer au Secrétariat le</w:t>
            </w:r>
            <w:r w:rsidR="009A2D9B">
              <w:rPr>
                <w:rFonts w:ascii="Verdana" w:hAnsi="Verdana"/>
                <w:sz w:val="18"/>
                <w:szCs w:val="18"/>
              </w:rPr>
              <w:t>s</w:t>
            </w:r>
            <w:r w:rsidRPr="48BE4D71">
              <w:rPr>
                <w:rFonts w:ascii="Verdana" w:hAnsi="Verdana"/>
                <w:sz w:val="18"/>
                <w:szCs w:val="18"/>
              </w:rPr>
              <w:t xml:space="preserve"> nom et coordonnées du Point focal conformément aux dispositions du s</w:t>
            </w:r>
            <w:r w:rsidR="554A72F5" w:rsidRPr="48BE4D71">
              <w:rPr>
                <w:rFonts w:ascii="Verdana" w:hAnsi="Verdana"/>
                <w:sz w:val="18"/>
                <w:szCs w:val="18"/>
              </w:rPr>
              <w:t>tatut d’observateur. Une réunion devra se tenir également en vue de convenir de la marche à suivre afin que la Corée p</w:t>
            </w:r>
            <w:r w:rsidR="764FE4DF" w:rsidRPr="48BE4D71">
              <w:rPr>
                <w:rFonts w:ascii="Verdana" w:hAnsi="Verdana"/>
                <w:sz w:val="18"/>
                <w:szCs w:val="18"/>
              </w:rPr>
              <w:t>uisse contribuer d’une manière concrète aux activités de la COI.</w:t>
            </w:r>
          </w:p>
        </w:tc>
      </w:tr>
      <w:tr w:rsidR="004F29BC" w:rsidRPr="00362BB1" w14:paraId="16146033" w14:textId="77777777" w:rsidTr="25137305">
        <w:tc>
          <w:tcPr>
            <w:tcW w:w="1843" w:type="dxa"/>
          </w:tcPr>
          <w:p w14:paraId="3A5A4F8F" w14:textId="2DEFC658" w:rsidR="004F29BC" w:rsidRPr="00362BB1" w:rsidRDefault="004F29BC" w:rsidP="00644C2E">
            <w:pPr>
              <w:jc w:val="center"/>
              <w:rPr>
                <w:rFonts w:ascii="Verdana" w:hAnsi="Verdana"/>
                <w:sz w:val="18"/>
                <w:szCs w:val="18"/>
              </w:rPr>
            </w:pPr>
            <w:r w:rsidRPr="00362BB1">
              <w:rPr>
                <w:rFonts w:ascii="Verdana" w:hAnsi="Verdana"/>
                <w:sz w:val="18"/>
                <w:szCs w:val="18"/>
              </w:rPr>
              <w:t xml:space="preserve">Projet Expédition plastique océan Indien - </w:t>
            </w:r>
            <w:proofErr w:type="spellStart"/>
            <w:r w:rsidRPr="00362BB1">
              <w:rPr>
                <w:rFonts w:ascii="Verdana" w:hAnsi="Verdana"/>
                <w:sz w:val="18"/>
                <w:szCs w:val="18"/>
              </w:rPr>
              <w:t>ExPLOI</w:t>
            </w:r>
            <w:proofErr w:type="spellEnd"/>
          </w:p>
          <w:p w14:paraId="31BBEB90" w14:textId="77777777" w:rsidR="004F29BC" w:rsidRPr="00362BB1" w:rsidRDefault="004F29BC" w:rsidP="00644C2E">
            <w:pPr>
              <w:jc w:val="center"/>
              <w:rPr>
                <w:rFonts w:ascii="Verdana" w:hAnsi="Verdana"/>
                <w:sz w:val="18"/>
                <w:szCs w:val="18"/>
              </w:rPr>
            </w:pPr>
          </w:p>
        </w:tc>
        <w:tc>
          <w:tcPr>
            <w:tcW w:w="1365" w:type="dxa"/>
          </w:tcPr>
          <w:p w14:paraId="1148CDAE" w14:textId="2C02C85E" w:rsidR="004F29BC" w:rsidRPr="00362BB1" w:rsidRDefault="001243FB" w:rsidP="00154FC7">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541BDA03" w14:textId="77777777" w:rsidR="004F29BC" w:rsidRPr="00362BB1" w:rsidRDefault="004F29BC" w:rsidP="009D4A2A">
            <w:pPr>
              <w:pStyle w:val="Paragraphe"/>
              <w:numPr>
                <w:ilvl w:val="0"/>
                <w:numId w:val="8"/>
              </w:numPr>
              <w:ind w:left="315" w:hanging="315"/>
              <w:rPr>
                <w:sz w:val="18"/>
                <w:szCs w:val="18"/>
              </w:rPr>
            </w:pPr>
            <w:r w:rsidRPr="00362BB1">
              <w:rPr>
                <w:sz w:val="18"/>
                <w:szCs w:val="18"/>
              </w:rPr>
              <w:t xml:space="preserve">Finaliser rapidement les négociations et la signature des avenants au contrat d’assistance technique pour l’affrêtement du bateau et l’organisation des escales (qui démarrent courant avril 2025) ; </w:t>
            </w:r>
          </w:p>
          <w:p w14:paraId="4B8777A9" w14:textId="77777777" w:rsidR="004F29BC" w:rsidRPr="00362BB1" w:rsidRDefault="004F29BC" w:rsidP="009D4A2A">
            <w:pPr>
              <w:pStyle w:val="Paragraphe"/>
              <w:numPr>
                <w:ilvl w:val="0"/>
                <w:numId w:val="8"/>
              </w:numPr>
              <w:ind w:left="315" w:hanging="315"/>
              <w:rPr>
                <w:sz w:val="18"/>
                <w:szCs w:val="18"/>
              </w:rPr>
            </w:pPr>
            <w:r w:rsidRPr="00362BB1">
              <w:rPr>
                <w:sz w:val="18"/>
                <w:szCs w:val="18"/>
              </w:rPr>
              <w:t xml:space="preserve">Assurer l’organisation optimale de l’odyssée plastique océan Indien et veiller à ce que la COI soit clairement identifiée comme leader de cette opération et que son image et celle de ses partenaires soient bien mises en valeur ; </w:t>
            </w:r>
          </w:p>
          <w:p w14:paraId="27066EAE" w14:textId="77777777" w:rsidR="004F29BC" w:rsidRPr="00362BB1" w:rsidRDefault="004F29BC" w:rsidP="009D4A2A">
            <w:pPr>
              <w:pStyle w:val="Paragraphe"/>
              <w:numPr>
                <w:ilvl w:val="0"/>
                <w:numId w:val="8"/>
              </w:numPr>
              <w:ind w:left="315" w:hanging="315"/>
              <w:rPr>
                <w:sz w:val="18"/>
                <w:szCs w:val="18"/>
              </w:rPr>
            </w:pPr>
            <w:r w:rsidRPr="00362BB1">
              <w:rPr>
                <w:sz w:val="18"/>
                <w:szCs w:val="18"/>
              </w:rPr>
              <w:t xml:space="preserve">Valoriser le projet </w:t>
            </w:r>
            <w:proofErr w:type="spellStart"/>
            <w:r w:rsidRPr="00362BB1">
              <w:rPr>
                <w:sz w:val="18"/>
                <w:szCs w:val="18"/>
              </w:rPr>
              <w:t>ExPLOI</w:t>
            </w:r>
            <w:proofErr w:type="spellEnd"/>
            <w:r w:rsidRPr="00362BB1">
              <w:rPr>
                <w:sz w:val="18"/>
                <w:szCs w:val="18"/>
              </w:rPr>
              <w:t xml:space="preserve"> lors de la 3e Conférence des Nations unies sur l’océan de Nice en juin 25 ;</w:t>
            </w:r>
          </w:p>
          <w:p w14:paraId="3CD0CC59" w14:textId="77777777" w:rsidR="004F29BC" w:rsidRPr="00362BB1" w:rsidRDefault="004F29BC" w:rsidP="009D4A2A">
            <w:pPr>
              <w:pStyle w:val="Paragraphe"/>
              <w:numPr>
                <w:ilvl w:val="0"/>
                <w:numId w:val="8"/>
              </w:numPr>
              <w:ind w:left="315" w:hanging="315"/>
              <w:rPr>
                <w:sz w:val="18"/>
                <w:szCs w:val="18"/>
              </w:rPr>
            </w:pPr>
            <w:r w:rsidRPr="00362BB1">
              <w:rPr>
                <w:sz w:val="18"/>
                <w:szCs w:val="18"/>
              </w:rPr>
              <w:t>Formaliser avec l’AFD l’accord de principe déjà obtenu pour une extension de durée du projet jusqu’à mi-2029 en concertation avec les États membres ;</w:t>
            </w:r>
          </w:p>
          <w:p w14:paraId="310741F0" w14:textId="25D6A8ED" w:rsidR="004F29BC" w:rsidRPr="00362BB1" w:rsidRDefault="004F29BC" w:rsidP="009D4A2A">
            <w:pPr>
              <w:pStyle w:val="Paragraphe"/>
              <w:numPr>
                <w:ilvl w:val="0"/>
                <w:numId w:val="8"/>
              </w:numPr>
              <w:ind w:left="315" w:hanging="315"/>
              <w:rPr>
                <w:sz w:val="18"/>
                <w:szCs w:val="18"/>
              </w:rPr>
            </w:pPr>
            <w:r w:rsidRPr="00362BB1">
              <w:rPr>
                <w:sz w:val="18"/>
                <w:szCs w:val="18"/>
              </w:rPr>
              <w:t xml:space="preserve">Formaliser un avenant de temps à la convention de partenariat avec l’IRD pour la mise en œuvre de la composante scientifique en concertation avec les États membres. </w:t>
            </w:r>
          </w:p>
        </w:tc>
        <w:tc>
          <w:tcPr>
            <w:tcW w:w="1455" w:type="dxa"/>
          </w:tcPr>
          <w:p w14:paraId="7E7950BA" w14:textId="77777777" w:rsidR="004F29BC" w:rsidRPr="00362BB1" w:rsidRDefault="004F29BC" w:rsidP="005803FB">
            <w:pPr>
              <w:jc w:val="center"/>
              <w:rPr>
                <w:rFonts w:ascii="Verdana" w:hAnsi="Verdana"/>
                <w:sz w:val="18"/>
                <w:szCs w:val="18"/>
              </w:rPr>
            </w:pPr>
          </w:p>
        </w:tc>
        <w:tc>
          <w:tcPr>
            <w:tcW w:w="4513" w:type="dxa"/>
          </w:tcPr>
          <w:p w14:paraId="07FC752E" w14:textId="18AEADFA" w:rsidR="004F29BC" w:rsidRPr="00362BB1" w:rsidRDefault="7A606734" w:rsidP="00616BD0">
            <w:pPr>
              <w:pStyle w:val="Paragraphedeliste"/>
              <w:numPr>
                <w:ilvl w:val="0"/>
                <w:numId w:val="3"/>
              </w:numPr>
              <w:ind w:left="352" w:hanging="352"/>
              <w:rPr>
                <w:rFonts w:ascii="Verdana" w:hAnsi="Verdana"/>
                <w:sz w:val="18"/>
                <w:szCs w:val="18"/>
              </w:rPr>
            </w:pPr>
            <w:r w:rsidRPr="724F4C9F">
              <w:rPr>
                <w:rFonts w:ascii="Verdana" w:hAnsi="Verdana"/>
                <w:b/>
                <w:bCs/>
                <w:sz w:val="18"/>
                <w:szCs w:val="18"/>
              </w:rPr>
              <w:t>Activité réalisée</w:t>
            </w:r>
            <w:r w:rsidRPr="724F4C9F">
              <w:rPr>
                <w:rFonts w:ascii="Verdana" w:hAnsi="Verdana"/>
                <w:sz w:val="18"/>
                <w:szCs w:val="18"/>
              </w:rPr>
              <w:t>, la campagne a débuté à La Réunion, Maurice, Madagascar, Seych</w:t>
            </w:r>
            <w:r w:rsidR="6DC70E31" w:rsidRPr="724F4C9F">
              <w:rPr>
                <w:rFonts w:ascii="Verdana" w:hAnsi="Verdana"/>
                <w:sz w:val="18"/>
                <w:szCs w:val="18"/>
              </w:rPr>
              <w:t xml:space="preserve">elles </w:t>
            </w:r>
            <w:r w:rsidR="00616BD0">
              <w:rPr>
                <w:rFonts w:ascii="Verdana" w:hAnsi="Verdana"/>
                <w:sz w:val="18"/>
                <w:szCs w:val="18"/>
              </w:rPr>
              <w:t>e</w:t>
            </w:r>
            <w:r w:rsidR="6DC70E31" w:rsidRPr="724F4C9F">
              <w:rPr>
                <w:rFonts w:ascii="Verdana" w:hAnsi="Verdana"/>
                <w:sz w:val="18"/>
                <w:szCs w:val="18"/>
              </w:rPr>
              <w:t xml:space="preserve">t </w:t>
            </w:r>
            <w:r w:rsidRPr="724F4C9F">
              <w:rPr>
                <w:rFonts w:ascii="Verdana" w:hAnsi="Verdana"/>
                <w:sz w:val="18"/>
                <w:szCs w:val="18"/>
              </w:rPr>
              <w:t>a pris fin en juillet 2025 avec l’escale des Comores</w:t>
            </w:r>
            <w:r w:rsidR="2357CE31" w:rsidRPr="724F4C9F">
              <w:rPr>
                <w:rFonts w:ascii="Verdana" w:hAnsi="Verdana"/>
                <w:sz w:val="18"/>
                <w:szCs w:val="18"/>
              </w:rPr>
              <w:t>.</w:t>
            </w:r>
          </w:p>
          <w:p w14:paraId="193AE3C5" w14:textId="28C570E3" w:rsidR="004F29BC" w:rsidRPr="00362BB1" w:rsidRDefault="2357CE31" w:rsidP="00616BD0">
            <w:pPr>
              <w:pStyle w:val="Paragraphedeliste"/>
              <w:numPr>
                <w:ilvl w:val="0"/>
                <w:numId w:val="3"/>
              </w:numPr>
              <w:ind w:left="352" w:hanging="352"/>
              <w:rPr>
                <w:rFonts w:ascii="Verdana" w:hAnsi="Verdana"/>
                <w:sz w:val="18"/>
                <w:szCs w:val="18"/>
              </w:rPr>
            </w:pPr>
            <w:r w:rsidRPr="724F4C9F">
              <w:rPr>
                <w:rFonts w:ascii="Verdana" w:hAnsi="Verdana"/>
                <w:b/>
                <w:bCs/>
                <w:sz w:val="18"/>
                <w:szCs w:val="18"/>
              </w:rPr>
              <w:t>Activité réalisée</w:t>
            </w:r>
            <w:r w:rsidRPr="724F4C9F">
              <w:rPr>
                <w:rFonts w:ascii="Verdana" w:hAnsi="Verdana"/>
                <w:sz w:val="18"/>
                <w:szCs w:val="18"/>
              </w:rPr>
              <w:t>, l’image de la COI et ses partenaires a été mise en valeur via les réseaux sociaux, les conférences</w:t>
            </w:r>
            <w:r w:rsidR="020CBC03" w:rsidRPr="724F4C9F">
              <w:rPr>
                <w:rFonts w:ascii="Verdana" w:hAnsi="Verdana"/>
                <w:sz w:val="18"/>
                <w:szCs w:val="18"/>
              </w:rPr>
              <w:t xml:space="preserve"> et tables rondes organisés lors des escales.</w:t>
            </w:r>
          </w:p>
          <w:p w14:paraId="6A0C623B" w14:textId="0086A7F0" w:rsidR="004F29BC" w:rsidRPr="00362BB1" w:rsidRDefault="2023C722" w:rsidP="00616BD0">
            <w:pPr>
              <w:pStyle w:val="Paragraphedeliste"/>
              <w:numPr>
                <w:ilvl w:val="0"/>
                <w:numId w:val="3"/>
              </w:numPr>
              <w:ind w:left="352" w:hanging="352"/>
              <w:rPr>
                <w:rFonts w:ascii="Verdana" w:hAnsi="Verdana"/>
                <w:sz w:val="18"/>
                <w:szCs w:val="18"/>
              </w:rPr>
            </w:pPr>
            <w:r w:rsidRPr="724F4C9F">
              <w:rPr>
                <w:rFonts w:ascii="Verdana" w:hAnsi="Verdana"/>
                <w:b/>
                <w:bCs/>
                <w:sz w:val="18"/>
                <w:szCs w:val="18"/>
              </w:rPr>
              <w:t>Activité réalisée</w:t>
            </w:r>
            <w:r w:rsidRPr="724F4C9F">
              <w:rPr>
                <w:rFonts w:ascii="Verdana" w:hAnsi="Verdana"/>
                <w:sz w:val="18"/>
                <w:szCs w:val="18"/>
              </w:rPr>
              <w:t xml:space="preserve"> en collaboration avec les autres projets COI et le service communication de la COI.</w:t>
            </w:r>
          </w:p>
          <w:p w14:paraId="117AC60F" w14:textId="02CAC820" w:rsidR="004F29BC" w:rsidRPr="00362BB1" w:rsidRDefault="2023C722" w:rsidP="00616BD0">
            <w:pPr>
              <w:pStyle w:val="Paragraphedeliste"/>
              <w:numPr>
                <w:ilvl w:val="0"/>
                <w:numId w:val="3"/>
              </w:numPr>
              <w:ind w:left="352" w:hanging="352"/>
              <w:rPr>
                <w:rFonts w:ascii="Verdana" w:hAnsi="Verdana"/>
                <w:sz w:val="18"/>
                <w:szCs w:val="18"/>
              </w:rPr>
            </w:pPr>
            <w:r w:rsidRPr="724F4C9F">
              <w:rPr>
                <w:rFonts w:ascii="Verdana" w:hAnsi="Verdana"/>
                <w:b/>
                <w:bCs/>
                <w:sz w:val="18"/>
                <w:szCs w:val="18"/>
              </w:rPr>
              <w:t>Les discussions sont en cours</w:t>
            </w:r>
            <w:r w:rsidRPr="724F4C9F">
              <w:rPr>
                <w:rFonts w:ascii="Verdana" w:hAnsi="Verdana"/>
                <w:sz w:val="18"/>
                <w:szCs w:val="18"/>
              </w:rPr>
              <w:t xml:space="preserve"> en attendant le r</w:t>
            </w:r>
            <w:r w:rsidR="4B17E31A" w:rsidRPr="724F4C9F">
              <w:rPr>
                <w:rFonts w:ascii="Verdana" w:hAnsi="Verdana"/>
                <w:sz w:val="18"/>
                <w:szCs w:val="18"/>
              </w:rPr>
              <w:t>a</w:t>
            </w:r>
            <w:r w:rsidRPr="724F4C9F">
              <w:rPr>
                <w:rFonts w:ascii="Verdana" w:hAnsi="Verdana"/>
                <w:sz w:val="18"/>
                <w:szCs w:val="18"/>
              </w:rPr>
              <w:t xml:space="preserve">pport de l’audit interne du projet </w:t>
            </w:r>
            <w:proofErr w:type="spellStart"/>
            <w:r w:rsidRPr="724F4C9F">
              <w:rPr>
                <w:rFonts w:ascii="Verdana" w:hAnsi="Verdana"/>
                <w:sz w:val="18"/>
                <w:szCs w:val="18"/>
              </w:rPr>
              <w:t>ExPLOI</w:t>
            </w:r>
            <w:proofErr w:type="spellEnd"/>
            <w:r w:rsidRPr="724F4C9F">
              <w:rPr>
                <w:rFonts w:ascii="Verdana" w:hAnsi="Verdana"/>
                <w:sz w:val="18"/>
                <w:szCs w:val="18"/>
              </w:rPr>
              <w:t xml:space="preserve"> en cours.</w:t>
            </w:r>
          </w:p>
          <w:p w14:paraId="0F1AE6C9" w14:textId="1B64384B" w:rsidR="004F29BC" w:rsidRPr="00362BB1" w:rsidRDefault="15C45EA7" w:rsidP="00616BD0">
            <w:pPr>
              <w:pStyle w:val="Paragraphedeliste"/>
              <w:numPr>
                <w:ilvl w:val="0"/>
                <w:numId w:val="3"/>
              </w:numPr>
              <w:ind w:left="352" w:hanging="352"/>
              <w:rPr>
                <w:rFonts w:ascii="Verdana" w:hAnsi="Verdana"/>
                <w:sz w:val="18"/>
                <w:szCs w:val="18"/>
              </w:rPr>
            </w:pPr>
            <w:r w:rsidRPr="724F4C9F">
              <w:rPr>
                <w:rFonts w:ascii="Verdana" w:hAnsi="Verdana"/>
                <w:b/>
                <w:bCs/>
                <w:sz w:val="18"/>
                <w:szCs w:val="18"/>
              </w:rPr>
              <w:t>Les discussions sont en cours</w:t>
            </w:r>
            <w:r w:rsidRPr="724F4C9F">
              <w:rPr>
                <w:rFonts w:ascii="Verdana" w:hAnsi="Verdana"/>
                <w:sz w:val="18"/>
                <w:szCs w:val="18"/>
              </w:rPr>
              <w:t>, en attendant le rapport financier des activités réalisées par IRD.</w:t>
            </w:r>
          </w:p>
        </w:tc>
      </w:tr>
      <w:tr w:rsidR="004F29BC" w:rsidRPr="00362BB1" w14:paraId="4BDFA42E" w14:textId="77777777" w:rsidTr="25137305">
        <w:tc>
          <w:tcPr>
            <w:tcW w:w="1843" w:type="dxa"/>
          </w:tcPr>
          <w:p w14:paraId="4C4094F0" w14:textId="77777777" w:rsidR="001243FB" w:rsidRPr="00362BB1" w:rsidRDefault="001243FB" w:rsidP="00644C2E">
            <w:pPr>
              <w:jc w:val="center"/>
              <w:rPr>
                <w:rFonts w:ascii="Verdana" w:hAnsi="Verdana"/>
                <w:sz w:val="18"/>
                <w:szCs w:val="18"/>
              </w:rPr>
            </w:pPr>
            <w:r w:rsidRPr="00362BB1">
              <w:rPr>
                <w:rFonts w:ascii="Verdana" w:hAnsi="Verdana"/>
                <w:sz w:val="18"/>
                <w:szCs w:val="18"/>
              </w:rPr>
              <w:t>Projet de résilience des populations et des écosystèmes côtiers - RECOS</w:t>
            </w:r>
          </w:p>
          <w:p w14:paraId="26BB3A54" w14:textId="77777777" w:rsidR="004F29BC" w:rsidRPr="00362BB1" w:rsidRDefault="004F29BC" w:rsidP="00644C2E">
            <w:pPr>
              <w:jc w:val="center"/>
              <w:rPr>
                <w:rFonts w:ascii="Verdana" w:hAnsi="Verdana"/>
                <w:sz w:val="18"/>
                <w:szCs w:val="18"/>
              </w:rPr>
            </w:pPr>
          </w:p>
        </w:tc>
        <w:tc>
          <w:tcPr>
            <w:tcW w:w="1365" w:type="dxa"/>
          </w:tcPr>
          <w:p w14:paraId="77B96C06" w14:textId="52C4463E" w:rsidR="004F29BC" w:rsidRPr="00362BB1" w:rsidRDefault="003D241E" w:rsidP="00154FC7">
            <w:pPr>
              <w:jc w:val="center"/>
              <w:rPr>
                <w:rFonts w:ascii="Verdana" w:hAnsi="Verdana"/>
                <w:sz w:val="18"/>
                <w:szCs w:val="18"/>
              </w:rPr>
            </w:pPr>
            <w:r w:rsidRPr="00362BB1">
              <w:rPr>
                <w:rFonts w:ascii="Verdana" w:hAnsi="Verdana"/>
                <w:sz w:val="18"/>
                <w:szCs w:val="18"/>
              </w:rPr>
              <w:lastRenderedPageBreak/>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53B14507" w14:textId="77777777" w:rsidR="001243FB" w:rsidRPr="00362BB1" w:rsidRDefault="001243FB" w:rsidP="009D4A2A">
            <w:pPr>
              <w:numPr>
                <w:ilvl w:val="0"/>
                <w:numId w:val="10"/>
              </w:numPr>
              <w:ind w:left="315" w:hanging="315"/>
              <w:jc w:val="both"/>
              <w:rPr>
                <w:rFonts w:ascii="Verdana" w:hAnsi="Verdana"/>
                <w:sz w:val="18"/>
                <w:szCs w:val="18"/>
              </w:rPr>
            </w:pPr>
            <w:r w:rsidRPr="00362BB1">
              <w:rPr>
                <w:rFonts w:ascii="Verdana" w:hAnsi="Verdana"/>
                <w:sz w:val="18"/>
                <w:szCs w:val="18"/>
              </w:rPr>
              <w:t xml:space="preserve">Invite le Secrétariat général de la COI, en collaboration avec la Convention de Nairobi, à poursuivre et intensifier son plaidoyer en faveur de la Gestion intégrée des zones côtières (GIZC) auprès des États membres pour accélérer la ratification du protocole GIZC approuvé en septembre 2023 à </w:t>
            </w:r>
            <w:r w:rsidRPr="00362BB1">
              <w:rPr>
                <w:rFonts w:ascii="Verdana" w:hAnsi="Verdana"/>
                <w:sz w:val="18"/>
                <w:szCs w:val="18"/>
              </w:rPr>
              <w:lastRenderedPageBreak/>
              <w:t xml:space="preserve">Madagascar par les Parties à la Convention, dont les États membres de la COI ; </w:t>
            </w:r>
          </w:p>
          <w:p w14:paraId="52B1FEE0" w14:textId="77777777" w:rsidR="001243FB" w:rsidRPr="00362BB1" w:rsidRDefault="001243FB" w:rsidP="009D4A2A">
            <w:pPr>
              <w:numPr>
                <w:ilvl w:val="0"/>
                <w:numId w:val="10"/>
              </w:numPr>
              <w:tabs>
                <w:tab w:val="left" w:pos="426"/>
              </w:tabs>
              <w:ind w:left="315" w:hanging="315"/>
              <w:jc w:val="both"/>
              <w:rPr>
                <w:rFonts w:ascii="Verdana" w:hAnsi="Verdana"/>
                <w:sz w:val="18"/>
                <w:szCs w:val="18"/>
              </w:rPr>
            </w:pPr>
            <w:r w:rsidRPr="00362BB1">
              <w:rPr>
                <w:rFonts w:ascii="Verdana" w:hAnsi="Verdana"/>
                <w:sz w:val="18"/>
                <w:szCs w:val="18"/>
              </w:rPr>
              <w:t xml:space="preserve">Prend acte des progrès du projet RECOS à fin 2024 et encourage à mettre en œuvre les solutions arrêtées par le Comité de pilotage du projet qui permettront l’extension des activités en 2027, sous réserve de la finalisation des négociations avec les partenaires techniques et financiers ; </w:t>
            </w:r>
          </w:p>
          <w:p w14:paraId="118BAF58" w14:textId="77777777" w:rsidR="001243FB" w:rsidRPr="00362BB1" w:rsidRDefault="001243FB" w:rsidP="009D4A2A">
            <w:pPr>
              <w:numPr>
                <w:ilvl w:val="0"/>
                <w:numId w:val="10"/>
              </w:numPr>
              <w:ind w:left="315" w:hanging="315"/>
              <w:jc w:val="both"/>
              <w:rPr>
                <w:rFonts w:ascii="Verdana" w:hAnsi="Verdana"/>
                <w:sz w:val="18"/>
                <w:szCs w:val="18"/>
              </w:rPr>
            </w:pPr>
            <w:r w:rsidRPr="00362BB1">
              <w:rPr>
                <w:rFonts w:ascii="Verdana" w:hAnsi="Verdana"/>
                <w:sz w:val="18"/>
                <w:szCs w:val="18"/>
              </w:rPr>
              <w:t xml:space="preserve">Encourage la poursuite des efforts de ce projet : </w:t>
            </w:r>
          </w:p>
          <w:p w14:paraId="36D27FE3" w14:textId="77777777" w:rsidR="001243FB" w:rsidRPr="00362BB1" w:rsidRDefault="001243FB" w:rsidP="009D4A2A">
            <w:pPr>
              <w:numPr>
                <w:ilvl w:val="0"/>
                <w:numId w:val="11"/>
              </w:numPr>
              <w:ind w:left="652" w:hanging="283"/>
              <w:jc w:val="both"/>
              <w:rPr>
                <w:rFonts w:ascii="Verdana" w:hAnsi="Verdana"/>
                <w:sz w:val="18"/>
                <w:szCs w:val="18"/>
              </w:rPr>
            </w:pPr>
            <w:proofErr w:type="gramStart"/>
            <w:r w:rsidRPr="00362BB1">
              <w:rPr>
                <w:rFonts w:ascii="Verdana" w:hAnsi="Verdana"/>
                <w:sz w:val="18"/>
                <w:szCs w:val="18"/>
              </w:rPr>
              <w:t>de</w:t>
            </w:r>
            <w:proofErr w:type="gramEnd"/>
            <w:r w:rsidRPr="00362BB1">
              <w:rPr>
                <w:rFonts w:ascii="Verdana" w:hAnsi="Verdana"/>
                <w:sz w:val="18"/>
                <w:szCs w:val="18"/>
              </w:rPr>
              <w:t xml:space="preserve"> renforcement des capacités locales, </w:t>
            </w:r>
          </w:p>
          <w:p w14:paraId="4480F4CA" w14:textId="77777777" w:rsidR="001243FB" w:rsidRPr="00362BB1" w:rsidRDefault="001243FB" w:rsidP="009D4A2A">
            <w:pPr>
              <w:numPr>
                <w:ilvl w:val="0"/>
                <w:numId w:val="11"/>
              </w:numPr>
              <w:ind w:left="652" w:hanging="283"/>
              <w:rPr>
                <w:rFonts w:ascii="Verdana" w:hAnsi="Verdana"/>
                <w:sz w:val="18"/>
                <w:szCs w:val="18"/>
              </w:rPr>
            </w:pPr>
            <w:proofErr w:type="gramStart"/>
            <w:r w:rsidRPr="00362BB1">
              <w:rPr>
                <w:rFonts w:ascii="Verdana" w:hAnsi="Verdana"/>
                <w:sz w:val="18"/>
                <w:szCs w:val="18"/>
              </w:rPr>
              <w:t>d’intégration</w:t>
            </w:r>
            <w:proofErr w:type="gramEnd"/>
            <w:r w:rsidRPr="00362BB1">
              <w:rPr>
                <w:rFonts w:ascii="Verdana" w:hAnsi="Verdana"/>
                <w:sz w:val="18"/>
                <w:szCs w:val="18"/>
              </w:rPr>
              <w:t xml:space="preserve"> systématique des dimensions genre et inclusion, </w:t>
            </w:r>
          </w:p>
          <w:p w14:paraId="1F721546" w14:textId="3673A76E" w:rsidR="004F29BC" w:rsidRPr="00362BB1" w:rsidRDefault="001243FB" w:rsidP="009D4A2A">
            <w:pPr>
              <w:numPr>
                <w:ilvl w:val="0"/>
                <w:numId w:val="11"/>
              </w:numPr>
              <w:ind w:left="652" w:hanging="283"/>
              <w:rPr>
                <w:rFonts w:ascii="Verdana" w:hAnsi="Verdana"/>
                <w:sz w:val="18"/>
                <w:szCs w:val="18"/>
              </w:rPr>
            </w:pPr>
            <w:proofErr w:type="gramStart"/>
            <w:r w:rsidRPr="00362BB1">
              <w:rPr>
                <w:rFonts w:ascii="Verdana" w:hAnsi="Verdana"/>
                <w:sz w:val="18"/>
                <w:szCs w:val="18"/>
              </w:rPr>
              <w:t>de</w:t>
            </w:r>
            <w:proofErr w:type="gramEnd"/>
            <w:r w:rsidRPr="00362BB1">
              <w:rPr>
                <w:rFonts w:ascii="Verdana" w:hAnsi="Verdana"/>
                <w:sz w:val="18"/>
                <w:szCs w:val="18"/>
              </w:rPr>
              <w:t xml:space="preserve"> développement de la recherche appliquée et de l'innovation.</w:t>
            </w:r>
          </w:p>
        </w:tc>
        <w:tc>
          <w:tcPr>
            <w:tcW w:w="1455" w:type="dxa"/>
          </w:tcPr>
          <w:p w14:paraId="76A6D1E7" w14:textId="77777777" w:rsidR="004F29BC" w:rsidRPr="00362BB1" w:rsidRDefault="004F29BC" w:rsidP="005803FB">
            <w:pPr>
              <w:jc w:val="center"/>
              <w:rPr>
                <w:rFonts w:ascii="Verdana" w:hAnsi="Verdana"/>
                <w:sz w:val="18"/>
                <w:szCs w:val="18"/>
              </w:rPr>
            </w:pPr>
          </w:p>
        </w:tc>
        <w:tc>
          <w:tcPr>
            <w:tcW w:w="4513" w:type="dxa"/>
          </w:tcPr>
          <w:p w14:paraId="6AA7B388" w14:textId="32C01289" w:rsidR="004F29BC" w:rsidRPr="00362BB1" w:rsidRDefault="6A00E183" w:rsidP="724F4C9F">
            <w:pPr>
              <w:pStyle w:val="Paragraphedeliste"/>
              <w:numPr>
                <w:ilvl w:val="0"/>
                <w:numId w:val="2"/>
              </w:numPr>
              <w:rPr>
                <w:rFonts w:ascii="Verdana" w:hAnsi="Verdana"/>
                <w:sz w:val="18"/>
                <w:szCs w:val="18"/>
              </w:rPr>
            </w:pPr>
            <w:r w:rsidRPr="724F4C9F">
              <w:rPr>
                <w:rFonts w:ascii="Verdana" w:hAnsi="Verdana"/>
                <w:sz w:val="18"/>
                <w:szCs w:val="18"/>
              </w:rPr>
              <w:t>Activité en cours</w:t>
            </w:r>
          </w:p>
          <w:p w14:paraId="10D8DF93" w14:textId="33E0FF4A" w:rsidR="004F29BC" w:rsidRPr="00362BB1" w:rsidRDefault="004F29BC" w:rsidP="724F4C9F">
            <w:pPr>
              <w:rPr>
                <w:rFonts w:ascii="Verdana" w:hAnsi="Verdana"/>
              </w:rPr>
            </w:pPr>
          </w:p>
          <w:p w14:paraId="5FAE0A31" w14:textId="1058C619" w:rsidR="004F29BC" w:rsidRPr="00362BB1" w:rsidRDefault="004F29BC" w:rsidP="724F4C9F">
            <w:pPr>
              <w:rPr>
                <w:rFonts w:ascii="Verdana" w:hAnsi="Verdana"/>
              </w:rPr>
            </w:pPr>
          </w:p>
          <w:p w14:paraId="70F145FD" w14:textId="032A1514" w:rsidR="004F29BC" w:rsidRPr="00362BB1" w:rsidRDefault="004F29BC" w:rsidP="724F4C9F">
            <w:pPr>
              <w:rPr>
                <w:rFonts w:ascii="Verdana" w:hAnsi="Verdana"/>
              </w:rPr>
            </w:pPr>
          </w:p>
          <w:p w14:paraId="2DD2AA2A" w14:textId="6B1F912D" w:rsidR="004F29BC" w:rsidRPr="00362BB1" w:rsidRDefault="004F29BC" w:rsidP="724F4C9F">
            <w:pPr>
              <w:rPr>
                <w:rFonts w:ascii="Verdana" w:hAnsi="Verdana"/>
              </w:rPr>
            </w:pPr>
          </w:p>
          <w:p w14:paraId="37115C2D" w14:textId="068B6F82" w:rsidR="004F29BC" w:rsidRPr="00362BB1" w:rsidRDefault="004F29BC" w:rsidP="724F4C9F">
            <w:pPr>
              <w:rPr>
                <w:rFonts w:ascii="Verdana" w:hAnsi="Verdana"/>
              </w:rPr>
            </w:pPr>
          </w:p>
          <w:p w14:paraId="504897D8" w14:textId="67E26AD7" w:rsidR="004F29BC" w:rsidRPr="00362BB1" w:rsidRDefault="6A00E183" w:rsidP="724F4C9F">
            <w:pPr>
              <w:pStyle w:val="Paragraphedeliste"/>
              <w:numPr>
                <w:ilvl w:val="0"/>
                <w:numId w:val="2"/>
              </w:numPr>
              <w:rPr>
                <w:rFonts w:ascii="Verdana" w:hAnsi="Verdana"/>
                <w:sz w:val="18"/>
                <w:szCs w:val="18"/>
              </w:rPr>
            </w:pPr>
            <w:r w:rsidRPr="724F4C9F">
              <w:rPr>
                <w:rFonts w:ascii="Verdana" w:hAnsi="Verdana"/>
                <w:sz w:val="18"/>
                <w:szCs w:val="18"/>
              </w:rPr>
              <w:t>Les négociations avec les partenaires sont en cours</w:t>
            </w:r>
          </w:p>
          <w:p w14:paraId="510743BC" w14:textId="500BB9CC" w:rsidR="004F29BC" w:rsidRPr="00362BB1" w:rsidRDefault="004F29BC" w:rsidP="724F4C9F">
            <w:pPr>
              <w:rPr>
                <w:rFonts w:ascii="Verdana" w:hAnsi="Verdana"/>
              </w:rPr>
            </w:pPr>
          </w:p>
          <w:p w14:paraId="641EC4EF" w14:textId="19D328F8" w:rsidR="004F29BC" w:rsidRPr="00362BB1" w:rsidRDefault="004F29BC" w:rsidP="724F4C9F">
            <w:pPr>
              <w:rPr>
                <w:rFonts w:ascii="Verdana" w:hAnsi="Verdana"/>
              </w:rPr>
            </w:pPr>
          </w:p>
          <w:p w14:paraId="78CF82F3" w14:textId="6E265022" w:rsidR="004F29BC" w:rsidRPr="00362BB1" w:rsidRDefault="6FAFB5EE" w:rsidP="724F4C9F">
            <w:pPr>
              <w:pStyle w:val="Paragraphedeliste"/>
              <w:numPr>
                <w:ilvl w:val="0"/>
                <w:numId w:val="2"/>
              </w:numPr>
              <w:rPr>
                <w:rFonts w:ascii="Verdana" w:hAnsi="Verdana"/>
                <w:sz w:val="18"/>
                <w:szCs w:val="18"/>
              </w:rPr>
            </w:pPr>
            <w:r w:rsidRPr="724F4C9F">
              <w:rPr>
                <w:rFonts w:ascii="Verdana" w:hAnsi="Verdana"/>
                <w:sz w:val="18"/>
                <w:szCs w:val="18"/>
              </w:rPr>
              <w:t>La poursuite des efforts de renforcement des</w:t>
            </w:r>
            <w:r w:rsidR="43F31313" w:rsidRPr="724F4C9F">
              <w:rPr>
                <w:rFonts w:ascii="Verdana" w:hAnsi="Verdana"/>
                <w:sz w:val="18"/>
                <w:szCs w:val="18"/>
              </w:rPr>
              <w:t xml:space="preserve"> capacités à travers le programme des échanges entre </w:t>
            </w:r>
            <w:r w:rsidR="7CB645CC" w:rsidRPr="724F4C9F">
              <w:rPr>
                <w:rFonts w:ascii="Verdana" w:hAnsi="Verdana"/>
                <w:sz w:val="18"/>
                <w:szCs w:val="18"/>
              </w:rPr>
              <w:t>divers acteurs</w:t>
            </w:r>
            <w:r w:rsidR="43F31313" w:rsidRPr="724F4C9F">
              <w:rPr>
                <w:rFonts w:ascii="Verdana" w:hAnsi="Verdana"/>
                <w:sz w:val="18"/>
                <w:szCs w:val="18"/>
              </w:rPr>
              <w:t xml:space="preserve">, </w:t>
            </w:r>
            <w:r w:rsidR="7C9A93A2" w:rsidRPr="724F4C9F">
              <w:rPr>
                <w:rFonts w:ascii="Verdana" w:hAnsi="Verdana"/>
                <w:sz w:val="18"/>
                <w:szCs w:val="18"/>
              </w:rPr>
              <w:t>l’intégration des dimensions genre et le développement de la recherche</w:t>
            </w:r>
            <w:r w:rsidR="43F31313" w:rsidRPr="724F4C9F">
              <w:rPr>
                <w:rFonts w:ascii="Verdana" w:hAnsi="Verdana"/>
                <w:sz w:val="18"/>
                <w:szCs w:val="18"/>
              </w:rPr>
              <w:t xml:space="preserve"> </w:t>
            </w:r>
            <w:r w:rsidRPr="724F4C9F">
              <w:rPr>
                <w:rFonts w:ascii="Verdana" w:hAnsi="Verdana"/>
                <w:sz w:val="18"/>
                <w:szCs w:val="18"/>
              </w:rPr>
              <w:t>continue</w:t>
            </w:r>
            <w:r w:rsidR="5E5F5E76" w:rsidRPr="724F4C9F">
              <w:rPr>
                <w:rFonts w:ascii="Verdana" w:hAnsi="Verdana"/>
                <w:sz w:val="18"/>
                <w:szCs w:val="18"/>
              </w:rPr>
              <w:t>.</w:t>
            </w:r>
          </w:p>
        </w:tc>
      </w:tr>
      <w:tr w:rsidR="00644C2E" w:rsidRPr="00362BB1" w14:paraId="1E484A8C" w14:textId="77777777" w:rsidTr="25137305">
        <w:tc>
          <w:tcPr>
            <w:tcW w:w="1843" w:type="dxa"/>
          </w:tcPr>
          <w:p w14:paraId="59CC6AD4" w14:textId="6298ED8A" w:rsidR="00644C2E" w:rsidRPr="00362BB1" w:rsidRDefault="00644C2E" w:rsidP="00644C2E">
            <w:pPr>
              <w:jc w:val="center"/>
              <w:rPr>
                <w:rFonts w:ascii="Verdana" w:hAnsi="Verdana"/>
                <w:sz w:val="18"/>
                <w:szCs w:val="18"/>
              </w:rPr>
            </w:pPr>
            <w:r w:rsidRPr="00362BB1">
              <w:rPr>
                <w:rFonts w:ascii="Verdana" w:hAnsi="Verdana"/>
                <w:sz w:val="18"/>
                <w:szCs w:val="18"/>
              </w:rPr>
              <w:lastRenderedPageBreak/>
              <w:t xml:space="preserve">Projet </w:t>
            </w:r>
            <w:proofErr w:type="spellStart"/>
            <w:r w:rsidRPr="00362BB1">
              <w:rPr>
                <w:rFonts w:ascii="Verdana" w:hAnsi="Verdana"/>
                <w:sz w:val="18"/>
                <w:szCs w:val="18"/>
              </w:rPr>
              <w:t>TWENex</w:t>
            </w:r>
            <w:proofErr w:type="spellEnd"/>
          </w:p>
          <w:p w14:paraId="5DAA54F2" w14:textId="77777777" w:rsidR="00644C2E" w:rsidRPr="00362BB1" w:rsidRDefault="00644C2E" w:rsidP="00644C2E">
            <w:pPr>
              <w:jc w:val="center"/>
              <w:rPr>
                <w:rFonts w:ascii="Verdana" w:hAnsi="Verdana"/>
                <w:sz w:val="18"/>
                <w:szCs w:val="18"/>
              </w:rPr>
            </w:pPr>
          </w:p>
        </w:tc>
        <w:tc>
          <w:tcPr>
            <w:tcW w:w="1365" w:type="dxa"/>
          </w:tcPr>
          <w:p w14:paraId="6A89B8C1" w14:textId="63DAF778" w:rsidR="00644C2E" w:rsidRPr="00362BB1" w:rsidRDefault="00644C2E" w:rsidP="00644C2E">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088823D8" w14:textId="77777777" w:rsidR="00644C2E" w:rsidRPr="00362BB1" w:rsidRDefault="00644C2E" w:rsidP="009D4A2A">
            <w:pPr>
              <w:pStyle w:val="Paragraphe"/>
              <w:numPr>
                <w:ilvl w:val="0"/>
                <w:numId w:val="12"/>
              </w:numPr>
              <w:ind w:left="315" w:hanging="315"/>
              <w:rPr>
                <w:sz w:val="18"/>
                <w:szCs w:val="18"/>
              </w:rPr>
            </w:pPr>
            <w:r w:rsidRPr="00362BB1">
              <w:rPr>
                <w:sz w:val="18"/>
                <w:szCs w:val="18"/>
              </w:rPr>
              <w:t xml:space="preserve">Demande au Secrétariat général de saisir les États membres pour la transmission de leurs propositions avant la clôture du projet au 12 juin 2025, via les personnes ressources et les PFN du projet pour compléter et valider la page de présentation de l’écosystème Recherche &amp; Innovation (R&amp;I) de chaque pays, travaillé par les équipes </w:t>
            </w:r>
            <w:proofErr w:type="spellStart"/>
            <w:r w:rsidRPr="00362BB1">
              <w:rPr>
                <w:sz w:val="18"/>
                <w:szCs w:val="18"/>
              </w:rPr>
              <w:t>TWENex</w:t>
            </w:r>
            <w:proofErr w:type="spellEnd"/>
            <w:r w:rsidRPr="00362BB1">
              <w:rPr>
                <w:sz w:val="18"/>
                <w:szCs w:val="18"/>
              </w:rPr>
              <w:t xml:space="preserve"> sur base d’une enquête et visible sur la plateforme IORIC.org. </w:t>
            </w:r>
          </w:p>
          <w:p w14:paraId="69D3CD70" w14:textId="77777777" w:rsidR="00644C2E" w:rsidRPr="00362BB1" w:rsidRDefault="00644C2E" w:rsidP="009D4A2A">
            <w:pPr>
              <w:pStyle w:val="Paragraphe"/>
              <w:numPr>
                <w:ilvl w:val="0"/>
                <w:numId w:val="12"/>
              </w:numPr>
              <w:ind w:left="315" w:hanging="315"/>
              <w:rPr>
                <w:sz w:val="18"/>
                <w:szCs w:val="18"/>
              </w:rPr>
            </w:pPr>
            <w:r w:rsidRPr="00362BB1">
              <w:rPr>
                <w:sz w:val="18"/>
                <w:szCs w:val="18"/>
              </w:rPr>
              <w:t xml:space="preserve">Conforte l’initiative du projet </w:t>
            </w:r>
            <w:proofErr w:type="spellStart"/>
            <w:r w:rsidRPr="00362BB1">
              <w:rPr>
                <w:sz w:val="18"/>
                <w:szCs w:val="18"/>
              </w:rPr>
              <w:t>TWENex</w:t>
            </w:r>
            <w:proofErr w:type="spellEnd"/>
            <w:r w:rsidRPr="00362BB1">
              <w:rPr>
                <w:sz w:val="18"/>
                <w:szCs w:val="18"/>
              </w:rPr>
              <w:t xml:space="preserve"> et encourage la poursuite des discussions avec les réseaux régionaux R&amp;I de la </w:t>
            </w:r>
            <w:proofErr w:type="spellStart"/>
            <w:r w:rsidRPr="00362BB1">
              <w:rPr>
                <w:sz w:val="18"/>
                <w:szCs w:val="18"/>
              </w:rPr>
              <w:t>PRéRAD</w:t>
            </w:r>
            <w:proofErr w:type="spellEnd"/>
            <w:r w:rsidRPr="00362BB1">
              <w:rPr>
                <w:sz w:val="18"/>
                <w:szCs w:val="18"/>
              </w:rPr>
              <w:t xml:space="preserve"> OI, de l’IORA et de l’AUF pour mettre en lien l’ensemble des plateformes de coopération régionale scientifique, ainsi que la création d’une </w:t>
            </w:r>
            <w:proofErr w:type="spellStart"/>
            <w:r w:rsidRPr="00362BB1">
              <w:rPr>
                <w:i/>
                <w:iCs/>
                <w:sz w:val="18"/>
                <w:szCs w:val="18"/>
              </w:rPr>
              <w:t>task</w:t>
            </w:r>
            <w:proofErr w:type="spellEnd"/>
            <w:r w:rsidRPr="00362BB1">
              <w:rPr>
                <w:i/>
                <w:iCs/>
                <w:sz w:val="18"/>
                <w:szCs w:val="18"/>
              </w:rPr>
              <w:t xml:space="preserve"> force</w:t>
            </w:r>
            <w:r w:rsidRPr="00362BB1">
              <w:rPr>
                <w:sz w:val="18"/>
                <w:szCs w:val="18"/>
              </w:rPr>
              <w:t xml:space="preserve"> régionale R&amp;I. </w:t>
            </w:r>
          </w:p>
          <w:p w14:paraId="4081B315" w14:textId="6872759F" w:rsidR="00644C2E" w:rsidRPr="00362BB1" w:rsidRDefault="00644C2E" w:rsidP="009D4A2A">
            <w:pPr>
              <w:pStyle w:val="Paragraphe"/>
              <w:numPr>
                <w:ilvl w:val="0"/>
                <w:numId w:val="12"/>
              </w:numPr>
              <w:ind w:left="315" w:hanging="315"/>
              <w:rPr>
                <w:sz w:val="18"/>
                <w:szCs w:val="18"/>
              </w:rPr>
            </w:pPr>
            <w:r w:rsidRPr="00362BB1">
              <w:rPr>
                <w:sz w:val="18"/>
                <w:szCs w:val="18"/>
              </w:rPr>
              <w:t xml:space="preserve">Invite le Secrétariat général de la COI à définir les Termes de référence d’un atelier des partenaires techniques et financiers réunissant, entre autres, le PNUD, l’AFD et l’Union européenne, en concertation avec les États membres à l’occasion du comité de pilotage de </w:t>
            </w:r>
            <w:proofErr w:type="spellStart"/>
            <w:r w:rsidRPr="00362BB1">
              <w:rPr>
                <w:sz w:val="18"/>
                <w:szCs w:val="18"/>
              </w:rPr>
              <w:t>TWENex</w:t>
            </w:r>
            <w:proofErr w:type="spellEnd"/>
            <w:r w:rsidRPr="00362BB1">
              <w:rPr>
                <w:sz w:val="18"/>
                <w:szCs w:val="18"/>
              </w:rPr>
              <w:t xml:space="preserve"> prévu du 1</w:t>
            </w:r>
            <w:r w:rsidRPr="00362BB1">
              <w:rPr>
                <w:sz w:val="18"/>
                <w:szCs w:val="18"/>
                <w:vertAlign w:val="superscript"/>
              </w:rPr>
              <w:t>er</w:t>
            </w:r>
            <w:r w:rsidRPr="00362BB1">
              <w:rPr>
                <w:sz w:val="18"/>
                <w:szCs w:val="18"/>
              </w:rPr>
              <w:t xml:space="preserve"> au 06 juin 2025.</w:t>
            </w:r>
          </w:p>
        </w:tc>
        <w:tc>
          <w:tcPr>
            <w:tcW w:w="1455" w:type="dxa"/>
          </w:tcPr>
          <w:p w14:paraId="4AC006D8" w14:textId="77777777" w:rsidR="00644C2E" w:rsidRPr="00362BB1" w:rsidRDefault="00644C2E" w:rsidP="005803FB">
            <w:pPr>
              <w:jc w:val="center"/>
              <w:rPr>
                <w:rFonts w:ascii="Verdana" w:hAnsi="Verdana"/>
                <w:sz w:val="18"/>
                <w:szCs w:val="18"/>
              </w:rPr>
            </w:pPr>
          </w:p>
        </w:tc>
        <w:tc>
          <w:tcPr>
            <w:tcW w:w="4513" w:type="dxa"/>
          </w:tcPr>
          <w:p w14:paraId="5E4B4ADC" w14:textId="1103DFE1" w:rsidR="00644C2E" w:rsidRPr="00362BB1" w:rsidRDefault="23F0C3CC" w:rsidP="724F4C9F">
            <w:pPr>
              <w:pStyle w:val="Paragraphedeliste"/>
              <w:numPr>
                <w:ilvl w:val="0"/>
                <w:numId w:val="1"/>
              </w:numPr>
              <w:rPr>
                <w:rFonts w:ascii="Verdana" w:hAnsi="Verdana"/>
                <w:sz w:val="18"/>
                <w:szCs w:val="18"/>
              </w:rPr>
            </w:pPr>
            <w:r w:rsidRPr="724F4C9F">
              <w:rPr>
                <w:rFonts w:ascii="Verdana" w:hAnsi="Verdana"/>
                <w:sz w:val="18"/>
                <w:szCs w:val="18"/>
              </w:rPr>
              <w:t>Activité réalisée</w:t>
            </w:r>
          </w:p>
          <w:p w14:paraId="0D4BC46E" w14:textId="051E66C5" w:rsidR="00644C2E" w:rsidRPr="00362BB1" w:rsidRDefault="00644C2E" w:rsidP="724F4C9F">
            <w:pPr>
              <w:rPr>
                <w:rFonts w:ascii="Verdana" w:hAnsi="Verdana"/>
              </w:rPr>
            </w:pPr>
          </w:p>
          <w:p w14:paraId="6EC0DA51" w14:textId="5C73B7E7" w:rsidR="00644C2E" w:rsidRPr="00362BB1" w:rsidRDefault="00644C2E" w:rsidP="724F4C9F">
            <w:pPr>
              <w:rPr>
                <w:rFonts w:ascii="Verdana" w:hAnsi="Verdana"/>
              </w:rPr>
            </w:pPr>
          </w:p>
          <w:p w14:paraId="1AB33406" w14:textId="5E6D4045" w:rsidR="00644C2E" w:rsidRPr="00362BB1" w:rsidRDefault="00644C2E" w:rsidP="724F4C9F">
            <w:pPr>
              <w:rPr>
                <w:rFonts w:ascii="Verdana" w:hAnsi="Verdana"/>
              </w:rPr>
            </w:pPr>
          </w:p>
          <w:p w14:paraId="067E97E3" w14:textId="0490950F" w:rsidR="00644C2E" w:rsidRPr="00362BB1" w:rsidRDefault="00644C2E" w:rsidP="724F4C9F">
            <w:pPr>
              <w:rPr>
                <w:rFonts w:ascii="Verdana" w:hAnsi="Verdana"/>
              </w:rPr>
            </w:pPr>
          </w:p>
          <w:p w14:paraId="1E0318B9" w14:textId="1D08C6FD" w:rsidR="00644C2E" w:rsidRPr="00362BB1" w:rsidRDefault="00644C2E" w:rsidP="724F4C9F">
            <w:pPr>
              <w:rPr>
                <w:rFonts w:ascii="Verdana" w:hAnsi="Verdana"/>
              </w:rPr>
            </w:pPr>
          </w:p>
          <w:p w14:paraId="79BB8E8E" w14:textId="268945A2" w:rsidR="00644C2E" w:rsidRPr="00362BB1" w:rsidRDefault="23F0C3CC" w:rsidP="724F4C9F">
            <w:pPr>
              <w:pStyle w:val="Paragraphedeliste"/>
              <w:numPr>
                <w:ilvl w:val="0"/>
                <w:numId w:val="1"/>
              </w:numPr>
              <w:rPr>
                <w:rFonts w:ascii="Verdana" w:hAnsi="Verdana"/>
                <w:sz w:val="18"/>
                <w:szCs w:val="18"/>
              </w:rPr>
            </w:pPr>
            <w:r w:rsidRPr="724F4C9F">
              <w:rPr>
                <w:rFonts w:ascii="Verdana" w:hAnsi="Verdana"/>
                <w:sz w:val="18"/>
                <w:szCs w:val="18"/>
              </w:rPr>
              <w:t>Activité en cours</w:t>
            </w:r>
          </w:p>
          <w:p w14:paraId="61FAE6DC" w14:textId="33A07D93" w:rsidR="00644C2E" w:rsidRPr="00362BB1" w:rsidRDefault="00644C2E" w:rsidP="724F4C9F">
            <w:pPr>
              <w:pStyle w:val="Paragraphedeliste"/>
              <w:rPr>
                <w:rFonts w:ascii="Verdana" w:hAnsi="Verdana"/>
                <w:sz w:val="18"/>
                <w:szCs w:val="18"/>
              </w:rPr>
            </w:pPr>
          </w:p>
          <w:p w14:paraId="02CF0866" w14:textId="100373D0" w:rsidR="00644C2E" w:rsidRPr="00362BB1" w:rsidRDefault="00644C2E" w:rsidP="724F4C9F">
            <w:pPr>
              <w:pStyle w:val="Paragraphedeliste"/>
              <w:rPr>
                <w:rFonts w:ascii="Verdana" w:hAnsi="Verdana"/>
                <w:sz w:val="18"/>
                <w:szCs w:val="18"/>
              </w:rPr>
            </w:pPr>
          </w:p>
          <w:p w14:paraId="29324F73" w14:textId="3732710A" w:rsidR="00644C2E" w:rsidRPr="00362BB1" w:rsidRDefault="00644C2E" w:rsidP="724F4C9F">
            <w:pPr>
              <w:pStyle w:val="Paragraphedeliste"/>
              <w:rPr>
                <w:rFonts w:ascii="Verdana" w:hAnsi="Verdana"/>
                <w:sz w:val="18"/>
                <w:szCs w:val="18"/>
              </w:rPr>
            </w:pPr>
          </w:p>
          <w:p w14:paraId="59AF72C5" w14:textId="1F30F875" w:rsidR="00644C2E" w:rsidRPr="00362BB1" w:rsidRDefault="00644C2E" w:rsidP="724F4C9F">
            <w:pPr>
              <w:pStyle w:val="Paragraphedeliste"/>
              <w:rPr>
                <w:rFonts w:ascii="Verdana" w:hAnsi="Verdana"/>
                <w:sz w:val="18"/>
                <w:szCs w:val="18"/>
              </w:rPr>
            </w:pPr>
          </w:p>
          <w:p w14:paraId="061C2214" w14:textId="342DF623" w:rsidR="00644C2E" w:rsidRPr="00362BB1" w:rsidRDefault="23F0C3CC" w:rsidP="724F4C9F">
            <w:pPr>
              <w:pStyle w:val="Paragraphedeliste"/>
              <w:numPr>
                <w:ilvl w:val="0"/>
                <w:numId w:val="1"/>
              </w:numPr>
              <w:rPr>
                <w:rFonts w:ascii="Verdana" w:hAnsi="Verdana"/>
                <w:sz w:val="18"/>
                <w:szCs w:val="18"/>
              </w:rPr>
            </w:pPr>
            <w:r w:rsidRPr="724F4C9F">
              <w:rPr>
                <w:rFonts w:ascii="Verdana" w:hAnsi="Verdana"/>
                <w:sz w:val="18"/>
                <w:szCs w:val="18"/>
              </w:rPr>
              <w:t>Activité en cours</w:t>
            </w:r>
          </w:p>
          <w:p w14:paraId="43D35A9E" w14:textId="3F75B29F" w:rsidR="00644C2E" w:rsidRPr="00362BB1" w:rsidRDefault="00644C2E" w:rsidP="724F4C9F">
            <w:pPr>
              <w:rPr>
                <w:rFonts w:ascii="Verdana" w:hAnsi="Verdana"/>
              </w:rPr>
            </w:pPr>
          </w:p>
        </w:tc>
      </w:tr>
      <w:tr w:rsidR="00644C2E" w:rsidRPr="00362BB1" w14:paraId="3BFA4797" w14:textId="77777777" w:rsidTr="25137305">
        <w:tc>
          <w:tcPr>
            <w:tcW w:w="1843" w:type="dxa"/>
          </w:tcPr>
          <w:p w14:paraId="15B8CE36" w14:textId="075655FF" w:rsidR="00644C2E" w:rsidRPr="00362BB1" w:rsidRDefault="00644C2E" w:rsidP="00644C2E">
            <w:pPr>
              <w:jc w:val="center"/>
              <w:rPr>
                <w:rFonts w:ascii="Verdana" w:hAnsi="Verdana"/>
                <w:sz w:val="18"/>
                <w:szCs w:val="18"/>
              </w:rPr>
            </w:pPr>
            <w:r w:rsidRPr="00362BB1">
              <w:rPr>
                <w:rFonts w:ascii="Verdana" w:hAnsi="Verdana"/>
                <w:sz w:val="18"/>
                <w:szCs w:val="18"/>
              </w:rPr>
              <w:t>Sécurité et sûreté maritimes</w:t>
            </w:r>
          </w:p>
        </w:tc>
        <w:tc>
          <w:tcPr>
            <w:tcW w:w="1365" w:type="dxa"/>
          </w:tcPr>
          <w:p w14:paraId="6DCBAD61" w14:textId="3F350F27" w:rsidR="00644C2E" w:rsidRPr="00362BB1" w:rsidRDefault="00644C2E" w:rsidP="00644C2E">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7951EFB9" w14:textId="77777777" w:rsidR="00644C2E" w:rsidRPr="00362BB1" w:rsidRDefault="00644C2E" w:rsidP="009D4A2A">
            <w:pPr>
              <w:pStyle w:val="Paragraphe"/>
              <w:numPr>
                <w:ilvl w:val="0"/>
                <w:numId w:val="13"/>
              </w:numPr>
              <w:ind w:left="227" w:hanging="283"/>
              <w:rPr>
                <w:sz w:val="18"/>
                <w:szCs w:val="18"/>
              </w:rPr>
            </w:pPr>
            <w:proofErr w:type="gramStart"/>
            <w:r w:rsidRPr="00362BB1">
              <w:rPr>
                <w:sz w:val="18"/>
                <w:szCs w:val="18"/>
              </w:rPr>
              <w:t>prend</w:t>
            </w:r>
            <w:proofErr w:type="gramEnd"/>
            <w:r w:rsidRPr="00362BB1">
              <w:rPr>
                <w:sz w:val="18"/>
                <w:szCs w:val="18"/>
              </w:rPr>
              <w:t xml:space="preserve"> note : </w:t>
            </w:r>
          </w:p>
          <w:p w14:paraId="5766733C" w14:textId="77777777" w:rsidR="00644C2E" w:rsidRPr="00362BB1" w:rsidRDefault="00644C2E" w:rsidP="009D4A2A">
            <w:pPr>
              <w:pStyle w:val="Paragraphe"/>
              <w:numPr>
                <w:ilvl w:val="0"/>
                <w:numId w:val="32"/>
              </w:numPr>
              <w:ind w:left="511" w:hanging="151"/>
              <w:rPr>
                <w:sz w:val="18"/>
                <w:szCs w:val="18"/>
              </w:rPr>
            </w:pPr>
            <w:r w:rsidRPr="00362BB1">
              <w:rPr>
                <w:rFonts w:cs="Arial"/>
                <w:sz w:val="18"/>
                <w:szCs w:val="18"/>
              </w:rPr>
              <w:t xml:space="preserve">Des avancées pour la continuité de l’opérationnalisation </w:t>
            </w:r>
            <w:r w:rsidRPr="00362BB1">
              <w:rPr>
                <w:sz w:val="18"/>
                <w:szCs w:val="18"/>
              </w:rPr>
              <w:t xml:space="preserve">de l’architecture régionale de sécurité maritime (ARSM) dans le cadre du programme </w:t>
            </w:r>
            <w:r w:rsidRPr="00362BB1">
              <w:rPr>
                <w:i/>
                <w:iCs/>
                <w:sz w:val="18"/>
                <w:szCs w:val="18"/>
              </w:rPr>
              <w:t xml:space="preserve">Safe </w:t>
            </w:r>
            <w:proofErr w:type="spellStart"/>
            <w:r w:rsidRPr="00362BB1">
              <w:rPr>
                <w:i/>
                <w:iCs/>
                <w:sz w:val="18"/>
                <w:szCs w:val="18"/>
              </w:rPr>
              <w:t>Seas</w:t>
            </w:r>
            <w:proofErr w:type="spellEnd"/>
            <w:r w:rsidRPr="00362BB1">
              <w:rPr>
                <w:i/>
                <w:iCs/>
                <w:sz w:val="18"/>
                <w:szCs w:val="18"/>
              </w:rPr>
              <w:t xml:space="preserve"> Africa</w:t>
            </w:r>
            <w:r w:rsidRPr="00362BB1">
              <w:rPr>
                <w:sz w:val="18"/>
                <w:szCs w:val="18"/>
              </w:rPr>
              <w:t xml:space="preserve"> sur financement de l’Union européenne ;</w:t>
            </w:r>
          </w:p>
          <w:p w14:paraId="105FAC47" w14:textId="77777777" w:rsidR="00644C2E" w:rsidRPr="00362BB1" w:rsidRDefault="00644C2E" w:rsidP="009D4A2A">
            <w:pPr>
              <w:pStyle w:val="Paragraphe"/>
              <w:numPr>
                <w:ilvl w:val="0"/>
                <w:numId w:val="32"/>
              </w:numPr>
              <w:ind w:left="511" w:hanging="151"/>
              <w:rPr>
                <w:sz w:val="18"/>
                <w:szCs w:val="18"/>
              </w:rPr>
            </w:pPr>
            <w:r w:rsidRPr="00362BB1">
              <w:rPr>
                <w:sz w:val="18"/>
                <w:szCs w:val="18"/>
              </w:rPr>
              <w:t>Des actions entreprises concernant l’exercice de terrain MASEPOLREX25 contre la pollution marine au Kenya ainsi que la lutte contre les espèces sauvages ;</w:t>
            </w:r>
          </w:p>
          <w:p w14:paraId="4160CD5A" w14:textId="4DC145F5" w:rsidR="00644C2E" w:rsidRDefault="00644C2E" w:rsidP="009D4A2A">
            <w:pPr>
              <w:pStyle w:val="Paragraphe"/>
              <w:numPr>
                <w:ilvl w:val="0"/>
                <w:numId w:val="32"/>
              </w:numPr>
              <w:ind w:left="511" w:hanging="151"/>
              <w:rPr>
                <w:sz w:val="18"/>
                <w:szCs w:val="18"/>
              </w:rPr>
            </w:pPr>
            <w:r w:rsidRPr="00362BB1">
              <w:rPr>
                <w:sz w:val="18"/>
                <w:szCs w:val="18"/>
              </w:rPr>
              <w:t xml:space="preserve">Des travaux entrepris pour la mise en place d’un Observatoire régional sur les drogues avec l’Union </w:t>
            </w:r>
            <w:r w:rsidRPr="00362BB1">
              <w:rPr>
                <w:sz w:val="18"/>
                <w:szCs w:val="18"/>
              </w:rPr>
              <w:lastRenderedPageBreak/>
              <w:t xml:space="preserve">européenne et la </w:t>
            </w:r>
            <w:r w:rsidRPr="00362BB1">
              <w:rPr>
                <w:sz w:val="18"/>
                <w:szCs w:val="18"/>
                <w:shd w:val="clear" w:color="auto" w:fill="FFFFFF"/>
              </w:rPr>
              <w:t>Commission des drogues de l’Afrique orientale et Australe</w:t>
            </w:r>
            <w:r w:rsidRPr="00362BB1">
              <w:rPr>
                <w:sz w:val="18"/>
                <w:szCs w:val="18"/>
              </w:rPr>
              <w:t>.</w:t>
            </w:r>
          </w:p>
          <w:p w14:paraId="0F7DEA4C" w14:textId="08344DF9" w:rsidR="00976578" w:rsidRDefault="00976578" w:rsidP="00976578">
            <w:pPr>
              <w:pStyle w:val="Paragraphe"/>
              <w:rPr>
                <w:sz w:val="18"/>
                <w:szCs w:val="18"/>
              </w:rPr>
            </w:pPr>
          </w:p>
          <w:p w14:paraId="39C7522F" w14:textId="142AF206" w:rsidR="00644C2E" w:rsidRPr="00362BB1" w:rsidRDefault="00644C2E" w:rsidP="009D4A2A">
            <w:pPr>
              <w:pStyle w:val="Paragraphe"/>
              <w:numPr>
                <w:ilvl w:val="0"/>
                <w:numId w:val="13"/>
              </w:numPr>
              <w:ind w:left="227" w:hanging="283"/>
              <w:rPr>
                <w:sz w:val="18"/>
                <w:szCs w:val="18"/>
              </w:rPr>
            </w:pPr>
            <w:proofErr w:type="gramStart"/>
            <w:r w:rsidRPr="00362BB1">
              <w:rPr>
                <w:rFonts w:cs="Arial"/>
                <w:sz w:val="18"/>
                <w:szCs w:val="18"/>
              </w:rPr>
              <w:t>invite</w:t>
            </w:r>
            <w:proofErr w:type="gramEnd"/>
            <w:r w:rsidRPr="00362BB1">
              <w:rPr>
                <w:rFonts w:cs="Arial"/>
                <w:sz w:val="18"/>
                <w:szCs w:val="18"/>
              </w:rPr>
              <w:t xml:space="preserve"> le Secrétariat général à prendre contact avec la partie française afin de préciser des modalités de collaboration souhaitée avec la COI pour la mise en place de l’Institut régional de formation.</w:t>
            </w:r>
          </w:p>
        </w:tc>
        <w:tc>
          <w:tcPr>
            <w:tcW w:w="1455" w:type="dxa"/>
          </w:tcPr>
          <w:p w14:paraId="2EA896F0" w14:textId="77777777" w:rsidR="00644C2E" w:rsidRPr="00362BB1" w:rsidRDefault="00644C2E" w:rsidP="005803FB">
            <w:pPr>
              <w:jc w:val="center"/>
              <w:rPr>
                <w:rFonts w:ascii="Verdana" w:hAnsi="Verdana"/>
                <w:sz w:val="18"/>
                <w:szCs w:val="18"/>
              </w:rPr>
            </w:pPr>
          </w:p>
        </w:tc>
        <w:tc>
          <w:tcPr>
            <w:tcW w:w="4513" w:type="dxa"/>
          </w:tcPr>
          <w:p w14:paraId="464557C5" w14:textId="77777777" w:rsidR="00644C2E" w:rsidRDefault="00644C2E" w:rsidP="00644C2E">
            <w:pPr>
              <w:rPr>
                <w:rFonts w:ascii="Verdana" w:hAnsi="Verdana"/>
                <w:sz w:val="18"/>
                <w:szCs w:val="18"/>
              </w:rPr>
            </w:pPr>
          </w:p>
          <w:p w14:paraId="0B9D4A11" w14:textId="77777777" w:rsidR="00406618" w:rsidRDefault="00406618" w:rsidP="00644C2E">
            <w:pPr>
              <w:rPr>
                <w:rFonts w:ascii="Verdana" w:hAnsi="Verdana"/>
                <w:sz w:val="18"/>
                <w:szCs w:val="18"/>
              </w:rPr>
            </w:pPr>
          </w:p>
          <w:p w14:paraId="228E74C5" w14:textId="77777777" w:rsidR="00406618" w:rsidRDefault="00406618" w:rsidP="00644C2E">
            <w:pPr>
              <w:rPr>
                <w:rFonts w:ascii="Verdana" w:hAnsi="Verdana"/>
                <w:sz w:val="18"/>
                <w:szCs w:val="18"/>
              </w:rPr>
            </w:pPr>
          </w:p>
          <w:p w14:paraId="46588B10" w14:textId="77777777" w:rsidR="00FF09BA" w:rsidRDefault="00FF09BA" w:rsidP="00644C2E">
            <w:pPr>
              <w:rPr>
                <w:rFonts w:ascii="Verdana" w:hAnsi="Verdana"/>
                <w:sz w:val="18"/>
                <w:szCs w:val="18"/>
              </w:rPr>
            </w:pPr>
          </w:p>
          <w:p w14:paraId="02C3579E" w14:textId="77777777" w:rsidR="00FF09BA" w:rsidRDefault="00FF09BA" w:rsidP="00644C2E">
            <w:pPr>
              <w:rPr>
                <w:rFonts w:ascii="Verdana" w:hAnsi="Verdana"/>
                <w:sz w:val="18"/>
                <w:szCs w:val="18"/>
              </w:rPr>
            </w:pPr>
          </w:p>
          <w:p w14:paraId="5295C429" w14:textId="77777777" w:rsidR="00406618" w:rsidRPr="00677B70" w:rsidRDefault="00406618" w:rsidP="009D4A2A">
            <w:pPr>
              <w:pStyle w:val="Paragraphedeliste"/>
              <w:numPr>
                <w:ilvl w:val="0"/>
                <w:numId w:val="38"/>
              </w:numPr>
              <w:ind w:hanging="147"/>
              <w:jc w:val="both"/>
              <w:rPr>
                <w:rFonts w:ascii="Verdana" w:hAnsi="Verdana"/>
                <w:sz w:val="18"/>
                <w:szCs w:val="18"/>
              </w:rPr>
            </w:pPr>
            <w:r w:rsidRPr="00677B70">
              <w:rPr>
                <w:rFonts w:ascii="Verdana" w:hAnsi="Verdana"/>
                <w:sz w:val="18"/>
                <w:szCs w:val="18"/>
              </w:rPr>
              <w:t>Un événement international, avec mobilisation des autorités kenyanes (250 participants) et l’équipe du SG-COI</w:t>
            </w:r>
            <w:r w:rsidR="00740D06" w:rsidRPr="00677B70">
              <w:rPr>
                <w:rFonts w:ascii="Verdana" w:hAnsi="Verdana"/>
                <w:sz w:val="18"/>
                <w:szCs w:val="18"/>
              </w:rPr>
              <w:t>, partenaires régionaux et internationaux</w:t>
            </w:r>
          </w:p>
          <w:p w14:paraId="133560FB" w14:textId="77777777" w:rsidR="009C3B60" w:rsidRDefault="009C3B60" w:rsidP="009D4A2A">
            <w:pPr>
              <w:pStyle w:val="Paragraphedeliste"/>
              <w:numPr>
                <w:ilvl w:val="0"/>
                <w:numId w:val="38"/>
              </w:numPr>
              <w:ind w:hanging="147"/>
              <w:jc w:val="both"/>
              <w:rPr>
                <w:rFonts w:ascii="Verdana" w:hAnsi="Verdana"/>
                <w:sz w:val="18"/>
                <w:szCs w:val="18"/>
              </w:rPr>
            </w:pPr>
            <w:r w:rsidRPr="00677B70">
              <w:rPr>
                <w:rFonts w:ascii="Verdana" w:hAnsi="Verdana"/>
                <w:sz w:val="18"/>
                <w:szCs w:val="18"/>
              </w:rPr>
              <w:t xml:space="preserve">Expertise </w:t>
            </w:r>
            <w:r w:rsidR="00080552" w:rsidRPr="00677B70">
              <w:rPr>
                <w:rFonts w:ascii="Verdana" w:hAnsi="Verdana"/>
                <w:sz w:val="18"/>
                <w:szCs w:val="18"/>
              </w:rPr>
              <w:t>mise à disposition par l’Union Européenne pour la région</w:t>
            </w:r>
            <w:r w:rsidR="003D147F" w:rsidRPr="00677B70">
              <w:rPr>
                <w:rFonts w:ascii="Verdana" w:hAnsi="Verdana"/>
                <w:sz w:val="18"/>
                <w:szCs w:val="18"/>
              </w:rPr>
              <w:t xml:space="preserve"> avec mission </w:t>
            </w:r>
            <w:r w:rsidR="003D147F" w:rsidRPr="00677B70">
              <w:rPr>
                <w:rFonts w:ascii="Verdana" w:hAnsi="Verdana"/>
                <w:sz w:val="18"/>
                <w:szCs w:val="18"/>
              </w:rPr>
              <w:lastRenderedPageBreak/>
              <w:t>d’étude au siège de l’observatoire à Lisbon</w:t>
            </w:r>
            <w:r w:rsidR="00F36F24" w:rsidRPr="00677B70">
              <w:rPr>
                <w:rFonts w:ascii="Verdana" w:hAnsi="Verdana"/>
                <w:sz w:val="18"/>
                <w:szCs w:val="18"/>
              </w:rPr>
              <w:t>ne</w:t>
            </w:r>
          </w:p>
          <w:p w14:paraId="14B34211" w14:textId="43FD8AAD" w:rsidR="00677B70" w:rsidRPr="003C7C9D" w:rsidRDefault="003C7C9D" w:rsidP="003C7C9D">
            <w:pPr>
              <w:ind w:left="71"/>
              <w:jc w:val="both"/>
              <w:rPr>
                <w:rFonts w:ascii="Verdana" w:hAnsi="Verdana"/>
                <w:sz w:val="18"/>
                <w:szCs w:val="18"/>
              </w:rPr>
            </w:pPr>
            <w:r>
              <w:rPr>
                <w:rFonts w:ascii="Verdana" w:hAnsi="Verdana"/>
                <w:sz w:val="18"/>
                <w:szCs w:val="18"/>
              </w:rPr>
              <w:t>En attente d’un retour de la partie française</w:t>
            </w:r>
            <w:r w:rsidR="0041528B">
              <w:rPr>
                <w:rFonts w:ascii="Verdana" w:hAnsi="Verdana"/>
                <w:sz w:val="18"/>
                <w:szCs w:val="18"/>
              </w:rPr>
              <w:t>, une Académie régionale est en cours de mise en place à La Réunion</w:t>
            </w:r>
          </w:p>
        </w:tc>
      </w:tr>
      <w:tr w:rsidR="00AA76EA" w:rsidRPr="00362BB1" w14:paraId="61D266CA" w14:textId="77777777" w:rsidTr="25137305">
        <w:tc>
          <w:tcPr>
            <w:tcW w:w="1843" w:type="dxa"/>
          </w:tcPr>
          <w:p w14:paraId="0DDBBEDC" w14:textId="77777777" w:rsidR="00AA76EA" w:rsidRPr="00362BB1" w:rsidRDefault="00AA76EA" w:rsidP="00644C2E">
            <w:pPr>
              <w:jc w:val="center"/>
              <w:rPr>
                <w:rFonts w:ascii="Verdana" w:hAnsi="Verdana"/>
                <w:sz w:val="18"/>
                <w:szCs w:val="18"/>
              </w:rPr>
            </w:pPr>
          </w:p>
        </w:tc>
        <w:tc>
          <w:tcPr>
            <w:tcW w:w="1365" w:type="dxa"/>
          </w:tcPr>
          <w:p w14:paraId="4235C33B" w14:textId="33AF886A" w:rsidR="00AA76EA" w:rsidRPr="00362BB1" w:rsidRDefault="00AA76EA" w:rsidP="00644C2E">
            <w:pPr>
              <w:jc w:val="center"/>
              <w:rPr>
                <w:rFonts w:ascii="Verdana" w:hAnsi="Verdana"/>
                <w:sz w:val="18"/>
                <w:szCs w:val="18"/>
              </w:rPr>
            </w:pPr>
            <w:r>
              <w:rPr>
                <w:rFonts w:ascii="Verdana" w:hAnsi="Verdana"/>
                <w:sz w:val="18"/>
                <w:szCs w:val="18"/>
              </w:rPr>
              <w:t>39</w:t>
            </w:r>
            <w:r w:rsidRPr="00AA76EA">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238F88F3" w14:textId="089C8E91" w:rsidR="00AA76EA" w:rsidRPr="00AA76EA" w:rsidRDefault="00AA76EA" w:rsidP="00AA76EA">
            <w:pPr>
              <w:pStyle w:val="Default"/>
              <w:jc w:val="both"/>
              <w:rPr>
                <w:sz w:val="18"/>
                <w:szCs w:val="18"/>
              </w:rPr>
            </w:pPr>
            <w:r>
              <w:rPr>
                <w:sz w:val="18"/>
                <w:szCs w:val="18"/>
              </w:rPr>
              <w:t>A</w:t>
            </w:r>
            <w:r w:rsidRPr="00AA76EA">
              <w:rPr>
                <w:sz w:val="18"/>
                <w:szCs w:val="18"/>
              </w:rPr>
              <w:t>dresse ses félicitations au Kenya pour son engagement durant sa présidence du Groupe de contact sur les activités maritimes illicites (CGIMA) et demande au Secrétariat général d’apporter un appui complet à la présidence actuelle, les Seychelles, notamment dans sa mission de renforcer la coordination des dispositifs régionaux et internationaux</w:t>
            </w:r>
          </w:p>
        </w:tc>
        <w:tc>
          <w:tcPr>
            <w:tcW w:w="1455" w:type="dxa"/>
          </w:tcPr>
          <w:p w14:paraId="548595F0" w14:textId="77777777" w:rsidR="00AA76EA" w:rsidRPr="00362BB1" w:rsidRDefault="00AA76EA" w:rsidP="005803FB">
            <w:pPr>
              <w:jc w:val="center"/>
              <w:rPr>
                <w:rFonts w:ascii="Verdana" w:hAnsi="Verdana"/>
                <w:sz w:val="18"/>
                <w:szCs w:val="18"/>
              </w:rPr>
            </w:pPr>
          </w:p>
        </w:tc>
        <w:tc>
          <w:tcPr>
            <w:tcW w:w="4513" w:type="dxa"/>
          </w:tcPr>
          <w:p w14:paraId="23D5F2DA" w14:textId="77777777" w:rsidR="00AA76EA" w:rsidRPr="00362BB1" w:rsidRDefault="00AA76EA" w:rsidP="00644C2E">
            <w:pPr>
              <w:rPr>
                <w:rFonts w:ascii="Verdana" w:hAnsi="Verdana"/>
                <w:sz w:val="18"/>
                <w:szCs w:val="18"/>
              </w:rPr>
            </w:pPr>
          </w:p>
        </w:tc>
      </w:tr>
      <w:tr w:rsidR="00644C2E" w:rsidRPr="00362BB1" w14:paraId="4AF0F648" w14:textId="77777777" w:rsidTr="25137305">
        <w:tc>
          <w:tcPr>
            <w:tcW w:w="1843" w:type="dxa"/>
          </w:tcPr>
          <w:p w14:paraId="144EA60C" w14:textId="77777777" w:rsidR="00644C2E" w:rsidRPr="00362BB1" w:rsidRDefault="00644C2E" w:rsidP="00644C2E">
            <w:pPr>
              <w:jc w:val="center"/>
              <w:rPr>
                <w:rFonts w:ascii="Verdana" w:hAnsi="Verdana"/>
                <w:spacing w:val="6"/>
                <w:sz w:val="18"/>
                <w:szCs w:val="18"/>
              </w:rPr>
            </w:pPr>
            <w:r w:rsidRPr="00362BB1">
              <w:rPr>
                <w:rFonts w:ascii="Verdana" w:hAnsi="Verdana"/>
                <w:sz w:val="18"/>
                <w:szCs w:val="18"/>
              </w:rPr>
              <w:t>Comité des douanes</w:t>
            </w:r>
          </w:p>
          <w:p w14:paraId="0B99354A" w14:textId="77777777" w:rsidR="00644C2E" w:rsidRPr="00362BB1" w:rsidRDefault="00644C2E" w:rsidP="00644C2E">
            <w:pPr>
              <w:jc w:val="center"/>
              <w:rPr>
                <w:rFonts w:ascii="Verdana" w:hAnsi="Verdana"/>
                <w:sz w:val="18"/>
                <w:szCs w:val="18"/>
              </w:rPr>
            </w:pPr>
          </w:p>
        </w:tc>
        <w:tc>
          <w:tcPr>
            <w:tcW w:w="1365" w:type="dxa"/>
          </w:tcPr>
          <w:p w14:paraId="0F9E0BA9" w14:textId="1B540DC5" w:rsidR="00644C2E" w:rsidRPr="00362BB1" w:rsidRDefault="00644C2E" w:rsidP="00644C2E">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19F267A1" w14:textId="77777777" w:rsidR="00644C2E" w:rsidRPr="00362BB1" w:rsidRDefault="00644C2E" w:rsidP="009D4A2A">
            <w:pPr>
              <w:pStyle w:val="Paragraphe"/>
              <w:numPr>
                <w:ilvl w:val="0"/>
                <w:numId w:val="14"/>
              </w:numPr>
              <w:ind w:left="227" w:hanging="283"/>
              <w:rPr>
                <w:sz w:val="18"/>
                <w:szCs w:val="18"/>
              </w:rPr>
            </w:pPr>
            <w:r w:rsidRPr="00362BB1">
              <w:rPr>
                <w:sz w:val="18"/>
                <w:szCs w:val="18"/>
              </w:rPr>
              <w:t>Au regard de la note d’information (Annexe 3 de la fiche 2.5.), invite le Secrétariat général à informer le Comité des douanes sur les modes de décisions des instances de la COI reposant sur la recherche de solutions communes et la promotion des intérêts partagés, conformément à l’esprit et aux textes de la COI tout en soulignant que les OPL sont des représentants des États, chargés de relayer les priorités et les positions de ces derniers, et que les décisions de leur Comité sont unanimes ;</w:t>
            </w:r>
          </w:p>
          <w:p w14:paraId="3D321994" w14:textId="7740085D" w:rsidR="00644C2E" w:rsidRPr="00362BB1" w:rsidRDefault="00644C2E" w:rsidP="009D4A2A">
            <w:pPr>
              <w:pStyle w:val="Paragraphe"/>
              <w:numPr>
                <w:ilvl w:val="0"/>
                <w:numId w:val="14"/>
              </w:numPr>
              <w:ind w:left="227" w:hanging="283"/>
              <w:rPr>
                <w:sz w:val="18"/>
                <w:szCs w:val="18"/>
              </w:rPr>
            </w:pPr>
            <w:r w:rsidRPr="00362BB1">
              <w:rPr>
                <w:sz w:val="18"/>
                <w:szCs w:val="18"/>
              </w:rPr>
              <w:t>Invite le Secrétariat général à mettre en œuvre la décision 8b) du 37</w:t>
            </w:r>
            <w:r w:rsidRPr="00362BB1">
              <w:rPr>
                <w:sz w:val="18"/>
                <w:szCs w:val="18"/>
                <w:vertAlign w:val="superscript"/>
              </w:rPr>
              <w:t>e</w:t>
            </w:r>
            <w:r w:rsidRPr="00362BB1">
              <w:rPr>
                <w:sz w:val="18"/>
                <w:szCs w:val="18"/>
              </w:rPr>
              <w:t xml:space="preserve"> Conseil des ministres de la COI.  </w:t>
            </w:r>
          </w:p>
        </w:tc>
        <w:tc>
          <w:tcPr>
            <w:tcW w:w="1455" w:type="dxa"/>
          </w:tcPr>
          <w:p w14:paraId="460C0BAC" w14:textId="77777777" w:rsidR="00644C2E" w:rsidRPr="00362BB1" w:rsidRDefault="00644C2E" w:rsidP="005803FB">
            <w:pPr>
              <w:jc w:val="center"/>
              <w:rPr>
                <w:rFonts w:ascii="Verdana" w:hAnsi="Verdana"/>
                <w:sz w:val="18"/>
                <w:szCs w:val="18"/>
              </w:rPr>
            </w:pPr>
          </w:p>
        </w:tc>
        <w:tc>
          <w:tcPr>
            <w:tcW w:w="4513" w:type="dxa"/>
          </w:tcPr>
          <w:p w14:paraId="57289535" w14:textId="77777777" w:rsidR="00644C2E" w:rsidRPr="00362BB1" w:rsidRDefault="00644C2E" w:rsidP="00644C2E">
            <w:pPr>
              <w:rPr>
                <w:rFonts w:ascii="Verdana" w:hAnsi="Verdana"/>
                <w:sz w:val="18"/>
                <w:szCs w:val="18"/>
              </w:rPr>
            </w:pPr>
          </w:p>
        </w:tc>
      </w:tr>
      <w:tr w:rsidR="00F35E11" w:rsidRPr="00362BB1" w14:paraId="68AE8B77" w14:textId="77777777" w:rsidTr="25137305">
        <w:tc>
          <w:tcPr>
            <w:tcW w:w="1843" w:type="dxa"/>
            <w:vMerge w:val="restart"/>
          </w:tcPr>
          <w:p w14:paraId="192514CE" w14:textId="2039467E" w:rsidR="00F35E11" w:rsidRPr="00362BB1" w:rsidRDefault="00F35E11" w:rsidP="00644C2E">
            <w:pPr>
              <w:jc w:val="center"/>
              <w:rPr>
                <w:rFonts w:ascii="Verdana" w:hAnsi="Verdana"/>
                <w:sz w:val="18"/>
                <w:szCs w:val="18"/>
              </w:rPr>
            </w:pPr>
            <w:r w:rsidRPr="00362BB1">
              <w:rPr>
                <w:rFonts w:ascii="Verdana" w:hAnsi="Verdana"/>
                <w:sz w:val="18"/>
                <w:szCs w:val="18"/>
              </w:rPr>
              <w:t>Projet Gouvernance, paix et stabilité - GPS</w:t>
            </w:r>
          </w:p>
        </w:tc>
        <w:tc>
          <w:tcPr>
            <w:tcW w:w="1365" w:type="dxa"/>
          </w:tcPr>
          <w:p w14:paraId="3E9BE4D9" w14:textId="0CB362EE" w:rsidR="00F35E11" w:rsidRPr="00362BB1" w:rsidRDefault="00F35E11" w:rsidP="00644C2E">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7DA733A4" w14:textId="62314023" w:rsidR="00F35E11" w:rsidRPr="009F66A2" w:rsidRDefault="00F35E11" w:rsidP="009F66A2">
            <w:pPr>
              <w:pStyle w:val="Paragraphe"/>
              <w:ind w:left="-56"/>
              <w:rPr>
                <w:sz w:val="18"/>
                <w:szCs w:val="18"/>
              </w:rPr>
            </w:pPr>
            <w:r w:rsidRPr="00362BB1">
              <w:rPr>
                <w:sz w:val="18"/>
                <w:szCs w:val="18"/>
              </w:rPr>
              <w:t xml:space="preserve">Demande au Secrétariat général de transmettre au préalable les Termes de référence et la note conceptuelle de la Conférence des femmes organisée par la Région Réunion en précisant les actions qui engagent le Secrétariat général de la COI. </w:t>
            </w:r>
          </w:p>
        </w:tc>
        <w:tc>
          <w:tcPr>
            <w:tcW w:w="1455" w:type="dxa"/>
          </w:tcPr>
          <w:p w14:paraId="1275207A" w14:textId="77777777" w:rsidR="00F35E11" w:rsidRPr="00362BB1" w:rsidRDefault="00F35E11" w:rsidP="005803FB">
            <w:pPr>
              <w:jc w:val="center"/>
              <w:rPr>
                <w:rFonts w:ascii="Verdana" w:hAnsi="Verdana"/>
                <w:sz w:val="18"/>
                <w:szCs w:val="18"/>
              </w:rPr>
            </w:pPr>
          </w:p>
        </w:tc>
        <w:tc>
          <w:tcPr>
            <w:tcW w:w="4513" w:type="dxa"/>
          </w:tcPr>
          <w:p w14:paraId="36BBE637" w14:textId="77777777" w:rsidR="00F35E11" w:rsidRDefault="258E2C58" w:rsidP="00ED57C0">
            <w:pPr>
              <w:jc w:val="both"/>
              <w:rPr>
                <w:rFonts w:ascii="Verdana" w:hAnsi="Verdana"/>
                <w:sz w:val="18"/>
                <w:szCs w:val="18"/>
              </w:rPr>
            </w:pPr>
            <w:r w:rsidRPr="48BE4D71">
              <w:rPr>
                <w:rFonts w:ascii="Verdana" w:hAnsi="Verdana"/>
                <w:sz w:val="18"/>
                <w:szCs w:val="18"/>
              </w:rPr>
              <w:t>La note conceptuelle est en cours de finalisation avec la Région Réunion</w:t>
            </w:r>
            <w:r w:rsidR="00ED57C0">
              <w:rPr>
                <w:rFonts w:ascii="Verdana" w:hAnsi="Verdana"/>
                <w:sz w:val="18"/>
                <w:szCs w:val="18"/>
              </w:rPr>
              <w:t xml:space="preserve"> et </w:t>
            </w:r>
            <w:r w:rsidRPr="48BE4D71">
              <w:rPr>
                <w:rFonts w:ascii="Verdana" w:hAnsi="Verdana"/>
                <w:sz w:val="18"/>
                <w:szCs w:val="18"/>
              </w:rPr>
              <w:t>sera transmise dès que possible.</w:t>
            </w:r>
          </w:p>
          <w:p w14:paraId="326BB293" w14:textId="22731DEC" w:rsidR="00576935" w:rsidRPr="00362BB1" w:rsidRDefault="00576935" w:rsidP="00ED57C0">
            <w:pPr>
              <w:jc w:val="both"/>
              <w:rPr>
                <w:rFonts w:ascii="Verdana" w:hAnsi="Verdana"/>
                <w:sz w:val="18"/>
                <w:szCs w:val="18"/>
              </w:rPr>
            </w:pPr>
            <w:r>
              <w:rPr>
                <w:rFonts w:ascii="Verdana" w:hAnsi="Verdana"/>
                <w:sz w:val="18"/>
                <w:szCs w:val="18"/>
              </w:rPr>
              <w:t xml:space="preserve">La Région Réunion </w:t>
            </w:r>
            <w:r w:rsidR="00907F4A">
              <w:rPr>
                <w:rFonts w:ascii="Verdana" w:hAnsi="Verdana"/>
                <w:sz w:val="18"/>
                <w:szCs w:val="18"/>
              </w:rPr>
              <w:t>a reporté la conférence pour mai 2026</w:t>
            </w:r>
          </w:p>
        </w:tc>
      </w:tr>
      <w:tr w:rsidR="00F35E11" w:rsidRPr="00362BB1" w14:paraId="332AF899" w14:textId="77777777" w:rsidTr="25137305">
        <w:tc>
          <w:tcPr>
            <w:tcW w:w="1843" w:type="dxa"/>
            <w:vMerge/>
          </w:tcPr>
          <w:p w14:paraId="0B116F60" w14:textId="77777777" w:rsidR="00F35E11" w:rsidRPr="00362BB1" w:rsidRDefault="00F35E11" w:rsidP="00644C2E">
            <w:pPr>
              <w:jc w:val="center"/>
              <w:rPr>
                <w:rFonts w:ascii="Verdana" w:hAnsi="Verdana"/>
                <w:sz w:val="18"/>
                <w:szCs w:val="18"/>
              </w:rPr>
            </w:pPr>
          </w:p>
        </w:tc>
        <w:tc>
          <w:tcPr>
            <w:tcW w:w="1365" w:type="dxa"/>
          </w:tcPr>
          <w:p w14:paraId="36EA6288" w14:textId="38D31326" w:rsidR="00F35E11" w:rsidRPr="00362BB1" w:rsidRDefault="00F35E11" w:rsidP="00644C2E">
            <w:pPr>
              <w:jc w:val="center"/>
              <w:rPr>
                <w:rFonts w:ascii="Verdana" w:hAnsi="Verdana"/>
                <w:sz w:val="18"/>
                <w:szCs w:val="18"/>
              </w:rPr>
            </w:pPr>
            <w:r>
              <w:rPr>
                <w:rFonts w:ascii="Verdana" w:hAnsi="Verdana"/>
                <w:sz w:val="18"/>
                <w:szCs w:val="18"/>
              </w:rPr>
              <w:t>39</w:t>
            </w:r>
            <w:r w:rsidRPr="00F35E11">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65C293B0" w14:textId="77777777" w:rsidR="00F35E11" w:rsidRPr="00F35E11" w:rsidRDefault="00F35E11" w:rsidP="009D4A2A">
            <w:pPr>
              <w:pStyle w:val="Paragraphe"/>
              <w:numPr>
                <w:ilvl w:val="2"/>
                <w:numId w:val="33"/>
              </w:numPr>
              <w:ind w:left="227" w:hanging="284"/>
              <w:rPr>
                <w:sz w:val="18"/>
                <w:szCs w:val="18"/>
              </w:rPr>
            </w:pPr>
            <w:r w:rsidRPr="00F35E11">
              <w:rPr>
                <w:sz w:val="18"/>
                <w:szCs w:val="18"/>
              </w:rPr>
              <w:t>Prend note de la création d’un Parlement régional des jeunes de l’Indianocéanie (PRJIO) à l’initiative de l’Association des Parlements des États membres de la COI ;</w:t>
            </w:r>
          </w:p>
          <w:p w14:paraId="74A8AC63" w14:textId="77777777" w:rsidR="00F35E11" w:rsidRPr="00F35E11" w:rsidRDefault="00F35E11" w:rsidP="009D4A2A">
            <w:pPr>
              <w:pStyle w:val="Paragraphe"/>
              <w:numPr>
                <w:ilvl w:val="2"/>
                <w:numId w:val="33"/>
              </w:numPr>
              <w:ind w:left="227" w:hanging="284"/>
              <w:rPr>
                <w:sz w:val="18"/>
                <w:szCs w:val="18"/>
              </w:rPr>
            </w:pPr>
            <w:r w:rsidRPr="00F35E11">
              <w:rPr>
                <w:sz w:val="18"/>
                <w:szCs w:val="18"/>
              </w:rPr>
              <w:t>Demande au Secrétariat général de fournir aux instances des informations additionnelles sur l’impact budgétaire de la pérennisation de l’Unité de Gouvernance dans une optique d’appropriation des acquis du projet GPS ;</w:t>
            </w:r>
          </w:p>
          <w:p w14:paraId="05EA4FEC" w14:textId="77777777" w:rsidR="00F35E11" w:rsidRPr="00F35E11" w:rsidRDefault="00F35E11" w:rsidP="009D4A2A">
            <w:pPr>
              <w:pStyle w:val="Paragraphe"/>
              <w:numPr>
                <w:ilvl w:val="2"/>
                <w:numId w:val="33"/>
              </w:numPr>
              <w:ind w:left="227" w:hanging="284"/>
              <w:rPr>
                <w:sz w:val="18"/>
                <w:szCs w:val="18"/>
              </w:rPr>
            </w:pPr>
            <w:r w:rsidRPr="00F35E11">
              <w:rPr>
                <w:sz w:val="18"/>
                <w:szCs w:val="18"/>
              </w:rPr>
              <w:t>Encourage le Secrétariat général à mobiliser des ressources supplémentaires pour l’Unité de Gouvernance à travers des actions de sensibilisation et de communication auprès des partenaires techniques et financiers potentiels ;</w:t>
            </w:r>
          </w:p>
          <w:p w14:paraId="58D2DF22" w14:textId="6B64532D" w:rsidR="00F35E11" w:rsidRPr="00F35E11" w:rsidRDefault="00F35E11" w:rsidP="009D4A2A">
            <w:pPr>
              <w:pStyle w:val="Paragraphe"/>
              <w:numPr>
                <w:ilvl w:val="2"/>
                <w:numId w:val="33"/>
              </w:numPr>
              <w:ind w:left="227" w:hanging="284"/>
              <w:rPr>
                <w:sz w:val="18"/>
                <w:szCs w:val="18"/>
              </w:rPr>
            </w:pPr>
            <w:r w:rsidRPr="00F35E11">
              <w:rPr>
                <w:sz w:val="18"/>
                <w:szCs w:val="18"/>
              </w:rPr>
              <w:t>Encourage l’Agence française de développement</w:t>
            </w:r>
            <w:r w:rsidR="008337DB">
              <w:rPr>
                <w:sz w:val="18"/>
                <w:szCs w:val="18"/>
              </w:rPr>
              <w:t xml:space="preserve"> </w:t>
            </w:r>
            <w:r w:rsidRPr="00F35E11">
              <w:rPr>
                <w:sz w:val="18"/>
                <w:szCs w:val="18"/>
              </w:rPr>
              <w:t xml:space="preserve">(AFD) à confirmer la formalisation de l’avenant en vue de l’extension sans coût additionnel de la Convention de financement du </w:t>
            </w:r>
            <w:r w:rsidRPr="00F35E11">
              <w:rPr>
                <w:sz w:val="18"/>
                <w:szCs w:val="18"/>
              </w:rPr>
              <w:lastRenderedPageBreak/>
              <w:t>projet GPS pour une durée de 12 mois, en concertation avec les États membres.</w:t>
            </w:r>
          </w:p>
        </w:tc>
        <w:tc>
          <w:tcPr>
            <w:tcW w:w="1455" w:type="dxa"/>
          </w:tcPr>
          <w:p w14:paraId="2CC7127D" w14:textId="77777777" w:rsidR="00F35E11" w:rsidRPr="00362BB1" w:rsidRDefault="00F35E11" w:rsidP="005803FB">
            <w:pPr>
              <w:jc w:val="center"/>
              <w:rPr>
                <w:rFonts w:ascii="Verdana" w:hAnsi="Verdana"/>
                <w:sz w:val="18"/>
                <w:szCs w:val="18"/>
              </w:rPr>
            </w:pPr>
          </w:p>
        </w:tc>
        <w:tc>
          <w:tcPr>
            <w:tcW w:w="4513" w:type="dxa"/>
          </w:tcPr>
          <w:p w14:paraId="6A2DBEAB" w14:textId="60994027" w:rsidR="00F35E11" w:rsidRPr="00362BB1" w:rsidRDefault="00F35E11" w:rsidP="48BE4D71">
            <w:pPr>
              <w:rPr>
                <w:rFonts w:ascii="Verdana" w:hAnsi="Verdana"/>
                <w:sz w:val="18"/>
                <w:szCs w:val="18"/>
              </w:rPr>
            </w:pPr>
          </w:p>
          <w:p w14:paraId="3040DC87" w14:textId="49743930" w:rsidR="00F35E11" w:rsidRPr="00362BB1" w:rsidRDefault="00F35E11" w:rsidP="48BE4D71">
            <w:pPr>
              <w:rPr>
                <w:rFonts w:ascii="Verdana" w:hAnsi="Verdana"/>
                <w:sz w:val="18"/>
                <w:szCs w:val="18"/>
              </w:rPr>
            </w:pPr>
          </w:p>
          <w:p w14:paraId="6392A31B" w14:textId="7A1A7B2C" w:rsidR="00F35E11" w:rsidRPr="00362BB1" w:rsidRDefault="00F35E11" w:rsidP="48BE4D71">
            <w:pPr>
              <w:rPr>
                <w:rFonts w:ascii="Verdana" w:hAnsi="Verdana"/>
                <w:sz w:val="18"/>
                <w:szCs w:val="18"/>
              </w:rPr>
            </w:pPr>
          </w:p>
          <w:p w14:paraId="60F20756" w14:textId="633551F1" w:rsidR="00F35E11" w:rsidRPr="00362BB1" w:rsidRDefault="13C82284" w:rsidP="00ED57C0">
            <w:pPr>
              <w:jc w:val="both"/>
              <w:rPr>
                <w:rFonts w:ascii="Verdana" w:hAnsi="Verdana"/>
                <w:sz w:val="18"/>
                <w:szCs w:val="18"/>
              </w:rPr>
            </w:pPr>
            <w:r w:rsidRPr="48BE4D71">
              <w:rPr>
                <w:rFonts w:ascii="Verdana" w:hAnsi="Verdana"/>
                <w:sz w:val="18"/>
                <w:szCs w:val="18"/>
              </w:rPr>
              <w:t>La stratégie de pérennisation est en cours de finalisation. Les d</w:t>
            </w:r>
            <w:r w:rsidR="00ED57C0">
              <w:rPr>
                <w:rFonts w:ascii="Verdana" w:hAnsi="Verdana"/>
                <w:sz w:val="18"/>
                <w:szCs w:val="18"/>
              </w:rPr>
              <w:t>é</w:t>
            </w:r>
            <w:r w:rsidRPr="48BE4D71">
              <w:rPr>
                <w:rFonts w:ascii="Verdana" w:hAnsi="Verdana"/>
                <w:sz w:val="18"/>
                <w:szCs w:val="18"/>
              </w:rPr>
              <w:t>tails sur l’impact bu</w:t>
            </w:r>
            <w:r w:rsidR="70CADEDF" w:rsidRPr="48BE4D71">
              <w:rPr>
                <w:rFonts w:ascii="Verdana" w:hAnsi="Verdana"/>
                <w:sz w:val="18"/>
                <w:szCs w:val="18"/>
              </w:rPr>
              <w:t>dg</w:t>
            </w:r>
            <w:r w:rsidR="00ED57C0">
              <w:rPr>
                <w:rFonts w:ascii="Verdana" w:hAnsi="Verdana"/>
                <w:sz w:val="18"/>
                <w:szCs w:val="18"/>
              </w:rPr>
              <w:t>é</w:t>
            </w:r>
            <w:r w:rsidR="70CADEDF" w:rsidRPr="48BE4D71">
              <w:rPr>
                <w:rFonts w:ascii="Verdana" w:hAnsi="Verdana"/>
                <w:sz w:val="18"/>
                <w:szCs w:val="18"/>
              </w:rPr>
              <w:t>taire seront communiqués dès que possible.</w:t>
            </w:r>
          </w:p>
          <w:p w14:paraId="5A7EB809" w14:textId="2F4955AD" w:rsidR="00F35E11" w:rsidRPr="00362BB1" w:rsidRDefault="00F35E11" w:rsidP="00ED57C0">
            <w:pPr>
              <w:jc w:val="both"/>
              <w:rPr>
                <w:rFonts w:ascii="Verdana" w:hAnsi="Verdana"/>
                <w:sz w:val="18"/>
                <w:szCs w:val="18"/>
              </w:rPr>
            </w:pPr>
          </w:p>
          <w:p w14:paraId="677F20BC" w14:textId="1FB14273" w:rsidR="00F35E11" w:rsidRPr="00362BB1" w:rsidRDefault="70CADEDF" w:rsidP="00ED57C0">
            <w:pPr>
              <w:jc w:val="both"/>
              <w:rPr>
                <w:rFonts w:ascii="Verdana" w:hAnsi="Verdana"/>
                <w:sz w:val="18"/>
                <w:szCs w:val="18"/>
              </w:rPr>
            </w:pPr>
            <w:r w:rsidRPr="48BE4D71">
              <w:rPr>
                <w:rFonts w:ascii="Verdana" w:hAnsi="Verdana"/>
                <w:sz w:val="18"/>
                <w:szCs w:val="18"/>
              </w:rPr>
              <w:t>Une stratégie de mobilisation de</w:t>
            </w:r>
            <w:r w:rsidR="00ED57C0">
              <w:rPr>
                <w:rFonts w:ascii="Verdana" w:hAnsi="Verdana"/>
                <w:sz w:val="18"/>
                <w:szCs w:val="18"/>
              </w:rPr>
              <w:t>s</w:t>
            </w:r>
            <w:r w:rsidRPr="48BE4D71">
              <w:rPr>
                <w:rFonts w:ascii="Verdana" w:hAnsi="Verdana"/>
                <w:sz w:val="18"/>
                <w:szCs w:val="18"/>
              </w:rPr>
              <w:t xml:space="preserve"> ressources fera l’objet du recrutement d’un consultant (en cours à travers </w:t>
            </w:r>
            <w:r w:rsidR="00ED57C0">
              <w:rPr>
                <w:rFonts w:ascii="Verdana" w:hAnsi="Verdana"/>
                <w:sz w:val="18"/>
                <w:szCs w:val="18"/>
              </w:rPr>
              <w:t>H</w:t>
            </w:r>
            <w:r w:rsidRPr="48BE4D71">
              <w:rPr>
                <w:rFonts w:ascii="Verdana" w:hAnsi="Verdana"/>
                <w:sz w:val="18"/>
                <w:szCs w:val="18"/>
              </w:rPr>
              <w:t>orizon 2030)</w:t>
            </w:r>
          </w:p>
          <w:p w14:paraId="0D7D739F" w14:textId="1B13088A" w:rsidR="00F35E11" w:rsidRPr="00362BB1" w:rsidRDefault="00F35E11" w:rsidP="00ED57C0">
            <w:pPr>
              <w:jc w:val="both"/>
              <w:rPr>
                <w:rFonts w:ascii="Verdana" w:hAnsi="Verdana"/>
                <w:sz w:val="18"/>
                <w:szCs w:val="18"/>
              </w:rPr>
            </w:pPr>
          </w:p>
          <w:p w14:paraId="6C1D17E7" w14:textId="4630D33F" w:rsidR="00F35E11" w:rsidRPr="00362BB1" w:rsidRDefault="6785553C" w:rsidP="00ED57C0">
            <w:pPr>
              <w:jc w:val="both"/>
              <w:rPr>
                <w:rFonts w:ascii="Verdana" w:hAnsi="Verdana"/>
                <w:sz w:val="18"/>
                <w:szCs w:val="18"/>
              </w:rPr>
            </w:pPr>
            <w:r w:rsidRPr="48BE4D71">
              <w:rPr>
                <w:rFonts w:ascii="Verdana" w:hAnsi="Verdana"/>
                <w:sz w:val="18"/>
                <w:szCs w:val="18"/>
              </w:rPr>
              <w:t>L’avenant a été signé</w:t>
            </w:r>
            <w:r w:rsidR="764C1D00" w:rsidRPr="48BE4D71">
              <w:rPr>
                <w:rFonts w:ascii="Verdana" w:hAnsi="Verdana"/>
                <w:sz w:val="18"/>
                <w:szCs w:val="18"/>
              </w:rPr>
              <w:t xml:space="preserve"> le 30 juin 2025 (</w:t>
            </w:r>
            <w:r w:rsidR="00ED57C0">
              <w:rPr>
                <w:rFonts w:ascii="Verdana" w:hAnsi="Verdana"/>
                <w:sz w:val="18"/>
                <w:szCs w:val="18"/>
              </w:rPr>
              <w:t>d</w:t>
            </w:r>
            <w:r w:rsidR="764C1D00" w:rsidRPr="48BE4D71">
              <w:rPr>
                <w:rFonts w:ascii="Verdana" w:hAnsi="Verdana"/>
                <w:sz w:val="18"/>
                <w:szCs w:val="18"/>
              </w:rPr>
              <w:t>écembre 2026).</w:t>
            </w:r>
          </w:p>
        </w:tc>
      </w:tr>
      <w:tr w:rsidR="00730166" w:rsidRPr="00362BB1" w14:paraId="667B0181" w14:textId="77777777" w:rsidTr="25137305">
        <w:trPr>
          <w:trHeight w:val="2625"/>
        </w:trPr>
        <w:tc>
          <w:tcPr>
            <w:tcW w:w="1843" w:type="dxa"/>
          </w:tcPr>
          <w:p w14:paraId="0B293AD0" w14:textId="1FDDC397" w:rsidR="00730166" w:rsidRPr="00362BB1" w:rsidRDefault="00730166" w:rsidP="00730166">
            <w:pPr>
              <w:jc w:val="center"/>
              <w:rPr>
                <w:rFonts w:ascii="Verdana" w:hAnsi="Verdana"/>
                <w:sz w:val="18"/>
                <w:szCs w:val="18"/>
              </w:rPr>
            </w:pPr>
            <w:r w:rsidRPr="00362BB1">
              <w:rPr>
                <w:rFonts w:ascii="Verdana" w:hAnsi="Verdana"/>
                <w:sz w:val="18"/>
                <w:szCs w:val="18"/>
              </w:rPr>
              <w:t>Plan régional de surveillance des pêches</w:t>
            </w:r>
          </w:p>
        </w:tc>
        <w:tc>
          <w:tcPr>
            <w:tcW w:w="1365" w:type="dxa"/>
          </w:tcPr>
          <w:p w14:paraId="47C1E43A" w14:textId="6DFCD6B7" w:rsidR="00730166" w:rsidRPr="00362BB1" w:rsidRDefault="00730166" w:rsidP="00730166">
            <w:pPr>
              <w:jc w:val="center"/>
              <w:rPr>
                <w:rFonts w:ascii="Verdana" w:hAnsi="Verdana"/>
                <w:sz w:val="18"/>
                <w:szCs w:val="18"/>
              </w:rPr>
            </w:pPr>
            <w:r>
              <w:rPr>
                <w:rFonts w:ascii="Verdana" w:hAnsi="Verdana"/>
                <w:sz w:val="18"/>
                <w:szCs w:val="18"/>
              </w:rPr>
              <w:t>39</w:t>
            </w:r>
            <w:r w:rsidRPr="00F35E11">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76B7FEAB" w14:textId="77777777" w:rsidR="00730166" w:rsidRPr="009F66A2" w:rsidRDefault="00730166" w:rsidP="00730166">
            <w:pPr>
              <w:pStyle w:val="Paragraphedeliste"/>
              <w:widowControl w:val="0"/>
              <w:numPr>
                <w:ilvl w:val="0"/>
                <w:numId w:val="34"/>
              </w:numPr>
              <w:ind w:left="227" w:hanging="284"/>
              <w:contextualSpacing w:val="0"/>
              <w:jc w:val="both"/>
              <w:rPr>
                <w:rFonts w:ascii="Verdana" w:hAnsi="Verdana"/>
                <w:sz w:val="18"/>
                <w:szCs w:val="18"/>
              </w:rPr>
            </w:pPr>
            <w:r w:rsidRPr="009F66A2">
              <w:rPr>
                <w:rFonts w:ascii="Verdana" w:hAnsi="Verdana"/>
                <w:sz w:val="18"/>
                <w:szCs w:val="18"/>
              </w:rPr>
              <w:t>Se félicite de la tenue de la troisième Conférence ministérielle des pêches du PRSP du 28 février 2025 aux Seychelles et de la signature de l’accord relatif à un arrangement administratif entre la COI et les États participants pour la mise en place et la gestion d’un Centre Régional de Coordination de Suivi, de Contrôle, de Surveillance et d'Observation des Pêches ;</w:t>
            </w:r>
          </w:p>
          <w:p w14:paraId="745D546B" w14:textId="753BE4AA" w:rsidR="00730166" w:rsidRPr="009F66A2" w:rsidRDefault="00730166" w:rsidP="00730166">
            <w:pPr>
              <w:pStyle w:val="Paragraphedeliste"/>
              <w:widowControl w:val="0"/>
              <w:numPr>
                <w:ilvl w:val="0"/>
                <w:numId w:val="34"/>
              </w:numPr>
              <w:ind w:left="227" w:hanging="284"/>
              <w:contextualSpacing w:val="0"/>
              <w:jc w:val="both"/>
              <w:rPr>
                <w:rFonts w:ascii="Verdana" w:eastAsia="Verdana" w:hAnsi="Verdana" w:cs="Courier New"/>
                <w:color w:val="000000"/>
                <w:sz w:val="18"/>
                <w:szCs w:val="18"/>
              </w:rPr>
            </w:pPr>
            <w:r w:rsidRPr="009F66A2">
              <w:rPr>
                <w:rFonts w:ascii="Verdana" w:hAnsi="Verdana"/>
                <w:sz w:val="18"/>
                <w:szCs w:val="18"/>
              </w:rPr>
              <w:t>Demande au Secrétariat de poursuivre les consultations avec les États participants en vue de la mise en œuvre effective des recommandations de la troisième Conférence ministérielle PRSP relatives à l’institutionnalisation et la pérennisation du PRSP avant la clôture du programme ECOFISH en septembre 2025.</w:t>
            </w:r>
          </w:p>
        </w:tc>
        <w:tc>
          <w:tcPr>
            <w:tcW w:w="1455" w:type="dxa"/>
          </w:tcPr>
          <w:p w14:paraId="3B7C746C" w14:textId="77777777" w:rsidR="00730166" w:rsidRPr="00362BB1" w:rsidRDefault="00730166" w:rsidP="00730166">
            <w:pPr>
              <w:jc w:val="center"/>
              <w:rPr>
                <w:rFonts w:ascii="Verdana" w:hAnsi="Verdana"/>
                <w:sz w:val="18"/>
                <w:szCs w:val="18"/>
              </w:rPr>
            </w:pPr>
          </w:p>
        </w:tc>
        <w:tc>
          <w:tcPr>
            <w:tcW w:w="4513" w:type="dxa"/>
          </w:tcPr>
          <w:p w14:paraId="3742D47F" w14:textId="77777777" w:rsidR="00730166" w:rsidRPr="00362BB1" w:rsidRDefault="00730166" w:rsidP="00730166">
            <w:pPr>
              <w:rPr>
                <w:rFonts w:ascii="Verdana" w:hAnsi="Verdana"/>
                <w:sz w:val="18"/>
                <w:szCs w:val="18"/>
              </w:rPr>
            </w:pPr>
          </w:p>
          <w:p w14:paraId="19DED87E" w14:textId="77777777" w:rsidR="00730166" w:rsidRPr="0017618F" w:rsidRDefault="00730166" w:rsidP="00730166">
            <w:pPr>
              <w:jc w:val="both"/>
              <w:rPr>
                <w:rFonts w:ascii="Verdana" w:hAnsi="Verdana"/>
                <w:sz w:val="18"/>
                <w:szCs w:val="18"/>
              </w:rPr>
            </w:pPr>
            <w:r w:rsidRPr="0017618F">
              <w:rPr>
                <w:rFonts w:ascii="Verdana" w:hAnsi="Verdana"/>
                <w:sz w:val="18"/>
                <w:szCs w:val="18"/>
              </w:rPr>
              <w:t>Réalisée (un suivi à faire sur les recommandations du COPIL du PRSP)</w:t>
            </w:r>
          </w:p>
          <w:p w14:paraId="7FDFE6BE" w14:textId="77777777" w:rsidR="00730166" w:rsidRPr="00874BB1" w:rsidRDefault="00730166" w:rsidP="00730166">
            <w:pPr>
              <w:jc w:val="both"/>
              <w:rPr>
                <w:rFonts w:ascii="Verdana" w:hAnsi="Verdana"/>
                <w:b/>
                <w:bCs/>
                <w:sz w:val="18"/>
                <w:szCs w:val="18"/>
              </w:rPr>
            </w:pPr>
          </w:p>
          <w:p w14:paraId="163F694D" w14:textId="77777777" w:rsidR="0017618F" w:rsidRDefault="00730166" w:rsidP="00730166">
            <w:pPr>
              <w:jc w:val="both"/>
              <w:rPr>
                <w:rFonts w:ascii="Verdana" w:hAnsi="Verdana"/>
                <w:sz w:val="18"/>
                <w:szCs w:val="18"/>
              </w:rPr>
            </w:pPr>
            <w:r w:rsidRPr="002E36AE">
              <w:rPr>
                <w:rFonts w:ascii="Verdana" w:hAnsi="Verdana"/>
                <w:sz w:val="18"/>
                <w:szCs w:val="18"/>
              </w:rPr>
              <w:t xml:space="preserve">Les deux consultations avec les </w:t>
            </w:r>
            <w:r w:rsidR="0017618F" w:rsidRPr="002E36AE">
              <w:rPr>
                <w:rFonts w:ascii="Verdana" w:hAnsi="Verdana"/>
                <w:sz w:val="18"/>
                <w:szCs w:val="18"/>
              </w:rPr>
              <w:t>États</w:t>
            </w:r>
            <w:r w:rsidRPr="002E36AE">
              <w:rPr>
                <w:rFonts w:ascii="Verdana" w:hAnsi="Verdana"/>
                <w:sz w:val="18"/>
                <w:szCs w:val="18"/>
              </w:rPr>
              <w:t xml:space="preserve"> participants ont été bouclées. </w:t>
            </w:r>
          </w:p>
          <w:p w14:paraId="308B2E46" w14:textId="32B5014C" w:rsidR="00730166" w:rsidRPr="00362BB1" w:rsidRDefault="00730166" w:rsidP="00730166">
            <w:pPr>
              <w:jc w:val="both"/>
              <w:rPr>
                <w:rFonts w:ascii="Verdana" w:hAnsi="Verdana"/>
                <w:sz w:val="18"/>
                <w:szCs w:val="18"/>
              </w:rPr>
            </w:pPr>
            <w:r w:rsidRPr="002E36AE">
              <w:rPr>
                <w:rFonts w:ascii="Verdana" w:hAnsi="Verdana"/>
                <w:sz w:val="18"/>
                <w:szCs w:val="18"/>
              </w:rPr>
              <w:t>La feuille de route en vue de l’institutionnalisation du PRSP sera soumise pour validation aux membres du COPIL PRSP à l’occasion de leur prochaine réunion prévue pour les 25 et 26 ao</w:t>
            </w:r>
            <w:r w:rsidR="0017618F">
              <w:rPr>
                <w:rFonts w:ascii="Verdana" w:hAnsi="Verdana"/>
                <w:sz w:val="18"/>
                <w:szCs w:val="18"/>
              </w:rPr>
              <w:t>û</w:t>
            </w:r>
            <w:r w:rsidRPr="002E36AE">
              <w:rPr>
                <w:rFonts w:ascii="Verdana" w:hAnsi="Verdana"/>
                <w:sz w:val="18"/>
                <w:szCs w:val="18"/>
              </w:rPr>
              <w:t>t prochain</w:t>
            </w:r>
            <w:r w:rsidR="0017618F">
              <w:rPr>
                <w:rFonts w:ascii="Verdana" w:hAnsi="Verdana"/>
                <w:sz w:val="18"/>
                <w:szCs w:val="18"/>
              </w:rPr>
              <w:t>s</w:t>
            </w:r>
            <w:r w:rsidRPr="002E36AE">
              <w:rPr>
                <w:rFonts w:ascii="Verdana" w:hAnsi="Verdana"/>
                <w:sz w:val="18"/>
                <w:szCs w:val="18"/>
              </w:rPr>
              <w:t>.</w:t>
            </w:r>
          </w:p>
        </w:tc>
      </w:tr>
      <w:tr w:rsidR="00730166" w:rsidRPr="00362BB1" w14:paraId="0DBE8BD0" w14:textId="77777777" w:rsidTr="25137305">
        <w:tc>
          <w:tcPr>
            <w:tcW w:w="1843" w:type="dxa"/>
          </w:tcPr>
          <w:p w14:paraId="243FF5F3" w14:textId="77777777" w:rsidR="00730166" w:rsidRPr="00362BB1" w:rsidRDefault="00730166" w:rsidP="00730166">
            <w:pPr>
              <w:pStyle w:val="Paragraphedeliste"/>
              <w:ind w:left="0"/>
              <w:contextualSpacing w:val="0"/>
              <w:jc w:val="center"/>
              <w:rPr>
                <w:rFonts w:ascii="Verdana" w:hAnsi="Verdana"/>
                <w:sz w:val="18"/>
                <w:szCs w:val="18"/>
              </w:rPr>
            </w:pPr>
            <w:r w:rsidRPr="00362BB1">
              <w:rPr>
                <w:rFonts w:ascii="Verdana" w:eastAsia="Times New Roman" w:hAnsi="Verdana"/>
                <w:sz w:val="18"/>
                <w:szCs w:val="18"/>
              </w:rPr>
              <w:t>Sécurité alimentaire et nutrition</w:t>
            </w:r>
          </w:p>
          <w:p w14:paraId="17F5960C" w14:textId="77777777" w:rsidR="00730166" w:rsidRPr="00362BB1" w:rsidRDefault="00730166" w:rsidP="00730166">
            <w:pPr>
              <w:jc w:val="center"/>
              <w:rPr>
                <w:rFonts w:ascii="Verdana" w:hAnsi="Verdana"/>
                <w:sz w:val="18"/>
                <w:szCs w:val="18"/>
              </w:rPr>
            </w:pPr>
          </w:p>
        </w:tc>
        <w:tc>
          <w:tcPr>
            <w:tcW w:w="1365" w:type="dxa"/>
          </w:tcPr>
          <w:p w14:paraId="4389F837" w14:textId="5527EA59" w:rsidR="00730166" w:rsidRPr="00362BB1" w:rsidRDefault="00730166" w:rsidP="00730166">
            <w:pPr>
              <w:jc w:val="center"/>
              <w:rPr>
                <w:rFonts w:ascii="Verdana" w:hAnsi="Verdana"/>
                <w:sz w:val="18"/>
                <w:szCs w:val="18"/>
              </w:rPr>
            </w:pPr>
            <w:r>
              <w:rPr>
                <w:rFonts w:ascii="Verdana" w:hAnsi="Verdana"/>
                <w:sz w:val="18"/>
                <w:szCs w:val="18"/>
              </w:rPr>
              <w:t>39</w:t>
            </w:r>
            <w:r w:rsidRPr="00F35E11">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5220940E" w14:textId="77777777" w:rsidR="00730166" w:rsidRPr="00F35E11" w:rsidRDefault="00730166" w:rsidP="00730166">
            <w:pPr>
              <w:pStyle w:val="Paragraphe"/>
              <w:numPr>
                <w:ilvl w:val="0"/>
                <w:numId w:val="15"/>
              </w:numPr>
              <w:ind w:left="229" w:hanging="284"/>
              <w:rPr>
                <w:sz w:val="18"/>
                <w:szCs w:val="18"/>
              </w:rPr>
            </w:pPr>
            <w:r w:rsidRPr="00F35E11">
              <w:rPr>
                <w:sz w:val="18"/>
                <w:szCs w:val="18"/>
              </w:rPr>
              <w:t>Se félicite de la tenue de la conférence ministérielle sur la sécurité alimentaire et nutrition des États membres de la COI le 21 mars 2025 à Antananarivo et remercie chaleureusement la FAO pour son appui technique dans l’organisation de ladite conférence ;</w:t>
            </w:r>
          </w:p>
          <w:p w14:paraId="46DCB161" w14:textId="77777777" w:rsidR="00730166" w:rsidRPr="00F35E11" w:rsidRDefault="00730166" w:rsidP="00730166">
            <w:pPr>
              <w:pStyle w:val="Paragraphe"/>
              <w:numPr>
                <w:ilvl w:val="0"/>
                <w:numId w:val="15"/>
              </w:numPr>
              <w:ind w:left="229" w:hanging="284"/>
              <w:rPr>
                <w:sz w:val="18"/>
                <w:szCs w:val="18"/>
              </w:rPr>
            </w:pPr>
            <w:r w:rsidRPr="00F35E11">
              <w:rPr>
                <w:sz w:val="18"/>
                <w:szCs w:val="18"/>
              </w:rPr>
              <w:t>Valide les recommandations de la déclaration ministérielle sur la sécurité alimentaire et la nutrition des États membres de la COI qui alimenteront les travaux du cinquième Sommet du 24 avril 2025 à Antananarivo ;</w:t>
            </w:r>
          </w:p>
          <w:p w14:paraId="1B8DBD58" w14:textId="77777777" w:rsidR="00730166" w:rsidRPr="00F35E11" w:rsidRDefault="00730166" w:rsidP="00730166">
            <w:pPr>
              <w:pStyle w:val="Paragraphe"/>
              <w:numPr>
                <w:ilvl w:val="0"/>
                <w:numId w:val="15"/>
              </w:numPr>
              <w:ind w:left="229" w:hanging="284"/>
              <w:rPr>
                <w:sz w:val="18"/>
                <w:szCs w:val="18"/>
              </w:rPr>
            </w:pPr>
            <w:r w:rsidRPr="00F35E11">
              <w:rPr>
                <w:sz w:val="18"/>
                <w:szCs w:val="18"/>
              </w:rPr>
              <w:t>Adopte le PRESAN comme cadre de référence régional des États membres de la COI en matière de sécurité alimentaire et de nutrition, et demande de le prendre en compte dans les politiques et stratégies nationales de développement des systèmes agricoles et alimentaires, contribuant au Plan de Développement Stratégique de la COI 2023-2033 ;</w:t>
            </w:r>
          </w:p>
          <w:p w14:paraId="27A58A0C" w14:textId="77777777" w:rsidR="00730166" w:rsidRPr="00F35E11" w:rsidRDefault="00730166" w:rsidP="00730166">
            <w:pPr>
              <w:pStyle w:val="Paragraphe"/>
              <w:numPr>
                <w:ilvl w:val="0"/>
                <w:numId w:val="15"/>
              </w:numPr>
              <w:ind w:left="229" w:hanging="284"/>
              <w:rPr>
                <w:sz w:val="18"/>
                <w:szCs w:val="18"/>
              </w:rPr>
            </w:pPr>
            <w:r w:rsidRPr="00F35E11">
              <w:rPr>
                <w:sz w:val="18"/>
                <w:szCs w:val="18"/>
              </w:rPr>
              <w:t>Demande au Secrétariat général de procéder à la mobilisation des ressources et des partenariats pour une mise en œuvre concrète des facilités du PRESAN, notamment l’Union européenne, le Fonds international pour le développement agricole (FIDA), le Fonds d’urgence des Nations unies pour l’enfance (UNICEF), l’Agence française de développement (AFD) et l’Organisation des Nations unies pour l’alimentation et l’agriculture (FAO) ;</w:t>
            </w:r>
          </w:p>
          <w:p w14:paraId="14ADC73A" w14:textId="77777777" w:rsidR="00730166" w:rsidRPr="00F35E11" w:rsidRDefault="00730166" w:rsidP="00730166">
            <w:pPr>
              <w:pStyle w:val="Paragraphe"/>
              <w:numPr>
                <w:ilvl w:val="0"/>
                <w:numId w:val="15"/>
              </w:numPr>
              <w:ind w:left="229" w:hanging="284"/>
              <w:rPr>
                <w:sz w:val="18"/>
                <w:szCs w:val="18"/>
              </w:rPr>
            </w:pPr>
            <w:r w:rsidRPr="00F35E11">
              <w:rPr>
                <w:sz w:val="18"/>
                <w:szCs w:val="18"/>
              </w:rPr>
              <w:t>Prend note des synergies entre les acteurs de la recherche de tous les États membres de la COI, travaillant notamment au sein de la Plateforme régionale en recherche agronomique pour le développement dans l’océan Indien (</w:t>
            </w:r>
            <w:proofErr w:type="spellStart"/>
            <w:r w:rsidRPr="00F35E11">
              <w:rPr>
                <w:sz w:val="18"/>
                <w:szCs w:val="18"/>
              </w:rPr>
              <w:t>PRéRAD</w:t>
            </w:r>
            <w:proofErr w:type="spellEnd"/>
            <w:r w:rsidRPr="00F35E11">
              <w:rPr>
                <w:sz w:val="18"/>
                <w:szCs w:val="18"/>
              </w:rPr>
              <w:t xml:space="preserve">-OI) ; </w:t>
            </w:r>
          </w:p>
          <w:p w14:paraId="69C0BFE1" w14:textId="77777777" w:rsidR="00730166" w:rsidRPr="00F35E11" w:rsidRDefault="00730166" w:rsidP="00730166">
            <w:pPr>
              <w:pStyle w:val="Paragraphe"/>
              <w:numPr>
                <w:ilvl w:val="0"/>
                <w:numId w:val="15"/>
              </w:numPr>
              <w:ind w:left="229" w:hanging="284"/>
              <w:rPr>
                <w:sz w:val="18"/>
                <w:szCs w:val="18"/>
              </w:rPr>
            </w:pPr>
            <w:r w:rsidRPr="00F35E11">
              <w:rPr>
                <w:sz w:val="18"/>
                <w:szCs w:val="18"/>
              </w:rPr>
              <w:t xml:space="preserve">Encourage le Secrétariat général à poursuivre les consultations avec les États membres en vue de l’établissement d’un </w:t>
            </w:r>
            <w:r w:rsidRPr="00F35E11">
              <w:rPr>
                <w:sz w:val="18"/>
                <w:szCs w:val="18"/>
              </w:rPr>
              <w:lastRenderedPageBreak/>
              <w:t>protocole d’accord avec la FAO pour la mise en œuvre du PRESAN ;</w:t>
            </w:r>
          </w:p>
          <w:p w14:paraId="228E0357" w14:textId="77777777" w:rsidR="00730166" w:rsidRPr="00F35E11" w:rsidRDefault="00730166" w:rsidP="00730166">
            <w:pPr>
              <w:pStyle w:val="Paragraphe"/>
              <w:numPr>
                <w:ilvl w:val="0"/>
                <w:numId w:val="15"/>
              </w:numPr>
              <w:ind w:left="229" w:hanging="284"/>
              <w:rPr>
                <w:sz w:val="18"/>
                <w:szCs w:val="18"/>
              </w:rPr>
            </w:pPr>
            <w:r w:rsidRPr="00F35E11">
              <w:rPr>
                <w:sz w:val="18"/>
                <w:szCs w:val="18"/>
              </w:rPr>
              <w:t>Confirme le plaidoyer auprès des investisseurs nationaux et internationaux, des partenaires financiers et des donateurs pour soutenir financièrement la mise en œuvre du PRESAN et les projets liés à la sécurité alimentaire et à la nutrition dans les États membres de la COI ;</w:t>
            </w:r>
          </w:p>
          <w:p w14:paraId="3D22E9F6" w14:textId="77777777" w:rsidR="00730166" w:rsidRPr="00F35E11" w:rsidRDefault="00730166" w:rsidP="00730166">
            <w:pPr>
              <w:pStyle w:val="Paragraphe"/>
              <w:numPr>
                <w:ilvl w:val="0"/>
                <w:numId w:val="15"/>
              </w:numPr>
              <w:ind w:left="229" w:hanging="284"/>
              <w:rPr>
                <w:sz w:val="18"/>
                <w:szCs w:val="18"/>
              </w:rPr>
            </w:pPr>
            <w:r w:rsidRPr="00F35E11">
              <w:rPr>
                <w:sz w:val="18"/>
                <w:szCs w:val="18"/>
              </w:rPr>
              <w:t>Se félicite des réalisations du programme régional d’appui à la sécurité alimentaire et nutritionnelle (SANOI) et remercier l’Union européenne pour son appui technique et financier à l’atteinte des objectifs de ce programme ;</w:t>
            </w:r>
          </w:p>
          <w:p w14:paraId="1F04361E" w14:textId="6734B06B" w:rsidR="00730166" w:rsidRPr="00F35E11" w:rsidRDefault="00730166" w:rsidP="00730166">
            <w:pPr>
              <w:pStyle w:val="Paragraphe"/>
              <w:numPr>
                <w:ilvl w:val="0"/>
                <w:numId w:val="15"/>
              </w:numPr>
              <w:ind w:left="229" w:hanging="284"/>
              <w:rPr>
                <w:sz w:val="18"/>
                <w:szCs w:val="18"/>
              </w:rPr>
            </w:pPr>
            <w:r w:rsidRPr="00F35E11">
              <w:rPr>
                <w:sz w:val="18"/>
                <w:szCs w:val="18"/>
              </w:rPr>
              <w:t xml:space="preserve">Encourage les États membres à capitaliser et pérenniser les réalisations et acquis du programme SANOI notamment les deux plateformes sur le système d'information sur l'agriculture et la sécurité alimentaire et nutritionnelle ainsi que le réseau des laboratoires officiels de contrôle des produits alimentaires des États membres de la COI. </w:t>
            </w:r>
          </w:p>
        </w:tc>
        <w:tc>
          <w:tcPr>
            <w:tcW w:w="1455" w:type="dxa"/>
          </w:tcPr>
          <w:p w14:paraId="7F9CD218" w14:textId="77777777" w:rsidR="00730166" w:rsidRPr="00362BB1" w:rsidRDefault="00730166" w:rsidP="00730166">
            <w:pPr>
              <w:jc w:val="center"/>
              <w:rPr>
                <w:rFonts w:ascii="Verdana" w:hAnsi="Verdana"/>
                <w:sz w:val="18"/>
                <w:szCs w:val="18"/>
              </w:rPr>
            </w:pPr>
          </w:p>
        </w:tc>
        <w:tc>
          <w:tcPr>
            <w:tcW w:w="4513" w:type="dxa"/>
          </w:tcPr>
          <w:p w14:paraId="1D080164" w14:textId="77777777" w:rsidR="008A703B" w:rsidRDefault="008A703B" w:rsidP="008A703B">
            <w:pPr>
              <w:rPr>
                <w:rFonts w:ascii="Verdana" w:hAnsi="Verdana"/>
                <w:b/>
                <w:bCs/>
                <w:sz w:val="18"/>
                <w:szCs w:val="18"/>
              </w:rPr>
            </w:pPr>
          </w:p>
          <w:p w14:paraId="04707E8B" w14:textId="77777777" w:rsidR="008A703B" w:rsidRDefault="008A703B" w:rsidP="008A703B">
            <w:pPr>
              <w:rPr>
                <w:rFonts w:ascii="Verdana" w:hAnsi="Verdana"/>
                <w:b/>
                <w:bCs/>
                <w:sz w:val="18"/>
                <w:szCs w:val="18"/>
              </w:rPr>
            </w:pPr>
          </w:p>
          <w:p w14:paraId="7DFC4185" w14:textId="77777777" w:rsidR="008A703B" w:rsidRDefault="008A703B" w:rsidP="008A703B">
            <w:pPr>
              <w:rPr>
                <w:rFonts w:ascii="Verdana" w:hAnsi="Verdana"/>
                <w:b/>
                <w:bCs/>
                <w:sz w:val="18"/>
                <w:szCs w:val="18"/>
              </w:rPr>
            </w:pPr>
          </w:p>
          <w:p w14:paraId="7DD951AF" w14:textId="77777777" w:rsidR="008A703B" w:rsidRDefault="008A703B" w:rsidP="008A703B">
            <w:pPr>
              <w:rPr>
                <w:rFonts w:ascii="Verdana" w:hAnsi="Verdana"/>
                <w:b/>
                <w:bCs/>
                <w:sz w:val="18"/>
                <w:szCs w:val="18"/>
              </w:rPr>
            </w:pPr>
          </w:p>
          <w:p w14:paraId="783A2A09" w14:textId="77777777" w:rsidR="008A703B" w:rsidRDefault="008A703B" w:rsidP="008A703B">
            <w:pPr>
              <w:rPr>
                <w:rFonts w:ascii="Verdana" w:hAnsi="Verdana"/>
                <w:b/>
                <w:bCs/>
                <w:sz w:val="18"/>
                <w:szCs w:val="18"/>
              </w:rPr>
            </w:pPr>
          </w:p>
          <w:p w14:paraId="3E82D3E8" w14:textId="77777777" w:rsidR="008A703B" w:rsidRDefault="008A703B" w:rsidP="008A703B">
            <w:pPr>
              <w:rPr>
                <w:rFonts w:ascii="Verdana" w:hAnsi="Verdana"/>
                <w:b/>
                <w:bCs/>
                <w:sz w:val="18"/>
                <w:szCs w:val="18"/>
              </w:rPr>
            </w:pPr>
          </w:p>
          <w:p w14:paraId="244DA811" w14:textId="77777777" w:rsidR="008A703B" w:rsidRDefault="008A703B" w:rsidP="008A703B">
            <w:pPr>
              <w:rPr>
                <w:rFonts w:ascii="Verdana" w:hAnsi="Verdana"/>
                <w:b/>
                <w:bCs/>
                <w:sz w:val="18"/>
                <w:szCs w:val="18"/>
              </w:rPr>
            </w:pPr>
          </w:p>
          <w:p w14:paraId="61977D00" w14:textId="77777777" w:rsidR="008A703B" w:rsidRDefault="008A703B" w:rsidP="008A703B">
            <w:pPr>
              <w:rPr>
                <w:rFonts w:ascii="Verdana" w:hAnsi="Verdana"/>
                <w:b/>
                <w:bCs/>
                <w:sz w:val="18"/>
                <w:szCs w:val="18"/>
              </w:rPr>
            </w:pPr>
          </w:p>
          <w:p w14:paraId="157273CD" w14:textId="77777777" w:rsidR="008A703B" w:rsidRDefault="008A703B" w:rsidP="008A703B">
            <w:pPr>
              <w:rPr>
                <w:rFonts w:ascii="Verdana" w:hAnsi="Verdana"/>
                <w:b/>
                <w:bCs/>
                <w:sz w:val="18"/>
                <w:szCs w:val="18"/>
              </w:rPr>
            </w:pPr>
          </w:p>
          <w:p w14:paraId="0F62BD07" w14:textId="77777777" w:rsidR="008A703B" w:rsidRDefault="008A703B" w:rsidP="008A703B">
            <w:pPr>
              <w:rPr>
                <w:rFonts w:ascii="Verdana" w:hAnsi="Verdana"/>
                <w:b/>
                <w:bCs/>
                <w:sz w:val="18"/>
                <w:szCs w:val="18"/>
              </w:rPr>
            </w:pPr>
          </w:p>
          <w:p w14:paraId="79EBB055" w14:textId="77777777" w:rsidR="008A703B" w:rsidRDefault="008A703B" w:rsidP="008A703B">
            <w:pPr>
              <w:rPr>
                <w:rFonts w:ascii="Verdana" w:hAnsi="Verdana"/>
                <w:b/>
                <w:bCs/>
                <w:sz w:val="18"/>
                <w:szCs w:val="18"/>
              </w:rPr>
            </w:pPr>
          </w:p>
          <w:p w14:paraId="522C9C83" w14:textId="77777777" w:rsidR="008A703B" w:rsidRDefault="008A703B" w:rsidP="008A703B">
            <w:pPr>
              <w:rPr>
                <w:rFonts w:ascii="Verdana" w:hAnsi="Verdana"/>
                <w:b/>
                <w:bCs/>
                <w:sz w:val="18"/>
                <w:szCs w:val="18"/>
              </w:rPr>
            </w:pPr>
          </w:p>
          <w:p w14:paraId="238BF409" w14:textId="77777777" w:rsidR="008A703B" w:rsidRDefault="008A703B" w:rsidP="008A703B">
            <w:pPr>
              <w:rPr>
                <w:rFonts w:ascii="Verdana" w:hAnsi="Verdana"/>
                <w:b/>
                <w:bCs/>
                <w:sz w:val="18"/>
                <w:szCs w:val="18"/>
              </w:rPr>
            </w:pPr>
          </w:p>
          <w:p w14:paraId="50739A21" w14:textId="77777777" w:rsidR="008A703B" w:rsidRDefault="008A703B" w:rsidP="008A703B">
            <w:pPr>
              <w:rPr>
                <w:rFonts w:ascii="Verdana" w:hAnsi="Verdana"/>
                <w:b/>
                <w:bCs/>
                <w:sz w:val="18"/>
                <w:szCs w:val="18"/>
              </w:rPr>
            </w:pPr>
          </w:p>
          <w:p w14:paraId="3E6019FC" w14:textId="3FCC742F" w:rsidR="008A703B" w:rsidRPr="008A703B" w:rsidRDefault="008A703B" w:rsidP="008A703B">
            <w:pPr>
              <w:rPr>
                <w:rFonts w:ascii="Verdana" w:hAnsi="Verdana"/>
                <w:sz w:val="18"/>
                <w:szCs w:val="18"/>
              </w:rPr>
            </w:pPr>
            <w:r w:rsidRPr="008A703B">
              <w:rPr>
                <w:rFonts w:ascii="Verdana" w:hAnsi="Verdana"/>
                <w:sz w:val="18"/>
                <w:szCs w:val="18"/>
              </w:rPr>
              <w:t xml:space="preserve">d) la mobilisation de ressources et partenariat </w:t>
            </w:r>
            <w:r>
              <w:rPr>
                <w:rFonts w:ascii="Verdana" w:hAnsi="Verdana"/>
                <w:sz w:val="18"/>
                <w:szCs w:val="18"/>
              </w:rPr>
              <w:t>est</w:t>
            </w:r>
            <w:r w:rsidRPr="008A703B">
              <w:rPr>
                <w:rFonts w:ascii="Verdana" w:hAnsi="Verdana"/>
                <w:sz w:val="18"/>
                <w:szCs w:val="18"/>
              </w:rPr>
              <w:t xml:space="preserve"> en cours </w:t>
            </w:r>
          </w:p>
          <w:p w14:paraId="69138770" w14:textId="02FE3DC7" w:rsidR="008A703B" w:rsidRPr="008A703B" w:rsidRDefault="008A703B" w:rsidP="008A703B">
            <w:pPr>
              <w:pStyle w:val="Paragraphedeliste"/>
              <w:numPr>
                <w:ilvl w:val="0"/>
                <w:numId w:val="39"/>
              </w:numPr>
              <w:ind w:left="352" w:hanging="283"/>
              <w:rPr>
                <w:rFonts w:ascii="Verdana" w:hAnsi="Verdana"/>
              </w:rPr>
            </w:pPr>
            <w:r w:rsidRPr="008A703B">
              <w:rPr>
                <w:rFonts w:eastAsiaTheme="minorEastAsia"/>
              </w:rPr>
              <w:t xml:space="preserve">Recrutement d’un expert sous Horizon 2030 </w:t>
            </w:r>
          </w:p>
          <w:p w14:paraId="2D3FC355" w14:textId="77777777" w:rsidR="008A703B" w:rsidRPr="008A703B" w:rsidRDefault="008A703B" w:rsidP="008A703B">
            <w:pPr>
              <w:pStyle w:val="Paragraphedeliste"/>
              <w:numPr>
                <w:ilvl w:val="0"/>
                <w:numId w:val="39"/>
              </w:numPr>
              <w:ind w:left="352" w:hanging="283"/>
              <w:rPr>
                <w:rFonts w:ascii="Verdana" w:hAnsi="Verdana"/>
              </w:rPr>
            </w:pPr>
            <w:r w:rsidRPr="008A703B">
              <w:rPr>
                <w:rFonts w:eastAsiaTheme="minorEastAsia"/>
              </w:rPr>
              <w:t>Participation au prochain forum d’investissement à Harare/ Rome</w:t>
            </w:r>
          </w:p>
          <w:p w14:paraId="02356016" w14:textId="77777777" w:rsidR="008A703B" w:rsidRPr="008A703B" w:rsidRDefault="008A703B" w:rsidP="008A703B">
            <w:pPr>
              <w:pStyle w:val="Paragraphedeliste"/>
              <w:numPr>
                <w:ilvl w:val="0"/>
                <w:numId w:val="39"/>
              </w:numPr>
              <w:ind w:left="352" w:hanging="283"/>
              <w:rPr>
                <w:rFonts w:ascii="Verdana" w:hAnsi="Verdana"/>
              </w:rPr>
            </w:pPr>
            <w:r w:rsidRPr="008A703B">
              <w:rPr>
                <w:rFonts w:eastAsiaTheme="minorEastAsia"/>
              </w:rPr>
              <w:t xml:space="preserve">Poursuite des consultations avec UNICEF en vue d’un </w:t>
            </w:r>
            <w:proofErr w:type="spellStart"/>
            <w:r w:rsidRPr="008A703B">
              <w:rPr>
                <w:rFonts w:eastAsiaTheme="minorEastAsia"/>
              </w:rPr>
              <w:t>MoU</w:t>
            </w:r>
            <w:proofErr w:type="spellEnd"/>
          </w:p>
          <w:p w14:paraId="54B3D50D" w14:textId="77777777" w:rsidR="008A703B" w:rsidRDefault="008A703B" w:rsidP="008A703B">
            <w:pPr>
              <w:ind w:left="708"/>
              <w:rPr>
                <w:rFonts w:ascii="Verdana" w:hAnsi="Verdana"/>
              </w:rPr>
            </w:pPr>
          </w:p>
          <w:p w14:paraId="37A86520" w14:textId="77777777" w:rsidR="008A703B" w:rsidRDefault="008A703B" w:rsidP="008A703B">
            <w:pPr>
              <w:ind w:left="708"/>
              <w:rPr>
                <w:rFonts w:ascii="Verdana" w:hAnsi="Verdana"/>
              </w:rPr>
            </w:pPr>
          </w:p>
          <w:p w14:paraId="6E32D765" w14:textId="77777777" w:rsidR="008A703B" w:rsidRPr="008A703B" w:rsidRDefault="008A703B" w:rsidP="008A703B">
            <w:pPr>
              <w:ind w:left="708"/>
              <w:rPr>
                <w:rFonts w:ascii="Verdana" w:hAnsi="Verdana"/>
              </w:rPr>
            </w:pPr>
          </w:p>
          <w:p w14:paraId="3E34E193" w14:textId="63A6D7CA" w:rsidR="00730166" w:rsidRPr="00362BB1" w:rsidRDefault="008A703B" w:rsidP="008A703B">
            <w:pPr>
              <w:rPr>
                <w:rFonts w:ascii="Verdana" w:hAnsi="Verdana"/>
                <w:sz w:val="18"/>
                <w:szCs w:val="18"/>
              </w:rPr>
            </w:pPr>
            <w:r w:rsidRPr="008A703B">
              <w:rPr>
                <w:rFonts w:eastAsiaTheme="minorEastAsia"/>
              </w:rPr>
              <w:t>f) En cours</w:t>
            </w:r>
            <w:r>
              <w:rPr>
                <w:rFonts w:eastAsiaTheme="minorEastAsia"/>
              </w:rPr>
              <w:t xml:space="preserve"> : </w:t>
            </w:r>
            <w:r w:rsidRPr="00874BB1">
              <w:rPr>
                <w:rFonts w:eastAsiaTheme="minorEastAsia"/>
              </w:rPr>
              <w:t xml:space="preserve">en attente de la validation des États membres </w:t>
            </w:r>
            <w:r>
              <w:rPr>
                <w:rFonts w:eastAsiaTheme="minorEastAsia"/>
              </w:rPr>
              <w:t>pour la f</w:t>
            </w:r>
            <w:r w:rsidRPr="00874BB1">
              <w:rPr>
                <w:rFonts w:eastAsiaTheme="minorEastAsia"/>
              </w:rPr>
              <w:t xml:space="preserve">inalisation du </w:t>
            </w:r>
            <w:proofErr w:type="spellStart"/>
            <w:r w:rsidRPr="00874BB1">
              <w:rPr>
                <w:rFonts w:eastAsiaTheme="minorEastAsia"/>
              </w:rPr>
              <w:t>MoU</w:t>
            </w:r>
            <w:proofErr w:type="spellEnd"/>
            <w:r w:rsidRPr="00874BB1">
              <w:rPr>
                <w:rFonts w:eastAsiaTheme="minorEastAsia"/>
              </w:rPr>
              <w:t xml:space="preserve"> avec la FAO</w:t>
            </w:r>
          </w:p>
        </w:tc>
      </w:tr>
      <w:tr w:rsidR="00730166" w:rsidRPr="00362BB1" w14:paraId="3C48364E" w14:textId="77777777" w:rsidTr="25137305">
        <w:tc>
          <w:tcPr>
            <w:tcW w:w="1843" w:type="dxa"/>
          </w:tcPr>
          <w:p w14:paraId="024F47B0" w14:textId="77777777" w:rsidR="00730166" w:rsidRPr="00362BB1" w:rsidRDefault="00730166" w:rsidP="00730166">
            <w:pPr>
              <w:pStyle w:val="Paragraphedeliste"/>
              <w:ind w:left="0"/>
              <w:contextualSpacing w:val="0"/>
              <w:jc w:val="center"/>
              <w:rPr>
                <w:rFonts w:ascii="Verdana" w:eastAsia="Times New Roman" w:hAnsi="Verdana"/>
                <w:sz w:val="18"/>
                <w:szCs w:val="18"/>
              </w:rPr>
            </w:pPr>
            <w:r w:rsidRPr="00362BB1">
              <w:rPr>
                <w:rFonts w:ascii="Verdana" w:eastAsia="Times New Roman" w:hAnsi="Verdana"/>
                <w:sz w:val="18"/>
                <w:szCs w:val="18"/>
              </w:rPr>
              <w:t>Financements climatiques</w:t>
            </w:r>
          </w:p>
          <w:p w14:paraId="62066202" w14:textId="77777777" w:rsidR="00730166" w:rsidRPr="00362BB1" w:rsidRDefault="00730166" w:rsidP="00730166">
            <w:pPr>
              <w:jc w:val="center"/>
              <w:rPr>
                <w:rFonts w:ascii="Verdana" w:hAnsi="Verdana"/>
                <w:sz w:val="18"/>
                <w:szCs w:val="18"/>
              </w:rPr>
            </w:pPr>
          </w:p>
        </w:tc>
        <w:tc>
          <w:tcPr>
            <w:tcW w:w="1365" w:type="dxa"/>
          </w:tcPr>
          <w:p w14:paraId="29EAD074" w14:textId="2FA8C38B" w:rsidR="00730166" w:rsidRPr="00362BB1" w:rsidRDefault="00730166" w:rsidP="00730166">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22D398E6" w14:textId="77777777" w:rsidR="00730166" w:rsidRPr="00362BB1" w:rsidRDefault="00730166" w:rsidP="00730166">
            <w:pPr>
              <w:pStyle w:val="Paragraphe"/>
              <w:numPr>
                <w:ilvl w:val="0"/>
                <w:numId w:val="17"/>
              </w:numPr>
              <w:ind w:left="229" w:hanging="284"/>
              <w:rPr>
                <w:sz w:val="18"/>
                <w:szCs w:val="18"/>
              </w:rPr>
            </w:pPr>
            <w:r w:rsidRPr="00362BB1">
              <w:rPr>
                <w:sz w:val="18"/>
                <w:szCs w:val="18"/>
              </w:rPr>
              <w:t>Félicite le Secrétariat général pour les progrès réalisés en matière d’accès aux financements climatiques, notamment son accréditation auprès du Fonds vert pour le climat et demande au Secrétariat général :</w:t>
            </w:r>
          </w:p>
          <w:p w14:paraId="2A9D7BFC" w14:textId="77777777" w:rsidR="00730166" w:rsidRPr="00362BB1" w:rsidRDefault="00730166" w:rsidP="00730166">
            <w:pPr>
              <w:pStyle w:val="Paragraphe"/>
              <w:numPr>
                <w:ilvl w:val="0"/>
                <w:numId w:val="16"/>
              </w:numPr>
              <w:ind w:left="654" w:hanging="425"/>
              <w:rPr>
                <w:sz w:val="18"/>
                <w:szCs w:val="18"/>
              </w:rPr>
            </w:pPr>
            <w:r w:rsidRPr="00362BB1">
              <w:rPr>
                <w:sz w:val="18"/>
                <w:szCs w:val="18"/>
              </w:rPr>
              <w:t xml:space="preserve">De procéder à la signature de l’accord-cadre avec le Fonds vert pour le climat dans les meilleurs délais </w:t>
            </w:r>
          </w:p>
          <w:p w14:paraId="76AA3082" w14:textId="77777777" w:rsidR="00730166" w:rsidRPr="00362BB1" w:rsidRDefault="00730166" w:rsidP="00730166">
            <w:pPr>
              <w:pStyle w:val="Paragraphe"/>
              <w:numPr>
                <w:ilvl w:val="0"/>
                <w:numId w:val="16"/>
              </w:numPr>
              <w:ind w:left="654" w:hanging="425"/>
              <w:rPr>
                <w:sz w:val="18"/>
                <w:szCs w:val="18"/>
              </w:rPr>
            </w:pPr>
            <w:r w:rsidRPr="00362BB1">
              <w:rPr>
                <w:sz w:val="18"/>
                <w:szCs w:val="18"/>
              </w:rPr>
              <w:t xml:space="preserve">D’accélérer la démarche pour développer les projets régionaux en concertation avec les pays </w:t>
            </w:r>
          </w:p>
          <w:p w14:paraId="7A13F3BE" w14:textId="77777777" w:rsidR="00730166" w:rsidRPr="00362BB1" w:rsidRDefault="00730166" w:rsidP="00730166">
            <w:pPr>
              <w:pStyle w:val="Paragraphe"/>
              <w:numPr>
                <w:ilvl w:val="0"/>
                <w:numId w:val="16"/>
              </w:numPr>
              <w:ind w:left="654" w:hanging="425"/>
              <w:rPr>
                <w:sz w:val="18"/>
                <w:szCs w:val="18"/>
              </w:rPr>
            </w:pPr>
            <w:r w:rsidRPr="00362BB1">
              <w:rPr>
                <w:sz w:val="18"/>
                <w:szCs w:val="18"/>
              </w:rPr>
              <w:t>De veiller à une mise en œuvre efficace des projets « </w:t>
            </w:r>
            <w:proofErr w:type="spellStart"/>
            <w:r w:rsidRPr="00362BB1">
              <w:rPr>
                <w:sz w:val="18"/>
                <w:szCs w:val="18"/>
              </w:rPr>
              <w:t>Readiness</w:t>
            </w:r>
            <w:proofErr w:type="spellEnd"/>
            <w:r w:rsidRPr="00362BB1">
              <w:rPr>
                <w:sz w:val="18"/>
                <w:szCs w:val="18"/>
              </w:rPr>
              <w:t> »</w:t>
            </w:r>
          </w:p>
          <w:p w14:paraId="6A7ABE6D" w14:textId="77777777" w:rsidR="00730166" w:rsidRPr="00362BB1" w:rsidRDefault="00730166" w:rsidP="00730166">
            <w:pPr>
              <w:pStyle w:val="Paragraphe"/>
              <w:numPr>
                <w:ilvl w:val="0"/>
                <w:numId w:val="17"/>
              </w:numPr>
              <w:ind w:left="229" w:hanging="284"/>
              <w:rPr>
                <w:sz w:val="18"/>
                <w:szCs w:val="18"/>
              </w:rPr>
            </w:pPr>
            <w:r w:rsidRPr="00362BB1">
              <w:rPr>
                <w:sz w:val="18"/>
                <w:szCs w:val="18"/>
              </w:rPr>
              <w:t xml:space="preserve">Réitère sa demande au Secrétariat général de poursuivre sa démarche d’accréditation auprès du Fonds d’adaptation en vue de l’établissement d’un accord-cadre ; </w:t>
            </w:r>
          </w:p>
          <w:p w14:paraId="304BB0EF" w14:textId="06FBE0BA" w:rsidR="00730166" w:rsidRPr="00BD0961" w:rsidRDefault="00730166" w:rsidP="00730166">
            <w:pPr>
              <w:pStyle w:val="Paragraphe"/>
              <w:numPr>
                <w:ilvl w:val="0"/>
                <w:numId w:val="17"/>
              </w:numPr>
              <w:ind w:left="229" w:hanging="284"/>
              <w:rPr>
                <w:sz w:val="18"/>
                <w:szCs w:val="18"/>
              </w:rPr>
            </w:pPr>
            <w:r w:rsidRPr="00362BB1">
              <w:rPr>
                <w:sz w:val="18"/>
                <w:szCs w:val="18"/>
              </w:rPr>
              <w:t xml:space="preserve">Demande au Secrétariat général de continuer les échanges avec le Fonds OPEP, en concertation avec les États membres, sur les termes du </w:t>
            </w:r>
            <w:proofErr w:type="spellStart"/>
            <w:r w:rsidRPr="00362BB1">
              <w:rPr>
                <w:sz w:val="18"/>
                <w:szCs w:val="18"/>
              </w:rPr>
              <w:t>MoU</w:t>
            </w:r>
            <w:proofErr w:type="spellEnd"/>
            <w:r w:rsidRPr="00362BB1">
              <w:rPr>
                <w:sz w:val="18"/>
                <w:szCs w:val="18"/>
              </w:rPr>
              <w:t xml:space="preserve"> proposé et de l’accord de subvention avant fin mai 2025.</w:t>
            </w:r>
          </w:p>
        </w:tc>
        <w:tc>
          <w:tcPr>
            <w:tcW w:w="1455" w:type="dxa"/>
          </w:tcPr>
          <w:p w14:paraId="62CF7C8A" w14:textId="1A4C2583" w:rsidR="00730166" w:rsidRPr="00362BB1" w:rsidRDefault="00730166" w:rsidP="00730166">
            <w:pPr>
              <w:jc w:val="center"/>
              <w:rPr>
                <w:rFonts w:ascii="Verdana" w:hAnsi="Verdana"/>
                <w:sz w:val="18"/>
                <w:szCs w:val="18"/>
              </w:rPr>
            </w:pPr>
            <w:r w:rsidRPr="2CB75343">
              <w:rPr>
                <w:rFonts w:ascii="Verdana" w:hAnsi="Verdana"/>
                <w:sz w:val="18"/>
                <w:szCs w:val="18"/>
              </w:rPr>
              <w:t>CM- GB</w:t>
            </w:r>
          </w:p>
        </w:tc>
        <w:tc>
          <w:tcPr>
            <w:tcW w:w="4513" w:type="dxa"/>
          </w:tcPr>
          <w:p w14:paraId="39561D8C" w14:textId="0BBEF895" w:rsidR="00730166" w:rsidRDefault="00730166" w:rsidP="00730166">
            <w:pPr>
              <w:pStyle w:val="Paragraphedeliste"/>
              <w:numPr>
                <w:ilvl w:val="0"/>
                <w:numId w:val="6"/>
              </w:numPr>
              <w:ind w:left="213" w:hanging="283"/>
              <w:rPr>
                <w:rFonts w:ascii="Verdana" w:hAnsi="Verdana"/>
                <w:sz w:val="18"/>
                <w:szCs w:val="18"/>
              </w:rPr>
            </w:pPr>
          </w:p>
          <w:p w14:paraId="484AE7FD" w14:textId="06874917" w:rsidR="00730166" w:rsidRPr="00362BB1" w:rsidRDefault="00730166" w:rsidP="00730166">
            <w:pPr>
              <w:pStyle w:val="Paragraphedeliste"/>
              <w:ind w:left="355" w:hanging="283"/>
              <w:jc w:val="both"/>
              <w:rPr>
                <w:rFonts w:ascii="Verdana" w:hAnsi="Verdana"/>
                <w:sz w:val="18"/>
                <w:szCs w:val="18"/>
              </w:rPr>
            </w:pPr>
            <w:r w:rsidRPr="2CB75343">
              <w:rPr>
                <w:rFonts w:ascii="Verdana" w:hAnsi="Verdana"/>
                <w:sz w:val="18"/>
                <w:szCs w:val="18"/>
              </w:rPr>
              <w:t>i. L</w:t>
            </w:r>
            <w:r>
              <w:rPr>
                <w:rFonts w:ascii="Verdana" w:hAnsi="Verdana"/>
                <w:sz w:val="18"/>
                <w:szCs w:val="18"/>
              </w:rPr>
              <w:t>’</w:t>
            </w:r>
            <w:r w:rsidRPr="2CB75343">
              <w:rPr>
                <w:rFonts w:ascii="Verdana" w:hAnsi="Verdana"/>
                <w:sz w:val="18"/>
                <w:szCs w:val="18"/>
              </w:rPr>
              <w:t xml:space="preserve">accord est signé </w:t>
            </w:r>
            <w:r>
              <w:rPr>
                <w:rFonts w:ascii="Verdana" w:hAnsi="Verdana"/>
                <w:sz w:val="18"/>
                <w:szCs w:val="18"/>
              </w:rPr>
              <w:t xml:space="preserve">le </w:t>
            </w:r>
            <w:r w:rsidRPr="2CB75343">
              <w:rPr>
                <w:rFonts w:ascii="Verdana" w:hAnsi="Verdana"/>
                <w:sz w:val="18"/>
                <w:szCs w:val="18"/>
              </w:rPr>
              <w:t>22</w:t>
            </w:r>
            <w:r>
              <w:rPr>
                <w:rFonts w:ascii="Verdana" w:hAnsi="Verdana"/>
                <w:sz w:val="18"/>
                <w:szCs w:val="18"/>
              </w:rPr>
              <w:t xml:space="preserve"> </w:t>
            </w:r>
            <w:r w:rsidRPr="2CB75343">
              <w:rPr>
                <w:rFonts w:ascii="Verdana" w:hAnsi="Verdana"/>
                <w:sz w:val="18"/>
                <w:szCs w:val="18"/>
              </w:rPr>
              <w:t>mai par les deux parties. Il reste à compléter l’avis juridique par la COI</w:t>
            </w:r>
            <w:r w:rsidRPr="37EE38B0">
              <w:rPr>
                <w:rFonts w:ascii="Verdana" w:hAnsi="Verdana"/>
                <w:sz w:val="18"/>
                <w:szCs w:val="18"/>
              </w:rPr>
              <w:t xml:space="preserve"> suite aux commentaires de GCF.</w:t>
            </w:r>
            <w:r w:rsidRPr="2CB75343">
              <w:rPr>
                <w:rFonts w:ascii="Verdana" w:hAnsi="Verdana"/>
                <w:sz w:val="18"/>
                <w:szCs w:val="18"/>
              </w:rPr>
              <w:t xml:space="preserve"> La juriste de la </w:t>
            </w:r>
            <w:r w:rsidRPr="7B399246">
              <w:rPr>
                <w:rFonts w:ascii="Verdana" w:hAnsi="Verdana"/>
                <w:sz w:val="18"/>
                <w:szCs w:val="18"/>
              </w:rPr>
              <w:t>COI</w:t>
            </w:r>
            <w:r w:rsidRPr="2CB75343">
              <w:rPr>
                <w:rFonts w:ascii="Verdana" w:hAnsi="Verdana"/>
                <w:sz w:val="18"/>
                <w:szCs w:val="18"/>
              </w:rPr>
              <w:t xml:space="preserve"> a été contacté</w:t>
            </w:r>
            <w:r>
              <w:rPr>
                <w:rFonts w:ascii="Verdana" w:hAnsi="Verdana"/>
                <w:sz w:val="18"/>
                <w:szCs w:val="18"/>
              </w:rPr>
              <w:t>e</w:t>
            </w:r>
            <w:r w:rsidRPr="2CB75343">
              <w:rPr>
                <w:rFonts w:ascii="Verdana" w:hAnsi="Verdana"/>
                <w:sz w:val="18"/>
                <w:szCs w:val="18"/>
              </w:rPr>
              <w:t xml:space="preserve"> - action en cours </w:t>
            </w:r>
          </w:p>
          <w:p w14:paraId="37D31855" w14:textId="4B4C9A50" w:rsidR="00730166" w:rsidRPr="00362BB1" w:rsidRDefault="00730166" w:rsidP="00730166">
            <w:pPr>
              <w:pStyle w:val="Paragraphedeliste"/>
              <w:ind w:left="355" w:hanging="283"/>
              <w:jc w:val="both"/>
              <w:rPr>
                <w:rFonts w:ascii="Verdana" w:hAnsi="Verdana"/>
                <w:sz w:val="18"/>
                <w:szCs w:val="18"/>
              </w:rPr>
            </w:pPr>
            <w:r w:rsidRPr="2CB75343">
              <w:rPr>
                <w:rFonts w:ascii="Verdana" w:hAnsi="Verdana"/>
                <w:sz w:val="18"/>
                <w:szCs w:val="18"/>
              </w:rPr>
              <w:t xml:space="preserve">ii. Programme à définir </w:t>
            </w:r>
          </w:p>
          <w:p w14:paraId="45E733E1" w14:textId="6201445D" w:rsidR="00730166" w:rsidRPr="00362BB1" w:rsidRDefault="00730166" w:rsidP="00730166">
            <w:pPr>
              <w:pStyle w:val="Paragraphedeliste"/>
              <w:ind w:left="355" w:hanging="283"/>
              <w:jc w:val="both"/>
              <w:rPr>
                <w:rFonts w:ascii="Verdana" w:hAnsi="Verdana"/>
                <w:sz w:val="18"/>
                <w:szCs w:val="18"/>
              </w:rPr>
            </w:pPr>
            <w:r w:rsidRPr="724F4C9F">
              <w:rPr>
                <w:rFonts w:ascii="Verdana" w:hAnsi="Verdana"/>
                <w:sz w:val="18"/>
                <w:szCs w:val="18"/>
              </w:rPr>
              <w:t xml:space="preserve">iii. Accord pour la mise en œuvre du projet est signé avec UNOPS pour un montant de 1.885 105USD ; DAO à lancer pour les recrutements des consultants en appui à la COI pour développer les projets et appui à la mise en œuvre du projet plan d'adaptation de Maurice </w:t>
            </w:r>
          </w:p>
          <w:p w14:paraId="0E231F74" w14:textId="1C0DE9A6" w:rsidR="00730166" w:rsidRPr="00362BB1" w:rsidRDefault="00730166" w:rsidP="00730166">
            <w:pPr>
              <w:pStyle w:val="Paragraphedeliste"/>
              <w:numPr>
                <w:ilvl w:val="0"/>
                <w:numId w:val="6"/>
              </w:numPr>
              <w:ind w:left="213" w:hanging="283"/>
              <w:rPr>
                <w:rFonts w:ascii="Verdana" w:hAnsi="Verdana"/>
                <w:sz w:val="18"/>
                <w:szCs w:val="18"/>
              </w:rPr>
            </w:pPr>
            <w:r w:rsidRPr="2CB75343">
              <w:rPr>
                <w:rFonts w:ascii="Verdana" w:hAnsi="Verdana"/>
                <w:sz w:val="18"/>
                <w:szCs w:val="18"/>
              </w:rPr>
              <w:t>L</w:t>
            </w:r>
            <w:r>
              <w:rPr>
                <w:rFonts w:ascii="Verdana" w:hAnsi="Verdana"/>
                <w:sz w:val="18"/>
                <w:szCs w:val="18"/>
              </w:rPr>
              <w:t>’</w:t>
            </w:r>
            <w:r w:rsidRPr="2CB75343">
              <w:rPr>
                <w:rFonts w:ascii="Verdana" w:hAnsi="Verdana"/>
                <w:sz w:val="18"/>
                <w:szCs w:val="18"/>
              </w:rPr>
              <w:t>accr</w:t>
            </w:r>
            <w:r>
              <w:rPr>
                <w:rFonts w:ascii="Verdana" w:hAnsi="Verdana"/>
                <w:sz w:val="18"/>
                <w:szCs w:val="18"/>
              </w:rPr>
              <w:t>é</w:t>
            </w:r>
            <w:r w:rsidRPr="2CB75343">
              <w:rPr>
                <w:rFonts w:ascii="Verdana" w:hAnsi="Verdana"/>
                <w:sz w:val="18"/>
                <w:szCs w:val="18"/>
              </w:rPr>
              <w:t>ditation auprès du Fond</w:t>
            </w:r>
            <w:r>
              <w:rPr>
                <w:rFonts w:ascii="Verdana" w:hAnsi="Verdana"/>
                <w:sz w:val="18"/>
                <w:szCs w:val="18"/>
              </w:rPr>
              <w:t>s</w:t>
            </w:r>
            <w:r w:rsidRPr="2CB75343">
              <w:rPr>
                <w:rFonts w:ascii="Verdana" w:hAnsi="Verdana"/>
                <w:sz w:val="18"/>
                <w:szCs w:val="18"/>
              </w:rPr>
              <w:t xml:space="preserve"> d’adaptation - en cours </w:t>
            </w:r>
          </w:p>
          <w:p w14:paraId="4CE9B16B" w14:textId="4BCACBD3" w:rsidR="00730166" w:rsidRPr="00362BB1" w:rsidRDefault="00730166" w:rsidP="00730166">
            <w:pPr>
              <w:pStyle w:val="Paragraphedeliste"/>
              <w:numPr>
                <w:ilvl w:val="0"/>
                <w:numId w:val="6"/>
              </w:numPr>
              <w:ind w:left="213" w:hanging="283"/>
              <w:rPr>
                <w:rFonts w:ascii="Verdana" w:hAnsi="Verdana"/>
                <w:sz w:val="18"/>
                <w:szCs w:val="18"/>
              </w:rPr>
            </w:pPr>
            <w:r w:rsidRPr="724F4C9F">
              <w:rPr>
                <w:rFonts w:ascii="Verdana" w:hAnsi="Verdana"/>
                <w:sz w:val="18"/>
                <w:szCs w:val="18"/>
              </w:rPr>
              <w:t xml:space="preserve">Les informations complémentaires ont été envoyées aux pays en mai. </w:t>
            </w:r>
            <w:r w:rsidRPr="724F4C9F">
              <w:rPr>
                <w:rFonts w:ascii="Verdana" w:hAnsi="Verdana"/>
                <w:b/>
                <w:bCs/>
                <w:sz w:val="18"/>
                <w:szCs w:val="18"/>
              </w:rPr>
              <w:t>Une relance est faite aux pays pour une décision</w:t>
            </w:r>
            <w:r w:rsidRPr="724F4C9F">
              <w:rPr>
                <w:rFonts w:ascii="Verdana" w:hAnsi="Verdana"/>
                <w:sz w:val="18"/>
                <w:szCs w:val="18"/>
              </w:rPr>
              <w:t xml:space="preserve"> </w:t>
            </w:r>
          </w:p>
        </w:tc>
      </w:tr>
      <w:tr w:rsidR="00730166" w:rsidRPr="00362BB1" w14:paraId="56539E9C" w14:textId="77777777" w:rsidTr="25137305">
        <w:tc>
          <w:tcPr>
            <w:tcW w:w="1843" w:type="dxa"/>
          </w:tcPr>
          <w:p w14:paraId="39581F69" w14:textId="20373EDD" w:rsidR="00730166" w:rsidRPr="00362BB1" w:rsidRDefault="00730166" w:rsidP="00730166">
            <w:pPr>
              <w:jc w:val="center"/>
              <w:rPr>
                <w:rFonts w:ascii="Verdana" w:hAnsi="Verdana"/>
                <w:sz w:val="18"/>
                <w:szCs w:val="18"/>
              </w:rPr>
            </w:pPr>
            <w:r w:rsidRPr="00362BB1">
              <w:rPr>
                <w:rFonts w:ascii="Verdana" w:eastAsia="Times New Roman" w:hAnsi="Verdana"/>
                <w:sz w:val="18"/>
                <w:szCs w:val="18"/>
              </w:rPr>
              <w:t>Programme environnement et climat</w:t>
            </w:r>
          </w:p>
        </w:tc>
        <w:tc>
          <w:tcPr>
            <w:tcW w:w="1365" w:type="dxa"/>
          </w:tcPr>
          <w:p w14:paraId="04B9C728" w14:textId="7A841F0E" w:rsidR="00730166" w:rsidRPr="00362BB1" w:rsidRDefault="00730166" w:rsidP="00730166">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120FEBCA" w14:textId="77777777" w:rsidR="00730166" w:rsidRPr="00362BB1" w:rsidRDefault="00730166" w:rsidP="00730166">
            <w:pPr>
              <w:pStyle w:val="Paragraphe"/>
              <w:numPr>
                <w:ilvl w:val="0"/>
                <w:numId w:val="20"/>
              </w:numPr>
              <w:ind w:left="229" w:hanging="284"/>
              <w:rPr>
                <w:sz w:val="18"/>
                <w:szCs w:val="18"/>
              </w:rPr>
            </w:pPr>
            <w:r w:rsidRPr="00362BB1">
              <w:rPr>
                <w:sz w:val="18"/>
                <w:szCs w:val="18"/>
              </w:rPr>
              <w:t>Prend note des informations fournies sur les activités du Secrétariat général sur l’environnement, le changement climatique et la Commission Climat des États insulaires d’Afrique</w:t>
            </w:r>
          </w:p>
          <w:p w14:paraId="07D5564A" w14:textId="77777777" w:rsidR="00730166" w:rsidRPr="00362BB1" w:rsidRDefault="00730166" w:rsidP="00730166">
            <w:pPr>
              <w:pStyle w:val="Paragraphe"/>
              <w:numPr>
                <w:ilvl w:val="0"/>
                <w:numId w:val="20"/>
              </w:numPr>
              <w:ind w:left="229" w:hanging="284"/>
              <w:rPr>
                <w:sz w:val="18"/>
                <w:szCs w:val="18"/>
              </w:rPr>
            </w:pPr>
            <w:r w:rsidRPr="00362BB1">
              <w:rPr>
                <w:sz w:val="18"/>
                <w:szCs w:val="18"/>
              </w:rPr>
              <w:t>Demande au Secrétariat général :</w:t>
            </w:r>
          </w:p>
          <w:p w14:paraId="1E5C0750" w14:textId="77777777" w:rsidR="00730166" w:rsidRPr="00362BB1" w:rsidRDefault="00730166" w:rsidP="00730166">
            <w:pPr>
              <w:pStyle w:val="Paragraphe"/>
              <w:numPr>
                <w:ilvl w:val="0"/>
                <w:numId w:val="18"/>
              </w:numPr>
              <w:ind w:left="654" w:hanging="425"/>
              <w:rPr>
                <w:sz w:val="18"/>
                <w:szCs w:val="18"/>
              </w:rPr>
            </w:pPr>
            <w:r w:rsidRPr="00362BB1">
              <w:rPr>
                <w:sz w:val="18"/>
                <w:szCs w:val="18"/>
              </w:rPr>
              <w:t xml:space="preserve">D’accélérer la mise en œuvre des projets </w:t>
            </w:r>
            <w:proofErr w:type="spellStart"/>
            <w:r w:rsidRPr="00362BB1">
              <w:rPr>
                <w:sz w:val="18"/>
                <w:szCs w:val="18"/>
              </w:rPr>
              <w:t>Hydromet</w:t>
            </w:r>
            <w:proofErr w:type="spellEnd"/>
            <w:r w:rsidRPr="00362BB1">
              <w:rPr>
                <w:sz w:val="18"/>
                <w:szCs w:val="18"/>
              </w:rPr>
              <w:t xml:space="preserve"> et RDRM-IO</w:t>
            </w:r>
          </w:p>
          <w:p w14:paraId="4B9144E7" w14:textId="77777777" w:rsidR="00730166" w:rsidRPr="00362BB1" w:rsidRDefault="00730166" w:rsidP="00730166">
            <w:pPr>
              <w:pStyle w:val="Paragraphe"/>
              <w:numPr>
                <w:ilvl w:val="0"/>
                <w:numId w:val="18"/>
              </w:numPr>
              <w:ind w:left="654" w:hanging="425"/>
              <w:rPr>
                <w:sz w:val="18"/>
                <w:szCs w:val="18"/>
              </w:rPr>
            </w:pPr>
            <w:r w:rsidRPr="00362BB1">
              <w:rPr>
                <w:sz w:val="18"/>
                <w:szCs w:val="18"/>
              </w:rPr>
              <w:lastRenderedPageBreak/>
              <w:t xml:space="preserve">De poursuivre le dialogue avec les partenaires pour une révision de la Convention de financement avec l’AFD en vue d’une extension du fonds de l’Union européenne sur le projet </w:t>
            </w:r>
            <w:proofErr w:type="spellStart"/>
            <w:r w:rsidRPr="00362BB1">
              <w:rPr>
                <w:sz w:val="18"/>
                <w:szCs w:val="18"/>
              </w:rPr>
              <w:t>Hydromet</w:t>
            </w:r>
            <w:proofErr w:type="spellEnd"/>
          </w:p>
          <w:p w14:paraId="1F0D3EA4" w14:textId="77777777" w:rsidR="00730166" w:rsidRPr="00362BB1" w:rsidRDefault="00730166" w:rsidP="00730166">
            <w:pPr>
              <w:pStyle w:val="Paragraphe"/>
              <w:numPr>
                <w:ilvl w:val="0"/>
                <w:numId w:val="18"/>
              </w:numPr>
              <w:ind w:left="654" w:hanging="425"/>
              <w:rPr>
                <w:sz w:val="18"/>
                <w:szCs w:val="18"/>
              </w:rPr>
            </w:pPr>
            <w:r w:rsidRPr="00362BB1">
              <w:rPr>
                <w:sz w:val="18"/>
                <w:szCs w:val="18"/>
              </w:rPr>
              <w:t xml:space="preserve">De réitérer la décision c) du COPL2/24, rappelant au Secrétariat général de communiquer dans un délai raisonnable, les détails sur les matériels et équipements qui seront donnés dans le cadre des programmes </w:t>
            </w:r>
            <w:proofErr w:type="spellStart"/>
            <w:r w:rsidRPr="00362BB1">
              <w:rPr>
                <w:sz w:val="18"/>
                <w:szCs w:val="18"/>
              </w:rPr>
              <w:t>Hydromet</w:t>
            </w:r>
            <w:proofErr w:type="spellEnd"/>
            <w:r w:rsidRPr="00362BB1">
              <w:rPr>
                <w:sz w:val="18"/>
                <w:szCs w:val="18"/>
              </w:rPr>
              <w:t xml:space="preserve"> et RDRM-IO, en vue de faciliter les exonérations fiscales et le dédouanement</w:t>
            </w:r>
          </w:p>
          <w:p w14:paraId="5A28E28F" w14:textId="77777777" w:rsidR="00730166" w:rsidRPr="00362BB1" w:rsidRDefault="00730166" w:rsidP="00730166">
            <w:pPr>
              <w:pStyle w:val="Paragraphe"/>
              <w:numPr>
                <w:ilvl w:val="0"/>
                <w:numId w:val="20"/>
              </w:numPr>
              <w:ind w:left="229" w:hanging="284"/>
              <w:rPr>
                <w:sz w:val="18"/>
                <w:szCs w:val="18"/>
              </w:rPr>
            </w:pPr>
            <w:r w:rsidRPr="00362BB1">
              <w:rPr>
                <w:sz w:val="18"/>
                <w:szCs w:val="18"/>
              </w:rPr>
              <w:t>Demande au Secrétariat général de finaliser les négociations avec les partenaires suivants :</w:t>
            </w:r>
          </w:p>
          <w:p w14:paraId="6D885EA4" w14:textId="77777777" w:rsidR="00730166" w:rsidRPr="00362BB1" w:rsidRDefault="00730166" w:rsidP="00730166">
            <w:pPr>
              <w:pStyle w:val="Paragraphe"/>
              <w:numPr>
                <w:ilvl w:val="0"/>
                <w:numId w:val="19"/>
              </w:numPr>
              <w:ind w:left="654" w:hanging="425"/>
              <w:rPr>
                <w:sz w:val="18"/>
                <w:szCs w:val="18"/>
              </w:rPr>
            </w:pPr>
            <w:r w:rsidRPr="00362BB1">
              <w:rPr>
                <w:sz w:val="18"/>
                <w:szCs w:val="18"/>
              </w:rPr>
              <w:t xml:space="preserve">Tetra-TEC pour accéder à l’aide australienne sur la réduction des risques de catastrophe </w:t>
            </w:r>
          </w:p>
          <w:p w14:paraId="23A3997D" w14:textId="77777777" w:rsidR="00730166" w:rsidRPr="00362BB1" w:rsidRDefault="00730166" w:rsidP="00730166">
            <w:pPr>
              <w:pStyle w:val="Paragraphe"/>
              <w:numPr>
                <w:ilvl w:val="0"/>
                <w:numId w:val="19"/>
              </w:numPr>
              <w:ind w:left="654" w:hanging="425"/>
              <w:rPr>
                <w:sz w:val="18"/>
                <w:szCs w:val="18"/>
              </w:rPr>
            </w:pPr>
            <w:r w:rsidRPr="00362BB1">
              <w:rPr>
                <w:sz w:val="18"/>
                <w:szCs w:val="18"/>
              </w:rPr>
              <w:t xml:space="preserve">PNUD pour GEF8 sur le BGI-IP en faveur des États insulaires de l’Atlantique et de l’océan Indien pour la mise en œuvre des activités du programme Blue Green Island, sous financement du Fonds de l’environnement mondial </w:t>
            </w:r>
          </w:p>
          <w:p w14:paraId="56441711" w14:textId="0911BCF2" w:rsidR="00730166" w:rsidRDefault="00730166" w:rsidP="00730166">
            <w:pPr>
              <w:pStyle w:val="Paragraphe"/>
              <w:numPr>
                <w:ilvl w:val="0"/>
                <w:numId w:val="19"/>
              </w:numPr>
              <w:ind w:left="654" w:hanging="425"/>
              <w:rPr>
                <w:sz w:val="18"/>
                <w:szCs w:val="18"/>
              </w:rPr>
            </w:pPr>
            <w:r w:rsidRPr="00362BB1">
              <w:rPr>
                <w:sz w:val="18"/>
                <w:szCs w:val="18"/>
              </w:rPr>
              <w:t>ONU - Habitat portant sur la résilience urbaine</w:t>
            </w:r>
          </w:p>
          <w:p w14:paraId="3D700C2B" w14:textId="77777777" w:rsidR="00730166" w:rsidRPr="00362BB1" w:rsidRDefault="00730166" w:rsidP="00730166">
            <w:pPr>
              <w:pStyle w:val="Paragraphe"/>
              <w:ind w:left="654"/>
              <w:rPr>
                <w:sz w:val="18"/>
                <w:szCs w:val="18"/>
              </w:rPr>
            </w:pPr>
          </w:p>
          <w:p w14:paraId="6619EBFF" w14:textId="38801D28" w:rsidR="00730166" w:rsidRPr="00362BB1" w:rsidRDefault="00730166" w:rsidP="00730166">
            <w:pPr>
              <w:ind w:left="229" w:hanging="284"/>
              <w:jc w:val="both"/>
              <w:rPr>
                <w:rFonts w:ascii="Verdana" w:hAnsi="Verdana"/>
                <w:sz w:val="18"/>
                <w:szCs w:val="18"/>
              </w:rPr>
            </w:pPr>
            <w:r w:rsidRPr="00362BB1">
              <w:rPr>
                <w:rFonts w:ascii="Verdana" w:hAnsi="Verdana"/>
                <w:sz w:val="18"/>
                <w:szCs w:val="18"/>
              </w:rPr>
              <w:t xml:space="preserve">d) Demande au Secrétariat général de procéder à la signature du </w:t>
            </w:r>
            <w:proofErr w:type="spellStart"/>
            <w:r w:rsidRPr="00362BB1">
              <w:rPr>
                <w:rFonts w:ascii="Verdana" w:hAnsi="Verdana"/>
                <w:sz w:val="18"/>
                <w:szCs w:val="18"/>
              </w:rPr>
              <w:t>MoU</w:t>
            </w:r>
            <w:proofErr w:type="spellEnd"/>
            <w:r w:rsidRPr="00362BB1">
              <w:rPr>
                <w:rFonts w:ascii="Verdana" w:hAnsi="Verdana"/>
                <w:sz w:val="18"/>
                <w:szCs w:val="18"/>
              </w:rPr>
              <w:t xml:space="preserve"> avec le Programme des Nations unies pour l’environnement et le Secrétariat de la Convention de Nairobi.</w:t>
            </w:r>
          </w:p>
        </w:tc>
        <w:tc>
          <w:tcPr>
            <w:tcW w:w="1455" w:type="dxa"/>
          </w:tcPr>
          <w:p w14:paraId="0B7F84C2" w14:textId="6E458C09" w:rsidR="00730166" w:rsidRPr="00362BB1" w:rsidRDefault="00730166" w:rsidP="00730166">
            <w:pPr>
              <w:jc w:val="center"/>
              <w:rPr>
                <w:rFonts w:ascii="Verdana" w:hAnsi="Verdana"/>
                <w:sz w:val="18"/>
                <w:szCs w:val="18"/>
              </w:rPr>
            </w:pPr>
            <w:r w:rsidRPr="2CB75343">
              <w:rPr>
                <w:rFonts w:ascii="Verdana" w:hAnsi="Verdana"/>
                <w:sz w:val="18"/>
                <w:szCs w:val="18"/>
              </w:rPr>
              <w:lastRenderedPageBreak/>
              <w:t>CM-GB</w:t>
            </w:r>
          </w:p>
        </w:tc>
        <w:tc>
          <w:tcPr>
            <w:tcW w:w="4513" w:type="dxa"/>
          </w:tcPr>
          <w:p w14:paraId="3AEE9B38" w14:textId="77777777" w:rsidR="00730166" w:rsidRDefault="00730166" w:rsidP="00730166">
            <w:pPr>
              <w:ind w:left="213" w:hanging="283"/>
              <w:rPr>
                <w:rFonts w:ascii="Verdana" w:hAnsi="Verdana"/>
                <w:sz w:val="18"/>
                <w:szCs w:val="18"/>
              </w:rPr>
            </w:pPr>
          </w:p>
          <w:p w14:paraId="28FD35D2" w14:textId="77777777" w:rsidR="00730166" w:rsidRDefault="00730166" w:rsidP="00730166">
            <w:pPr>
              <w:ind w:left="213" w:hanging="283"/>
              <w:rPr>
                <w:rFonts w:ascii="Verdana" w:hAnsi="Verdana"/>
                <w:sz w:val="18"/>
                <w:szCs w:val="18"/>
              </w:rPr>
            </w:pPr>
          </w:p>
          <w:p w14:paraId="362AC2F9" w14:textId="77777777" w:rsidR="00730166" w:rsidRDefault="00730166" w:rsidP="00730166">
            <w:pPr>
              <w:ind w:left="213" w:hanging="283"/>
              <w:rPr>
                <w:rFonts w:ascii="Verdana" w:hAnsi="Verdana"/>
                <w:sz w:val="18"/>
                <w:szCs w:val="18"/>
              </w:rPr>
            </w:pPr>
          </w:p>
          <w:p w14:paraId="4667FD20" w14:textId="77777777" w:rsidR="00730166" w:rsidRDefault="00730166" w:rsidP="00730166">
            <w:pPr>
              <w:ind w:left="213" w:hanging="283"/>
              <w:rPr>
                <w:rFonts w:ascii="Verdana" w:hAnsi="Verdana"/>
                <w:sz w:val="18"/>
                <w:szCs w:val="18"/>
              </w:rPr>
            </w:pPr>
          </w:p>
          <w:p w14:paraId="608002FC" w14:textId="58AD3345" w:rsidR="00730166" w:rsidRDefault="00730166" w:rsidP="00730166">
            <w:pPr>
              <w:ind w:left="497" w:hanging="567"/>
              <w:jc w:val="both"/>
              <w:rPr>
                <w:rFonts w:ascii="Verdana" w:hAnsi="Verdana"/>
                <w:sz w:val="18"/>
                <w:szCs w:val="18"/>
              </w:rPr>
            </w:pPr>
            <w:r w:rsidRPr="724F4C9F">
              <w:rPr>
                <w:rFonts w:ascii="Verdana" w:hAnsi="Verdana"/>
                <w:sz w:val="18"/>
                <w:szCs w:val="18"/>
              </w:rPr>
              <w:t xml:space="preserve">b)  i. Les achats des matériels et équipements pour les services de gestion des catastrophes et les services des </w:t>
            </w:r>
            <w:r w:rsidRPr="724F4C9F">
              <w:rPr>
                <w:rFonts w:ascii="Verdana" w:hAnsi="Verdana"/>
                <w:sz w:val="18"/>
                <w:szCs w:val="18"/>
              </w:rPr>
              <w:lastRenderedPageBreak/>
              <w:t xml:space="preserve">météorologies sont en cours ; Convention COI-OMM en cours de signature </w:t>
            </w:r>
          </w:p>
          <w:p w14:paraId="05A6613E" w14:textId="4741CE33" w:rsidR="00730166" w:rsidRPr="00362BB1" w:rsidRDefault="00730166" w:rsidP="00730166">
            <w:pPr>
              <w:pStyle w:val="Paragraphedeliste"/>
              <w:ind w:left="497" w:hanging="284"/>
              <w:jc w:val="both"/>
              <w:rPr>
                <w:rFonts w:ascii="Verdana" w:hAnsi="Verdana"/>
                <w:sz w:val="18"/>
                <w:szCs w:val="18"/>
              </w:rPr>
            </w:pPr>
            <w:r w:rsidRPr="724F4C9F">
              <w:rPr>
                <w:rFonts w:ascii="Verdana" w:hAnsi="Verdana"/>
                <w:sz w:val="18"/>
                <w:szCs w:val="18"/>
              </w:rPr>
              <w:t xml:space="preserve">ii. </w:t>
            </w:r>
            <w:proofErr w:type="spellStart"/>
            <w:r w:rsidRPr="724F4C9F">
              <w:rPr>
                <w:rFonts w:ascii="Verdana" w:hAnsi="Verdana"/>
                <w:sz w:val="18"/>
                <w:szCs w:val="18"/>
              </w:rPr>
              <w:t>Ebauche</w:t>
            </w:r>
            <w:proofErr w:type="spellEnd"/>
            <w:r w:rsidRPr="724F4C9F">
              <w:rPr>
                <w:rFonts w:ascii="Verdana" w:hAnsi="Verdana"/>
                <w:sz w:val="18"/>
                <w:szCs w:val="18"/>
              </w:rPr>
              <w:t xml:space="preserve"> de la note justificative transmise à l’AFD pour examen  </w:t>
            </w:r>
          </w:p>
          <w:p w14:paraId="2BC913EC" w14:textId="042E9FCA" w:rsidR="00730166" w:rsidRPr="00362BB1" w:rsidRDefault="00730166" w:rsidP="00730166">
            <w:pPr>
              <w:pStyle w:val="Paragraphedeliste"/>
              <w:ind w:left="497" w:hanging="284"/>
              <w:jc w:val="both"/>
              <w:rPr>
                <w:rFonts w:ascii="Verdana" w:hAnsi="Verdana"/>
                <w:sz w:val="18"/>
                <w:szCs w:val="18"/>
              </w:rPr>
            </w:pPr>
            <w:r w:rsidRPr="724F4C9F">
              <w:rPr>
                <w:rFonts w:ascii="Verdana" w:hAnsi="Verdana"/>
                <w:sz w:val="18"/>
                <w:szCs w:val="18"/>
              </w:rPr>
              <w:t xml:space="preserve">iii. La liste des matériels et équipements sera transmise aux </w:t>
            </w:r>
            <w:r w:rsidR="00C204CD" w:rsidRPr="724F4C9F">
              <w:rPr>
                <w:rFonts w:ascii="Verdana" w:hAnsi="Verdana"/>
                <w:sz w:val="18"/>
                <w:szCs w:val="18"/>
              </w:rPr>
              <w:t>États</w:t>
            </w:r>
            <w:r w:rsidRPr="724F4C9F">
              <w:rPr>
                <w:rFonts w:ascii="Verdana" w:hAnsi="Verdana"/>
                <w:sz w:val="18"/>
                <w:szCs w:val="18"/>
              </w:rPr>
              <w:t xml:space="preserve"> une fois les contrats attribués. </w:t>
            </w:r>
          </w:p>
          <w:p w14:paraId="37DA0E62" w14:textId="77777777" w:rsidR="00730166" w:rsidRDefault="00730166" w:rsidP="00730166">
            <w:pPr>
              <w:pStyle w:val="Paragraphedeliste"/>
              <w:numPr>
                <w:ilvl w:val="0"/>
                <w:numId w:val="34"/>
              </w:numPr>
              <w:ind w:left="355" w:hanging="355"/>
              <w:rPr>
                <w:rFonts w:ascii="Verdana" w:hAnsi="Verdana"/>
                <w:sz w:val="18"/>
                <w:szCs w:val="18"/>
              </w:rPr>
            </w:pPr>
          </w:p>
          <w:p w14:paraId="1424E719" w14:textId="47E6234D" w:rsidR="00730166" w:rsidRPr="00362BB1" w:rsidRDefault="00730166" w:rsidP="00730166">
            <w:pPr>
              <w:pStyle w:val="Paragraphedeliste"/>
              <w:ind w:left="355" w:hanging="283"/>
              <w:jc w:val="both"/>
              <w:rPr>
                <w:rFonts w:ascii="Verdana" w:hAnsi="Verdana"/>
                <w:sz w:val="18"/>
                <w:szCs w:val="18"/>
              </w:rPr>
            </w:pPr>
            <w:r w:rsidRPr="2CB75343">
              <w:rPr>
                <w:rFonts w:ascii="Verdana" w:hAnsi="Verdana"/>
                <w:sz w:val="18"/>
                <w:szCs w:val="18"/>
              </w:rPr>
              <w:t xml:space="preserve">i. </w:t>
            </w:r>
            <w:r>
              <w:rPr>
                <w:rFonts w:ascii="Verdana" w:hAnsi="Verdana"/>
                <w:sz w:val="18"/>
                <w:szCs w:val="18"/>
              </w:rPr>
              <w:tab/>
            </w:r>
            <w:r w:rsidRPr="2CB75343">
              <w:rPr>
                <w:rFonts w:ascii="Verdana" w:hAnsi="Verdana"/>
                <w:sz w:val="18"/>
                <w:szCs w:val="18"/>
              </w:rPr>
              <w:t>Une r</w:t>
            </w:r>
            <w:r>
              <w:rPr>
                <w:rFonts w:ascii="Verdana" w:hAnsi="Verdana"/>
                <w:sz w:val="18"/>
                <w:szCs w:val="18"/>
              </w:rPr>
              <w:t>é</w:t>
            </w:r>
            <w:r w:rsidRPr="2CB75343">
              <w:rPr>
                <w:rFonts w:ascii="Verdana" w:hAnsi="Verdana"/>
                <w:sz w:val="18"/>
                <w:szCs w:val="18"/>
              </w:rPr>
              <w:t xml:space="preserve">union avec </w:t>
            </w:r>
            <w:proofErr w:type="spellStart"/>
            <w:r w:rsidRPr="2CB75343">
              <w:rPr>
                <w:rFonts w:ascii="Verdana" w:hAnsi="Verdana"/>
                <w:sz w:val="18"/>
                <w:szCs w:val="18"/>
              </w:rPr>
              <w:t>TetraTec</w:t>
            </w:r>
            <w:proofErr w:type="spellEnd"/>
            <w:r w:rsidRPr="2CB75343">
              <w:rPr>
                <w:rFonts w:ascii="Verdana" w:hAnsi="Verdana"/>
                <w:sz w:val="18"/>
                <w:szCs w:val="18"/>
              </w:rPr>
              <w:t xml:space="preserve"> a eu lieu en marge de la plateforme Globale de R</w:t>
            </w:r>
            <w:r>
              <w:rPr>
                <w:rFonts w:ascii="Verdana" w:hAnsi="Verdana"/>
                <w:sz w:val="18"/>
                <w:szCs w:val="18"/>
              </w:rPr>
              <w:t>é</w:t>
            </w:r>
            <w:r w:rsidRPr="2CB75343">
              <w:rPr>
                <w:rFonts w:ascii="Verdana" w:hAnsi="Verdana"/>
                <w:sz w:val="18"/>
                <w:szCs w:val="18"/>
              </w:rPr>
              <w:t xml:space="preserve">duction des risques de catastrophes à Genève en juin. À finaliser le </w:t>
            </w:r>
            <w:proofErr w:type="spellStart"/>
            <w:r w:rsidRPr="2CB75343">
              <w:rPr>
                <w:rFonts w:ascii="Verdana" w:hAnsi="Verdana"/>
                <w:sz w:val="18"/>
                <w:szCs w:val="18"/>
              </w:rPr>
              <w:t>MoU</w:t>
            </w:r>
            <w:proofErr w:type="spellEnd"/>
            <w:r w:rsidRPr="2CB75343">
              <w:rPr>
                <w:rFonts w:ascii="Verdana" w:hAnsi="Verdana"/>
                <w:sz w:val="18"/>
                <w:szCs w:val="18"/>
              </w:rPr>
              <w:t xml:space="preserve"> d’ici le mois d’octobre permettant la mise à disposition d’un appui technique auprès de la COI en 2026 </w:t>
            </w:r>
          </w:p>
          <w:p w14:paraId="68C0D740" w14:textId="62E512DE" w:rsidR="00730166" w:rsidRPr="00362BB1" w:rsidRDefault="00730166" w:rsidP="00730166">
            <w:pPr>
              <w:pStyle w:val="Paragraphedeliste"/>
              <w:ind w:left="355" w:hanging="283"/>
              <w:jc w:val="both"/>
              <w:rPr>
                <w:rFonts w:ascii="Verdana" w:hAnsi="Verdana"/>
                <w:sz w:val="18"/>
                <w:szCs w:val="18"/>
              </w:rPr>
            </w:pPr>
            <w:r w:rsidRPr="2CB75343">
              <w:rPr>
                <w:rFonts w:ascii="Verdana" w:hAnsi="Verdana"/>
                <w:sz w:val="18"/>
                <w:szCs w:val="18"/>
              </w:rPr>
              <w:t xml:space="preserve">ii. </w:t>
            </w:r>
            <w:r>
              <w:rPr>
                <w:rFonts w:ascii="Verdana" w:hAnsi="Verdana"/>
                <w:sz w:val="18"/>
                <w:szCs w:val="18"/>
              </w:rPr>
              <w:tab/>
            </w:r>
            <w:r w:rsidRPr="2CB75343">
              <w:rPr>
                <w:rFonts w:ascii="Verdana" w:hAnsi="Verdana"/>
                <w:sz w:val="18"/>
                <w:szCs w:val="18"/>
              </w:rPr>
              <w:t xml:space="preserve">Échange en cours avec le PNUD pour finaliser la lettre d’entente </w:t>
            </w:r>
          </w:p>
          <w:p w14:paraId="3D2C4943" w14:textId="6DA040F2" w:rsidR="00730166" w:rsidRPr="00362BB1" w:rsidRDefault="00730166" w:rsidP="00730166">
            <w:pPr>
              <w:pStyle w:val="Paragraphedeliste"/>
              <w:ind w:left="355" w:hanging="283"/>
              <w:jc w:val="both"/>
              <w:rPr>
                <w:rFonts w:ascii="Verdana" w:hAnsi="Verdana"/>
                <w:sz w:val="18"/>
                <w:szCs w:val="18"/>
              </w:rPr>
            </w:pPr>
            <w:r w:rsidRPr="724F4C9F">
              <w:rPr>
                <w:rFonts w:ascii="Verdana" w:hAnsi="Verdana"/>
                <w:sz w:val="18"/>
                <w:szCs w:val="18"/>
              </w:rPr>
              <w:t xml:space="preserve">iii. Projet de </w:t>
            </w:r>
            <w:proofErr w:type="spellStart"/>
            <w:r w:rsidRPr="724F4C9F">
              <w:rPr>
                <w:rFonts w:ascii="Verdana" w:hAnsi="Verdana"/>
                <w:sz w:val="18"/>
                <w:szCs w:val="18"/>
              </w:rPr>
              <w:t>MoU</w:t>
            </w:r>
            <w:proofErr w:type="spellEnd"/>
            <w:r w:rsidRPr="724F4C9F">
              <w:rPr>
                <w:rFonts w:ascii="Verdana" w:hAnsi="Verdana"/>
                <w:sz w:val="18"/>
                <w:szCs w:val="18"/>
              </w:rPr>
              <w:t xml:space="preserve"> transmise aux États en juillet pour observation et accord en vue sa signature</w:t>
            </w:r>
          </w:p>
          <w:p w14:paraId="3614C844" w14:textId="4D0896D9" w:rsidR="00730166" w:rsidRPr="00362BB1" w:rsidRDefault="00730166" w:rsidP="00730166">
            <w:pPr>
              <w:pStyle w:val="Paragraphedeliste"/>
              <w:numPr>
                <w:ilvl w:val="0"/>
                <w:numId w:val="34"/>
              </w:numPr>
              <w:ind w:left="355" w:hanging="355"/>
              <w:jc w:val="both"/>
              <w:rPr>
                <w:rFonts w:ascii="Verdana" w:hAnsi="Verdana"/>
                <w:sz w:val="18"/>
                <w:szCs w:val="18"/>
              </w:rPr>
            </w:pPr>
            <w:r w:rsidRPr="2CB75343">
              <w:rPr>
                <w:rFonts w:ascii="Verdana" w:hAnsi="Verdana"/>
                <w:sz w:val="18"/>
                <w:szCs w:val="18"/>
              </w:rPr>
              <w:t xml:space="preserve">À finaliser le draft </w:t>
            </w:r>
            <w:proofErr w:type="spellStart"/>
            <w:r w:rsidRPr="2CB75343">
              <w:rPr>
                <w:rFonts w:ascii="Verdana" w:hAnsi="Verdana"/>
                <w:sz w:val="18"/>
                <w:szCs w:val="18"/>
              </w:rPr>
              <w:t>MoU</w:t>
            </w:r>
            <w:proofErr w:type="spellEnd"/>
            <w:r w:rsidRPr="2CB75343">
              <w:rPr>
                <w:rFonts w:ascii="Verdana" w:hAnsi="Verdana"/>
                <w:sz w:val="18"/>
                <w:szCs w:val="18"/>
              </w:rPr>
              <w:t xml:space="preserve"> et à soumettre à la signature en ao</w:t>
            </w:r>
            <w:r>
              <w:rPr>
                <w:rFonts w:ascii="Verdana" w:hAnsi="Verdana"/>
                <w:sz w:val="18"/>
                <w:szCs w:val="18"/>
              </w:rPr>
              <w:t>û</w:t>
            </w:r>
            <w:r w:rsidRPr="2CB75343">
              <w:rPr>
                <w:rFonts w:ascii="Verdana" w:hAnsi="Verdana"/>
                <w:sz w:val="18"/>
                <w:szCs w:val="18"/>
              </w:rPr>
              <w:t>t/ septembre</w:t>
            </w:r>
          </w:p>
        </w:tc>
      </w:tr>
      <w:tr w:rsidR="00730166" w:rsidRPr="00362BB1" w14:paraId="7D940FDE" w14:textId="77777777" w:rsidTr="25137305">
        <w:tc>
          <w:tcPr>
            <w:tcW w:w="1843" w:type="dxa"/>
          </w:tcPr>
          <w:p w14:paraId="463EBF3F" w14:textId="77777777" w:rsidR="00730166" w:rsidRPr="00362BB1" w:rsidRDefault="00730166" w:rsidP="00730166">
            <w:pPr>
              <w:pStyle w:val="Paragraphedeliste"/>
              <w:ind w:left="0"/>
              <w:contextualSpacing w:val="0"/>
              <w:jc w:val="center"/>
              <w:rPr>
                <w:rFonts w:ascii="Verdana" w:hAnsi="Verdana"/>
                <w:sz w:val="18"/>
                <w:szCs w:val="18"/>
              </w:rPr>
            </w:pPr>
            <w:r w:rsidRPr="00362BB1">
              <w:rPr>
                <w:rFonts w:ascii="Verdana" w:eastAsia="Times New Roman" w:hAnsi="Verdana"/>
                <w:sz w:val="18"/>
                <w:szCs w:val="18"/>
              </w:rPr>
              <w:lastRenderedPageBreak/>
              <w:t xml:space="preserve">Santé – réseau SEGA One </w:t>
            </w:r>
            <w:proofErr w:type="spellStart"/>
            <w:r w:rsidRPr="00362BB1">
              <w:rPr>
                <w:rFonts w:ascii="Verdana" w:eastAsia="Times New Roman" w:hAnsi="Verdana"/>
                <w:sz w:val="18"/>
                <w:szCs w:val="18"/>
              </w:rPr>
              <w:t>Health</w:t>
            </w:r>
            <w:proofErr w:type="spellEnd"/>
          </w:p>
          <w:p w14:paraId="26D742F8" w14:textId="77777777" w:rsidR="00730166" w:rsidRPr="00362BB1" w:rsidRDefault="00730166" w:rsidP="00730166">
            <w:pPr>
              <w:jc w:val="center"/>
              <w:rPr>
                <w:rFonts w:ascii="Verdana" w:hAnsi="Verdana"/>
                <w:sz w:val="18"/>
                <w:szCs w:val="18"/>
              </w:rPr>
            </w:pPr>
          </w:p>
        </w:tc>
        <w:tc>
          <w:tcPr>
            <w:tcW w:w="1365" w:type="dxa"/>
          </w:tcPr>
          <w:p w14:paraId="2B30E908" w14:textId="35768F59" w:rsidR="00730166" w:rsidRPr="00362BB1" w:rsidRDefault="00730166" w:rsidP="00730166">
            <w:pPr>
              <w:jc w:val="center"/>
              <w:rPr>
                <w:rFonts w:ascii="Verdana" w:hAnsi="Verdana"/>
                <w:sz w:val="18"/>
                <w:szCs w:val="18"/>
              </w:rPr>
            </w:pPr>
            <w:r>
              <w:rPr>
                <w:rFonts w:ascii="Verdana" w:hAnsi="Verdana"/>
                <w:sz w:val="18"/>
                <w:szCs w:val="18"/>
              </w:rPr>
              <w:t>39</w:t>
            </w:r>
            <w:r w:rsidRPr="00907E04">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6AEC3FB2" w14:textId="77777777" w:rsidR="00730166" w:rsidRPr="00907E04" w:rsidRDefault="00730166" w:rsidP="00730166">
            <w:pPr>
              <w:pStyle w:val="Sansinterligne"/>
              <w:widowControl w:val="0"/>
              <w:numPr>
                <w:ilvl w:val="0"/>
                <w:numId w:val="21"/>
              </w:numPr>
              <w:tabs>
                <w:tab w:val="left" w:pos="5245"/>
              </w:tabs>
              <w:ind w:left="227" w:hanging="284"/>
              <w:jc w:val="both"/>
              <w:rPr>
                <w:rFonts w:ascii="Verdana" w:hAnsi="Verdana" w:cs="Verdana"/>
                <w:sz w:val="18"/>
                <w:szCs w:val="18"/>
              </w:rPr>
            </w:pPr>
            <w:r w:rsidRPr="00907E04">
              <w:rPr>
                <w:rFonts w:ascii="Verdana" w:hAnsi="Verdana" w:cs="Verdana"/>
                <w:sz w:val="18"/>
                <w:szCs w:val="18"/>
              </w:rPr>
              <w:t xml:space="preserve">Approuve les Statuts du Fonds SEGA, la Charte amendée du réseau SEGA-One </w:t>
            </w:r>
            <w:proofErr w:type="spellStart"/>
            <w:r w:rsidRPr="00907E04">
              <w:rPr>
                <w:rFonts w:ascii="Verdana" w:hAnsi="Verdana" w:cs="Verdana"/>
                <w:sz w:val="18"/>
                <w:szCs w:val="18"/>
              </w:rPr>
              <w:t>Health</w:t>
            </w:r>
            <w:proofErr w:type="spellEnd"/>
            <w:r w:rsidRPr="00907E04">
              <w:rPr>
                <w:rFonts w:ascii="Verdana" w:hAnsi="Verdana" w:cs="Verdana"/>
                <w:sz w:val="18"/>
                <w:szCs w:val="18"/>
              </w:rPr>
              <w:t xml:space="preserve"> et les termes de référence de l’Unité de Coordination ;</w:t>
            </w:r>
          </w:p>
          <w:p w14:paraId="04548741" w14:textId="77777777" w:rsidR="00730166" w:rsidRPr="00907E04" w:rsidRDefault="00730166" w:rsidP="00730166">
            <w:pPr>
              <w:pStyle w:val="Sansinterligne"/>
              <w:widowControl w:val="0"/>
              <w:numPr>
                <w:ilvl w:val="0"/>
                <w:numId w:val="21"/>
              </w:numPr>
              <w:tabs>
                <w:tab w:val="left" w:pos="5245"/>
              </w:tabs>
              <w:ind w:left="227" w:hanging="284"/>
              <w:jc w:val="both"/>
              <w:rPr>
                <w:rFonts w:ascii="Verdana" w:hAnsi="Verdana" w:cs="Verdana"/>
                <w:sz w:val="18"/>
                <w:szCs w:val="18"/>
              </w:rPr>
            </w:pPr>
            <w:r w:rsidRPr="00907E04">
              <w:rPr>
                <w:rFonts w:ascii="Verdana" w:hAnsi="Verdana" w:cs="Verdana"/>
                <w:sz w:val="18"/>
                <w:szCs w:val="18"/>
              </w:rPr>
              <w:t>Encourage les États membres à maintenir les budgets des contributions volontaires déjà inscrites ou à les prévoir et à commencer à verser les contributions volontaires financières dans le compte bancaire prévu à cet effet et/ou à annoncer leurs contributions en nature.</w:t>
            </w:r>
          </w:p>
          <w:p w14:paraId="39D57832" w14:textId="77777777" w:rsidR="00730166" w:rsidRPr="00907E04" w:rsidRDefault="00730166" w:rsidP="00730166">
            <w:pPr>
              <w:pStyle w:val="Sansinterligne"/>
              <w:widowControl w:val="0"/>
              <w:numPr>
                <w:ilvl w:val="0"/>
                <w:numId w:val="21"/>
              </w:numPr>
              <w:tabs>
                <w:tab w:val="left" w:pos="5245"/>
              </w:tabs>
              <w:ind w:left="227" w:hanging="284"/>
              <w:jc w:val="both"/>
              <w:rPr>
                <w:rFonts w:ascii="Verdana" w:hAnsi="Verdana" w:cs="Verdana"/>
                <w:sz w:val="18"/>
                <w:szCs w:val="18"/>
              </w:rPr>
            </w:pPr>
            <w:r w:rsidRPr="00907E04">
              <w:rPr>
                <w:rFonts w:ascii="Verdana" w:hAnsi="Verdana" w:cs="Verdana"/>
                <w:sz w:val="18"/>
                <w:szCs w:val="18"/>
              </w:rPr>
              <w:t xml:space="preserve">Demande au Secrétariat général de mettre en place, une fois les premières contributions versées dans le Fonds, et dans les meilleurs délais, l’Unité de coordination de ce Fonds SEGA-One </w:t>
            </w:r>
            <w:proofErr w:type="spellStart"/>
            <w:r w:rsidRPr="00907E04">
              <w:rPr>
                <w:rFonts w:ascii="Verdana" w:hAnsi="Verdana" w:cs="Verdana"/>
                <w:sz w:val="18"/>
                <w:szCs w:val="18"/>
              </w:rPr>
              <w:t>Health</w:t>
            </w:r>
            <w:proofErr w:type="spellEnd"/>
            <w:r w:rsidRPr="00907E04">
              <w:rPr>
                <w:rFonts w:ascii="Verdana" w:hAnsi="Verdana" w:cs="Verdana"/>
                <w:sz w:val="18"/>
                <w:szCs w:val="18"/>
              </w:rPr>
              <w:t>, pour répondre aux différents appels à projets en cours avec des partenaires conformément aux priorités de la Stratégie régionale de Sécurité sanitaire et aux conditions particulières du projet SSIP ;</w:t>
            </w:r>
          </w:p>
          <w:p w14:paraId="4D70D6C0" w14:textId="77777777" w:rsidR="00730166" w:rsidRPr="00907E04" w:rsidRDefault="00730166" w:rsidP="00730166">
            <w:pPr>
              <w:pStyle w:val="Sansinterligne"/>
              <w:widowControl w:val="0"/>
              <w:numPr>
                <w:ilvl w:val="0"/>
                <w:numId w:val="21"/>
              </w:numPr>
              <w:tabs>
                <w:tab w:val="left" w:pos="5245"/>
              </w:tabs>
              <w:ind w:left="227" w:hanging="284"/>
              <w:jc w:val="both"/>
              <w:rPr>
                <w:rFonts w:ascii="Verdana" w:hAnsi="Verdana" w:cs="Verdana"/>
                <w:sz w:val="18"/>
                <w:szCs w:val="18"/>
              </w:rPr>
            </w:pPr>
            <w:r w:rsidRPr="00907E04">
              <w:rPr>
                <w:rFonts w:ascii="Verdana" w:hAnsi="Verdana" w:cs="Verdana"/>
                <w:sz w:val="18"/>
                <w:szCs w:val="18"/>
              </w:rPr>
              <w:t xml:space="preserve">Remercie l’Agence française de développement pour le versement des Fonds du nouveau projet SSIP et pour la collaboration fructueuse et régulière avec le Secrétariat général de la COI dans la mise en œuvre de ce projet ; </w:t>
            </w:r>
          </w:p>
          <w:p w14:paraId="7CEB739D" w14:textId="77777777" w:rsidR="00730166" w:rsidRPr="00907E04" w:rsidRDefault="00730166" w:rsidP="00730166">
            <w:pPr>
              <w:pStyle w:val="Sansinterligne"/>
              <w:widowControl w:val="0"/>
              <w:numPr>
                <w:ilvl w:val="0"/>
                <w:numId w:val="21"/>
              </w:numPr>
              <w:tabs>
                <w:tab w:val="left" w:pos="5245"/>
              </w:tabs>
              <w:ind w:left="227" w:hanging="284"/>
              <w:jc w:val="both"/>
              <w:rPr>
                <w:rFonts w:ascii="Verdana" w:hAnsi="Verdana" w:cs="Verdana"/>
                <w:sz w:val="18"/>
                <w:szCs w:val="18"/>
              </w:rPr>
            </w:pPr>
            <w:r w:rsidRPr="00907E04">
              <w:rPr>
                <w:rFonts w:ascii="Verdana" w:hAnsi="Verdana" w:cs="Verdana"/>
                <w:sz w:val="18"/>
                <w:szCs w:val="18"/>
              </w:rPr>
              <w:t xml:space="preserve">Prend note de l’avancement du projet SSIP et encourage le </w:t>
            </w:r>
            <w:r w:rsidRPr="00907E04">
              <w:rPr>
                <w:rFonts w:ascii="Verdana" w:hAnsi="Verdana" w:cs="Verdana"/>
                <w:sz w:val="18"/>
                <w:szCs w:val="18"/>
              </w:rPr>
              <w:lastRenderedPageBreak/>
              <w:t xml:space="preserve">Secrétariat général de la COI à avancer rapidement dans le processus de recrutement du reste de l’équipe du projet et à soumettre les conventions de partenariat avec le CIRAD et avec l’ARS Réunion pour validation par procédure écrite ;  </w:t>
            </w:r>
          </w:p>
          <w:p w14:paraId="0E688F95" w14:textId="1621B879" w:rsidR="00730166" w:rsidRPr="00907E04" w:rsidRDefault="00730166" w:rsidP="00730166">
            <w:pPr>
              <w:pStyle w:val="Sansinterligne"/>
              <w:widowControl w:val="0"/>
              <w:numPr>
                <w:ilvl w:val="0"/>
                <w:numId w:val="21"/>
              </w:numPr>
              <w:ind w:left="227" w:hanging="284"/>
              <w:jc w:val="both"/>
              <w:rPr>
                <w:rFonts w:ascii="Verdana" w:hAnsi="Verdana" w:cs="Verdana"/>
                <w:sz w:val="18"/>
                <w:szCs w:val="18"/>
              </w:rPr>
            </w:pPr>
            <w:r w:rsidRPr="00907E04">
              <w:rPr>
                <w:rFonts w:ascii="Verdana" w:hAnsi="Verdana" w:cs="Verdana"/>
                <w:sz w:val="18"/>
                <w:szCs w:val="18"/>
              </w:rPr>
              <w:t>Prend note des signatures en cours des</w:t>
            </w:r>
            <w:r w:rsidRPr="00907E04">
              <w:rPr>
                <w:rFonts w:ascii="Verdana" w:hAnsi="Verdana"/>
                <w:sz w:val="18"/>
                <w:szCs w:val="18"/>
              </w:rPr>
              <w:t xml:space="preserve"> différentes conventions validées par les États membres et demande au Secrétariat général d’informer les États membres des avancées et résultats de ces partenariats.</w:t>
            </w:r>
          </w:p>
        </w:tc>
        <w:tc>
          <w:tcPr>
            <w:tcW w:w="1455" w:type="dxa"/>
          </w:tcPr>
          <w:p w14:paraId="5C58F908" w14:textId="77777777" w:rsidR="00730166" w:rsidRPr="00362BB1" w:rsidRDefault="00730166" w:rsidP="00730166">
            <w:pPr>
              <w:jc w:val="center"/>
              <w:rPr>
                <w:rFonts w:ascii="Verdana" w:hAnsi="Verdana"/>
                <w:sz w:val="18"/>
                <w:szCs w:val="18"/>
              </w:rPr>
            </w:pPr>
          </w:p>
        </w:tc>
        <w:tc>
          <w:tcPr>
            <w:tcW w:w="4513" w:type="dxa"/>
          </w:tcPr>
          <w:p w14:paraId="6D04CEFD" w14:textId="77777777" w:rsidR="00BD650A" w:rsidRDefault="00BD650A" w:rsidP="00730166">
            <w:pPr>
              <w:rPr>
                <w:rFonts w:ascii="Verdana" w:hAnsi="Verdana"/>
                <w:sz w:val="18"/>
                <w:szCs w:val="18"/>
              </w:rPr>
            </w:pPr>
          </w:p>
          <w:p w14:paraId="6253086A" w14:textId="77777777" w:rsidR="00BD650A" w:rsidRDefault="00BD650A" w:rsidP="00730166">
            <w:pPr>
              <w:rPr>
                <w:rFonts w:ascii="Verdana" w:hAnsi="Verdana"/>
                <w:sz w:val="18"/>
                <w:szCs w:val="18"/>
              </w:rPr>
            </w:pPr>
          </w:p>
          <w:p w14:paraId="34D00ADC" w14:textId="77777777" w:rsidR="00BD650A" w:rsidRDefault="00BD650A" w:rsidP="00730166">
            <w:pPr>
              <w:rPr>
                <w:rFonts w:ascii="Verdana" w:hAnsi="Verdana"/>
                <w:sz w:val="18"/>
                <w:szCs w:val="18"/>
              </w:rPr>
            </w:pPr>
          </w:p>
          <w:p w14:paraId="1E428171" w14:textId="653CDDCC" w:rsidR="00730166" w:rsidRPr="00362BB1" w:rsidRDefault="00BD650A" w:rsidP="00BD650A">
            <w:pPr>
              <w:ind w:left="352" w:hanging="352"/>
              <w:jc w:val="both"/>
              <w:rPr>
                <w:rFonts w:ascii="Verdana" w:hAnsi="Verdana"/>
                <w:sz w:val="18"/>
                <w:szCs w:val="18"/>
              </w:rPr>
            </w:pPr>
            <w:r w:rsidRPr="52CDAF9A">
              <w:rPr>
                <w:rFonts w:ascii="Verdana" w:hAnsi="Verdana"/>
                <w:sz w:val="18"/>
                <w:szCs w:val="18"/>
              </w:rPr>
              <w:t xml:space="preserve">b) </w:t>
            </w:r>
            <w:r>
              <w:rPr>
                <w:rFonts w:ascii="Verdana" w:hAnsi="Verdana"/>
                <w:sz w:val="18"/>
                <w:szCs w:val="18"/>
              </w:rPr>
              <w:tab/>
            </w:r>
            <w:r w:rsidR="00730166" w:rsidRPr="52CDAF9A">
              <w:rPr>
                <w:rFonts w:ascii="Verdana" w:hAnsi="Verdana"/>
                <w:sz w:val="18"/>
                <w:szCs w:val="18"/>
              </w:rPr>
              <w:t xml:space="preserve">Lettres de rappel des contributions envoyées aux </w:t>
            </w:r>
            <w:r w:rsidRPr="52CDAF9A">
              <w:rPr>
                <w:rFonts w:ascii="Verdana" w:hAnsi="Verdana"/>
                <w:sz w:val="18"/>
                <w:szCs w:val="18"/>
              </w:rPr>
              <w:t>États</w:t>
            </w:r>
            <w:r w:rsidR="00730166" w:rsidRPr="52CDAF9A">
              <w:rPr>
                <w:rFonts w:ascii="Verdana" w:hAnsi="Verdana"/>
                <w:sz w:val="18"/>
                <w:szCs w:val="18"/>
              </w:rPr>
              <w:t xml:space="preserve"> membres le 25/07. La chargée de mission a fait le suivi avec les Seychelles durant sa mission en rencontrant PFN et PS. </w:t>
            </w:r>
          </w:p>
          <w:p w14:paraId="2E44DE3B" w14:textId="77418BB7" w:rsidR="00730166" w:rsidRDefault="00730166" w:rsidP="00BD650A">
            <w:pPr>
              <w:pStyle w:val="Paragraphedeliste"/>
              <w:numPr>
                <w:ilvl w:val="0"/>
                <w:numId w:val="14"/>
              </w:numPr>
              <w:ind w:left="352" w:hanging="352"/>
              <w:jc w:val="both"/>
              <w:rPr>
                <w:rFonts w:ascii="Verdana" w:hAnsi="Verdana"/>
                <w:sz w:val="18"/>
                <w:szCs w:val="18"/>
              </w:rPr>
            </w:pPr>
            <w:r w:rsidRPr="52CDAF9A">
              <w:rPr>
                <w:rFonts w:ascii="Verdana" w:hAnsi="Verdana"/>
                <w:sz w:val="18"/>
                <w:szCs w:val="18"/>
              </w:rPr>
              <w:t xml:space="preserve">Attente des premières contributions </w:t>
            </w:r>
            <w:proofErr w:type="spellStart"/>
            <w:r w:rsidRPr="52CDAF9A">
              <w:rPr>
                <w:rFonts w:ascii="Verdana" w:hAnsi="Verdana"/>
                <w:sz w:val="18"/>
                <w:szCs w:val="18"/>
              </w:rPr>
              <w:t>ds</w:t>
            </w:r>
            <w:proofErr w:type="spellEnd"/>
            <w:r w:rsidRPr="52CDAF9A">
              <w:rPr>
                <w:rFonts w:ascii="Verdana" w:hAnsi="Verdana"/>
                <w:sz w:val="18"/>
                <w:szCs w:val="18"/>
              </w:rPr>
              <w:t xml:space="preserve"> </w:t>
            </w:r>
            <w:r w:rsidR="00BD650A" w:rsidRPr="52CDAF9A">
              <w:rPr>
                <w:rFonts w:ascii="Verdana" w:hAnsi="Verdana"/>
                <w:sz w:val="18"/>
                <w:szCs w:val="18"/>
              </w:rPr>
              <w:t>États</w:t>
            </w:r>
            <w:r w:rsidRPr="52CDAF9A">
              <w:rPr>
                <w:rFonts w:ascii="Verdana" w:hAnsi="Verdana"/>
                <w:sz w:val="18"/>
                <w:szCs w:val="18"/>
              </w:rPr>
              <w:t xml:space="preserve"> membres pour lancer le recrutement. Finalisation des TDR avec RH.</w:t>
            </w:r>
          </w:p>
          <w:p w14:paraId="32EB49EB" w14:textId="77777777" w:rsidR="00BD650A" w:rsidRDefault="00BD650A" w:rsidP="00BD650A">
            <w:pPr>
              <w:jc w:val="both"/>
              <w:rPr>
                <w:rFonts w:ascii="Verdana" w:hAnsi="Verdana"/>
                <w:sz w:val="18"/>
                <w:szCs w:val="18"/>
              </w:rPr>
            </w:pPr>
          </w:p>
          <w:p w14:paraId="2C6848ED" w14:textId="77777777" w:rsidR="00BD650A" w:rsidRDefault="00BD650A" w:rsidP="00BD650A">
            <w:pPr>
              <w:jc w:val="both"/>
              <w:rPr>
                <w:rFonts w:ascii="Verdana" w:hAnsi="Verdana"/>
                <w:sz w:val="18"/>
                <w:szCs w:val="18"/>
              </w:rPr>
            </w:pPr>
          </w:p>
          <w:p w14:paraId="3D0934D1" w14:textId="77777777" w:rsidR="00BD650A" w:rsidRDefault="00BD650A" w:rsidP="00BD650A">
            <w:pPr>
              <w:jc w:val="both"/>
              <w:rPr>
                <w:rFonts w:ascii="Verdana" w:hAnsi="Verdana"/>
                <w:sz w:val="18"/>
                <w:szCs w:val="18"/>
              </w:rPr>
            </w:pPr>
          </w:p>
          <w:p w14:paraId="0B0D9133" w14:textId="77777777" w:rsidR="00BD650A" w:rsidRDefault="00BD650A" w:rsidP="00BD650A">
            <w:pPr>
              <w:jc w:val="both"/>
              <w:rPr>
                <w:rFonts w:ascii="Verdana" w:hAnsi="Verdana"/>
                <w:sz w:val="18"/>
                <w:szCs w:val="18"/>
              </w:rPr>
            </w:pPr>
          </w:p>
          <w:p w14:paraId="5782658B" w14:textId="77777777" w:rsidR="00BD650A" w:rsidRDefault="00BD650A" w:rsidP="00BD650A">
            <w:pPr>
              <w:jc w:val="both"/>
              <w:rPr>
                <w:rFonts w:ascii="Verdana" w:hAnsi="Verdana"/>
                <w:sz w:val="18"/>
                <w:szCs w:val="18"/>
              </w:rPr>
            </w:pPr>
          </w:p>
          <w:p w14:paraId="4B9D9218" w14:textId="77777777" w:rsidR="00BD650A" w:rsidRDefault="00BD650A" w:rsidP="00BD650A">
            <w:pPr>
              <w:jc w:val="both"/>
              <w:rPr>
                <w:rFonts w:ascii="Verdana" w:hAnsi="Verdana"/>
                <w:sz w:val="18"/>
                <w:szCs w:val="18"/>
              </w:rPr>
            </w:pPr>
          </w:p>
          <w:p w14:paraId="036C6169" w14:textId="77777777" w:rsidR="00BD650A" w:rsidRPr="00BD650A" w:rsidRDefault="00BD650A" w:rsidP="00BD650A">
            <w:pPr>
              <w:jc w:val="both"/>
              <w:rPr>
                <w:rFonts w:ascii="Verdana" w:hAnsi="Verdana"/>
                <w:sz w:val="18"/>
                <w:szCs w:val="18"/>
              </w:rPr>
            </w:pPr>
          </w:p>
          <w:p w14:paraId="6253A3C9" w14:textId="030ECC69" w:rsidR="00730166" w:rsidRDefault="00730166" w:rsidP="00BD650A">
            <w:pPr>
              <w:ind w:left="352" w:hanging="352"/>
              <w:jc w:val="both"/>
              <w:rPr>
                <w:rFonts w:ascii="Verdana" w:hAnsi="Verdana"/>
                <w:sz w:val="18"/>
                <w:szCs w:val="18"/>
              </w:rPr>
            </w:pPr>
            <w:r w:rsidRPr="52CDAF9A">
              <w:rPr>
                <w:rFonts w:ascii="Verdana" w:hAnsi="Verdana"/>
                <w:sz w:val="18"/>
                <w:szCs w:val="18"/>
              </w:rPr>
              <w:t xml:space="preserve">e) </w:t>
            </w:r>
            <w:r w:rsidR="00BD650A">
              <w:rPr>
                <w:rFonts w:ascii="Verdana" w:hAnsi="Verdana"/>
                <w:sz w:val="18"/>
                <w:szCs w:val="18"/>
              </w:rPr>
              <w:tab/>
            </w:r>
            <w:r w:rsidRPr="52CDAF9A">
              <w:rPr>
                <w:rFonts w:ascii="Verdana" w:hAnsi="Verdana"/>
                <w:sz w:val="18"/>
                <w:szCs w:val="18"/>
              </w:rPr>
              <w:t>recrutement en cours sur projet SSIP (</w:t>
            </w:r>
            <w:proofErr w:type="spellStart"/>
            <w:r w:rsidRPr="52CDAF9A">
              <w:rPr>
                <w:rFonts w:ascii="Verdana" w:hAnsi="Verdana"/>
                <w:sz w:val="18"/>
                <w:szCs w:val="18"/>
              </w:rPr>
              <w:t>cf</w:t>
            </w:r>
            <w:proofErr w:type="spellEnd"/>
            <w:r w:rsidRPr="52CDAF9A">
              <w:rPr>
                <w:rFonts w:ascii="Verdana" w:hAnsi="Verdana"/>
                <w:sz w:val="18"/>
                <w:szCs w:val="18"/>
              </w:rPr>
              <w:t xml:space="preserve"> voir avec RH avancées)</w:t>
            </w:r>
          </w:p>
          <w:p w14:paraId="3CCE0248" w14:textId="77777777" w:rsidR="00BD650A" w:rsidRDefault="00BD650A" w:rsidP="00BD650A">
            <w:pPr>
              <w:ind w:left="352" w:hanging="352"/>
              <w:jc w:val="both"/>
              <w:rPr>
                <w:rFonts w:ascii="Verdana" w:hAnsi="Verdana"/>
                <w:sz w:val="18"/>
                <w:szCs w:val="18"/>
              </w:rPr>
            </w:pPr>
          </w:p>
          <w:p w14:paraId="163BFFCD" w14:textId="77777777" w:rsidR="00BD650A" w:rsidRDefault="00BD650A" w:rsidP="00BD650A">
            <w:pPr>
              <w:ind w:left="352" w:hanging="352"/>
              <w:jc w:val="both"/>
              <w:rPr>
                <w:rFonts w:ascii="Verdana" w:hAnsi="Verdana"/>
                <w:sz w:val="18"/>
                <w:szCs w:val="18"/>
              </w:rPr>
            </w:pPr>
          </w:p>
          <w:p w14:paraId="6D796EF9" w14:textId="77777777" w:rsidR="00BD650A" w:rsidRDefault="00BD650A" w:rsidP="00BD650A">
            <w:pPr>
              <w:ind w:left="352" w:hanging="352"/>
              <w:jc w:val="both"/>
              <w:rPr>
                <w:rFonts w:ascii="Verdana" w:hAnsi="Verdana"/>
                <w:sz w:val="18"/>
                <w:szCs w:val="18"/>
              </w:rPr>
            </w:pPr>
          </w:p>
          <w:p w14:paraId="1E149303" w14:textId="77777777" w:rsidR="00BD650A" w:rsidRPr="00362BB1" w:rsidRDefault="00BD650A" w:rsidP="00BD650A">
            <w:pPr>
              <w:ind w:left="352" w:hanging="352"/>
              <w:jc w:val="both"/>
              <w:rPr>
                <w:rFonts w:ascii="Verdana" w:hAnsi="Verdana"/>
                <w:sz w:val="18"/>
                <w:szCs w:val="18"/>
              </w:rPr>
            </w:pPr>
          </w:p>
          <w:p w14:paraId="5C5680B2" w14:textId="16A69513" w:rsidR="00730166" w:rsidRPr="00362BB1" w:rsidRDefault="00730166" w:rsidP="00BD650A">
            <w:pPr>
              <w:ind w:left="352" w:hanging="352"/>
              <w:jc w:val="both"/>
              <w:rPr>
                <w:rFonts w:ascii="Verdana" w:hAnsi="Verdana"/>
                <w:sz w:val="18"/>
                <w:szCs w:val="18"/>
              </w:rPr>
            </w:pPr>
            <w:r w:rsidRPr="52CDAF9A">
              <w:rPr>
                <w:rFonts w:ascii="Verdana" w:hAnsi="Verdana"/>
                <w:sz w:val="18"/>
                <w:szCs w:val="18"/>
              </w:rPr>
              <w:t xml:space="preserve">f) Transmettre aux </w:t>
            </w:r>
            <w:r w:rsidR="00BD650A" w:rsidRPr="52CDAF9A">
              <w:rPr>
                <w:rFonts w:ascii="Verdana" w:hAnsi="Verdana"/>
                <w:sz w:val="18"/>
                <w:szCs w:val="18"/>
              </w:rPr>
              <w:t>É</w:t>
            </w:r>
            <w:r w:rsidR="00BD650A">
              <w:rPr>
                <w:rFonts w:ascii="Verdana" w:hAnsi="Verdana"/>
                <w:sz w:val="18"/>
                <w:szCs w:val="18"/>
              </w:rPr>
              <w:t>t</w:t>
            </w:r>
            <w:r w:rsidR="00BD650A" w:rsidRPr="52CDAF9A">
              <w:rPr>
                <w:rFonts w:ascii="Verdana" w:hAnsi="Verdana"/>
                <w:sz w:val="18"/>
                <w:szCs w:val="18"/>
              </w:rPr>
              <w:t>ats</w:t>
            </w:r>
            <w:r w:rsidRPr="52CDAF9A">
              <w:rPr>
                <w:rFonts w:ascii="Verdana" w:hAnsi="Verdana"/>
                <w:sz w:val="18"/>
                <w:szCs w:val="18"/>
              </w:rPr>
              <w:t xml:space="preserve"> membres la convention de partenariat avec </w:t>
            </w:r>
            <w:proofErr w:type="spellStart"/>
            <w:r w:rsidRPr="52CDAF9A">
              <w:rPr>
                <w:rFonts w:ascii="Verdana" w:hAnsi="Verdana"/>
                <w:sz w:val="18"/>
                <w:szCs w:val="18"/>
              </w:rPr>
              <w:t>Epimact</w:t>
            </w:r>
            <w:proofErr w:type="spellEnd"/>
            <w:r w:rsidRPr="52CDAF9A">
              <w:rPr>
                <w:rFonts w:ascii="Verdana" w:hAnsi="Verdana"/>
                <w:sz w:val="18"/>
                <w:szCs w:val="18"/>
              </w:rPr>
              <w:t xml:space="preserve"> </w:t>
            </w:r>
          </w:p>
        </w:tc>
      </w:tr>
      <w:tr w:rsidR="00730166" w:rsidRPr="00362BB1" w14:paraId="5DE7D92B" w14:textId="77777777" w:rsidTr="25137305">
        <w:tc>
          <w:tcPr>
            <w:tcW w:w="1843" w:type="dxa"/>
          </w:tcPr>
          <w:p w14:paraId="3431A45F" w14:textId="18526F3C" w:rsidR="00730166" w:rsidRPr="00362BB1" w:rsidRDefault="00730166" w:rsidP="00730166">
            <w:pPr>
              <w:jc w:val="center"/>
              <w:rPr>
                <w:rFonts w:ascii="Verdana" w:hAnsi="Verdana"/>
                <w:sz w:val="18"/>
                <w:szCs w:val="18"/>
              </w:rPr>
            </w:pPr>
            <w:r w:rsidRPr="00362BB1">
              <w:rPr>
                <w:rFonts w:ascii="Verdana" w:hAnsi="Verdana"/>
                <w:sz w:val="18"/>
                <w:szCs w:val="18"/>
              </w:rPr>
              <w:lastRenderedPageBreak/>
              <w:t>Entrepreneuriat et facilitation des affaires</w:t>
            </w:r>
          </w:p>
        </w:tc>
        <w:tc>
          <w:tcPr>
            <w:tcW w:w="1365" w:type="dxa"/>
          </w:tcPr>
          <w:p w14:paraId="6F7B9990" w14:textId="6C84C38E" w:rsidR="00730166" w:rsidRPr="00362BB1" w:rsidRDefault="00730166" w:rsidP="00730166">
            <w:pPr>
              <w:jc w:val="center"/>
              <w:rPr>
                <w:rFonts w:ascii="Verdana" w:hAnsi="Verdana"/>
                <w:sz w:val="18"/>
                <w:szCs w:val="18"/>
              </w:rPr>
            </w:pPr>
            <w:r>
              <w:rPr>
                <w:rFonts w:ascii="Verdana" w:hAnsi="Verdana"/>
                <w:sz w:val="18"/>
                <w:szCs w:val="18"/>
              </w:rPr>
              <w:t>39</w:t>
            </w:r>
            <w:r w:rsidRPr="00907E04">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57221501" w14:textId="77777777" w:rsidR="00730166" w:rsidRPr="00907E04" w:rsidRDefault="00730166" w:rsidP="00730166">
            <w:pPr>
              <w:pStyle w:val="Paragraphe"/>
              <w:numPr>
                <w:ilvl w:val="0"/>
                <w:numId w:val="22"/>
              </w:numPr>
              <w:ind w:left="229" w:hanging="284"/>
              <w:rPr>
                <w:sz w:val="18"/>
                <w:szCs w:val="18"/>
              </w:rPr>
            </w:pPr>
            <w:r w:rsidRPr="00907E04">
              <w:rPr>
                <w:sz w:val="18"/>
                <w:szCs w:val="18"/>
              </w:rPr>
              <w:t xml:space="preserve">Demande au Secrétariat général de </w:t>
            </w:r>
            <w:r w:rsidRPr="0021412E">
              <w:rPr>
                <w:b/>
                <w:bCs/>
                <w:sz w:val="18"/>
                <w:szCs w:val="18"/>
              </w:rPr>
              <w:t>mobiliser de nouveaux financements pour un projet dans le domaine de l’entrepreneuriat et de la coopération économique capitalisant sur les résultats et acquis du programme</w:t>
            </w:r>
            <w:r w:rsidRPr="00907E04">
              <w:rPr>
                <w:sz w:val="18"/>
                <w:szCs w:val="18"/>
              </w:rPr>
              <w:t xml:space="preserve"> ENFA-OI (renforcement du Cadre de concertation régional mis en place et de l’accompagnement des Organismes d’appui et de soutien à l’entrepreneuriat et aux MPME &amp; Start-ups avec l’accent sur l’accès au financement, etc.) ;</w:t>
            </w:r>
          </w:p>
          <w:p w14:paraId="518CBA61" w14:textId="77777777" w:rsidR="00730166" w:rsidRPr="00907E04" w:rsidRDefault="00730166" w:rsidP="00730166">
            <w:pPr>
              <w:pStyle w:val="Paragraphe"/>
              <w:numPr>
                <w:ilvl w:val="0"/>
                <w:numId w:val="22"/>
              </w:numPr>
              <w:ind w:left="229" w:hanging="284"/>
              <w:rPr>
                <w:sz w:val="18"/>
                <w:szCs w:val="18"/>
              </w:rPr>
            </w:pPr>
            <w:r w:rsidRPr="00907E04">
              <w:rPr>
                <w:sz w:val="18"/>
                <w:szCs w:val="18"/>
              </w:rPr>
              <w:t>Encourage les États membres à diffuser et à faire le suivi des acquis du projet ENFA-OI, notamment par le biais des Points Focaux Nationaux (PFN) et des ministères sectoriels ;</w:t>
            </w:r>
          </w:p>
          <w:p w14:paraId="1ED6EE1C" w14:textId="77777777" w:rsidR="00730166" w:rsidRPr="00907E04" w:rsidRDefault="00730166" w:rsidP="00730166">
            <w:pPr>
              <w:pStyle w:val="Paragraphe"/>
              <w:numPr>
                <w:ilvl w:val="0"/>
                <w:numId w:val="22"/>
              </w:numPr>
              <w:ind w:left="229" w:hanging="284"/>
              <w:rPr>
                <w:sz w:val="18"/>
                <w:szCs w:val="18"/>
              </w:rPr>
            </w:pPr>
            <w:r w:rsidRPr="00907E04">
              <w:rPr>
                <w:sz w:val="18"/>
                <w:szCs w:val="18"/>
              </w:rPr>
              <w:t>Demande au Secrétariat général, dans l’attente de la formulation d’un nouveau projet, de s’appuyer sur les ressources humaines internes de la COI pour faire le pont entre les acquis du programme, les PFN, le Bureau de Coordination Provisoire (BCP) du Cadre de Concertation Régional des OAS MPME &amp; Start-ups ;</w:t>
            </w:r>
          </w:p>
          <w:p w14:paraId="73BF2D55" w14:textId="472441F9" w:rsidR="00730166" w:rsidRPr="00907E04" w:rsidRDefault="00730166" w:rsidP="00730166">
            <w:pPr>
              <w:pStyle w:val="Paragraphe"/>
              <w:numPr>
                <w:ilvl w:val="0"/>
                <w:numId w:val="22"/>
              </w:numPr>
              <w:ind w:left="229" w:hanging="284"/>
              <w:rPr>
                <w:sz w:val="18"/>
                <w:szCs w:val="18"/>
              </w:rPr>
            </w:pPr>
            <w:r w:rsidRPr="00907E04">
              <w:rPr>
                <w:sz w:val="18"/>
                <w:szCs w:val="18"/>
              </w:rPr>
              <w:t xml:space="preserve">Encourage le Secrétariat général à mobiliser pleinement l’expert thématique en entrepreneuriat et diplomatie économique pour la poursuite des actions entreprises dans le cadre du programme ENFA-OI et la recherche de financement. </w:t>
            </w:r>
          </w:p>
        </w:tc>
        <w:tc>
          <w:tcPr>
            <w:tcW w:w="1455" w:type="dxa"/>
          </w:tcPr>
          <w:p w14:paraId="083B182F" w14:textId="77777777" w:rsidR="00730166" w:rsidRPr="00362BB1" w:rsidRDefault="00730166" w:rsidP="00730166">
            <w:pPr>
              <w:jc w:val="center"/>
              <w:rPr>
                <w:rFonts w:ascii="Verdana" w:hAnsi="Verdana"/>
                <w:sz w:val="18"/>
                <w:szCs w:val="18"/>
              </w:rPr>
            </w:pPr>
          </w:p>
        </w:tc>
        <w:tc>
          <w:tcPr>
            <w:tcW w:w="4513" w:type="dxa"/>
          </w:tcPr>
          <w:p w14:paraId="04B6DAC7" w14:textId="366B61A8" w:rsidR="00730166" w:rsidRDefault="00730166" w:rsidP="008902EA">
            <w:pPr>
              <w:jc w:val="both"/>
              <w:rPr>
                <w:rFonts w:ascii="Verdana" w:hAnsi="Verdana"/>
                <w:sz w:val="18"/>
                <w:szCs w:val="18"/>
              </w:rPr>
            </w:pPr>
            <w:r w:rsidRPr="008902EA">
              <w:rPr>
                <w:rFonts w:ascii="Verdana" w:hAnsi="Verdana"/>
                <w:sz w:val="18"/>
                <w:szCs w:val="18"/>
              </w:rPr>
              <w:t xml:space="preserve">TDR rédigés par l’ETI entrepreneuriat et diplomatie économique pour la mobilisation d’une </w:t>
            </w:r>
            <w:r w:rsidR="008902EA">
              <w:rPr>
                <w:rFonts w:ascii="Verdana" w:hAnsi="Verdana"/>
                <w:sz w:val="18"/>
                <w:szCs w:val="18"/>
              </w:rPr>
              <w:t>m</w:t>
            </w:r>
            <w:r w:rsidRPr="008902EA">
              <w:rPr>
                <w:rFonts w:ascii="Verdana" w:hAnsi="Verdana"/>
                <w:sz w:val="18"/>
                <w:szCs w:val="18"/>
              </w:rPr>
              <w:t xml:space="preserve">ission de consultance pour le développement d’un plan d'action régional d’un écosystème entrepreneurial performant et un mécanisme de financement innovant durable de l'entrepreneuriat bleu et vert des </w:t>
            </w:r>
            <w:r w:rsidR="008902EA" w:rsidRPr="008902EA">
              <w:rPr>
                <w:rFonts w:ascii="Verdana" w:hAnsi="Verdana"/>
                <w:sz w:val="18"/>
                <w:szCs w:val="18"/>
              </w:rPr>
              <w:t>États</w:t>
            </w:r>
            <w:r w:rsidRPr="008902EA">
              <w:rPr>
                <w:rFonts w:ascii="Verdana" w:hAnsi="Verdana"/>
                <w:sz w:val="18"/>
                <w:szCs w:val="18"/>
              </w:rPr>
              <w:t xml:space="preserve"> insulaires de l’océan Indien. Le formulaire de financement sur Horizon 2030 est à finaliser par la chargée de mission. </w:t>
            </w:r>
          </w:p>
          <w:p w14:paraId="5F83E649" w14:textId="77777777" w:rsidR="008902EA" w:rsidRPr="008902EA" w:rsidRDefault="008902EA" w:rsidP="008902EA">
            <w:pPr>
              <w:jc w:val="both"/>
              <w:rPr>
                <w:rFonts w:ascii="Verdana" w:hAnsi="Verdana"/>
              </w:rPr>
            </w:pPr>
          </w:p>
          <w:p w14:paraId="188382D6" w14:textId="2F507F2E" w:rsidR="00730166" w:rsidRPr="00362BB1" w:rsidRDefault="00730166" w:rsidP="25137305">
            <w:pPr>
              <w:jc w:val="both"/>
              <w:rPr>
                <w:rFonts w:ascii="Arial" w:eastAsia="Arial" w:hAnsi="Arial" w:cs="Arial"/>
                <w:color w:val="000000" w:themeColor="text1"/>
              </w:rPr>
            </w:pPr>
            <w:r w:rsidRPr="25137305">
              <w:rPr>
                <w:rFonts w:ascii="Verdana" w:hAnsi="Verdana"/>
                <w:sz w:val="18"/>
                <w:szCs w:val="18"/>
              </w:rPr>
              <w:t>b) Dossier réalisé avec documents issus du projet ENFA et partagé aux PFN. PFN sollicités dans d’autres initiatives sur l’entrepreneuriat mais ne répondent pas</w:t>
            </w:r>
          </w:p>
          <w:p w14:paraId="2BC176CD" w14:textId="05AB4AA8" w:rsidR="00730166" w:rsidRPr="00362BB1" w:rsidRDefault="00730166" w:rsidP="25137305">
            <w:pPr>
              <w:jc w:val="both"/>
              <w:rPr>
                <w:rFonts w:ascii="Verdana" w:hAnsi="Verdana"/>
                <w:sz w:val="18"/>
                <w:szCs w:val="18"/>
              </w:rPr>
            </w:pPr>
          </w:p>
          <w:p w14:paraId="5E1B71C1" w14:textId="54CDA4F6" w:rsidR="00730166" w:rsidRPr="00362BB1" w:rsidRDefault="1DECE7CB" w:rsidP="25137305">
            <w:pPr>
              <w:pStyle w:val="Paragraphedeliste"/>
              <w:numPr>
                <w:ilvl w:val="0"/>
                <w:numId w:val="14"/>
              </w:numPr>
              <w:jc w:val="both"/>
              <w:rPr>
                <w:rFonts w:ascii="Verdana" w:hAnsi="Verdana"/>
                <w:sz w:val="18"/>
                <w:szCs w:val="18"/>
              </w:rPr>
            </w:pPr>
            <w:r w:rsidRPr="25137305">
              <w:rPr>
                <w:rFonts w:ascii="Verdana" w:hAnsi="Verdana"/>
                <w:sz w:val="18"/>
                <w:szCs w:val="18"/>
              </w:rPr>
              <w:t>Le Secrétariat</w:t>
            </w:r>
            <w:r w:rsidR="50673B6B" w:rsidRPr="25137305">
              <w:rPr>
                <w:rFonts w:ascii="Verdana" w:hAnsi="Verdana"/>
                <w:sz w:val="18"/>
                <w:szCs w:val="18"/>
              </w:rPr>
              <w:t xml:space="preserve"> et l’expert thématique</w:t>
            </w:r>
            <w:r w:rsidRPr="25137305">
              <w:rPr>
                <w:rFonts w:ascii="Verdana" w:hAnsi="Verdana"/>
                <w:sz w:val="18"/>
                <w:szCs w:val="18"/>
              </w:rPr>
              <w:t xml:space="preserve"> contribue</w:t>
            </w:r>
            <w:r w:rsidR="01CB4BCE" w:rsidRPr="25137305">
              <w:rPr>
                <w:rFonts w:ascii="Verdana" w:hAnsi="Verdana"/>
                <w:sz w:val="18"/>
                <w:szCs w:val="18"/>
              </w:rPr>
              <w:t>nt</w:t>
            </w:r>
            <w:r w:rsidRPr="25137305">
              <w:rPr>
                <w:rFonts w:ascii="Verdana" w:hAnsi="Verdana"/>
                <w:sz w:val="18"/>
                <w:szCs w:val="18"/>
              </w:rPr>
              <w:t xml:space="preserve"> à l’animation des réunions du cadre de concertation public privé </w:t>
            </w:r>
            <w:r w:rsidR="35049F1E" w:rsidRPr="25137305">
              <w:rPr>
                <w:rFonts w:ascii="Verdana" w:hAnsi="Verdana"/>
                <w:sz w:val="18"/>
                <w:szCs w:val="18"/>
              </w:rPr>
              <w:t xml:space="preserve">et à la recherche de financements, avec l’idée d’avoir un projet Interreg porté par la chambre de commerce et d’industrie de la Réunion. </w:t>
            </w:r>
          </w:p>
        </w:tc>
      </w:tr>
      <w:tr w:rsidR="00730166" w:rsidRPr="00362BB1" w14:paraId="235B2EF8" w14:textId="77777777" w:rsidTr="25137305">
        <w:tc>
          <w:tcPr>
            <w:tcW w:w="1843" w:type="dxa"/>
          </w:tcPr>
          <w:p w14:paraId="614E8473" w14:textId="77777777" w:rsidR="00730166" w:rsidRPr="00362BB1" w:rsidRDefault="00730166" w:rsidP="00730166">
            <w:pPr>
              <w:pStyle w:val="Paragraphedeliste"/>
              <w:ind w:left="0"/>
              <w:contextualSpacing w:val="0"/>
              <w:jc w:val="center"/>
              <w:rPr>
                <w:rFonts w:ascii="Verdana" w:eastAsia="Calibri" w:hAnsi="Verdana"/>
                <w:sz w:val="18"/>
                <w:szCs w:val="18"/>
              </w:rPr>
            </w:pPr>
            <w:r w:rsidRPr="00362BB1">
              <w:rPr>
                <w:rFonts w:ascii="Verdana" w:hAnsi="Verdana"/>
                <w:sz w:val="18"/>
                <w:szCs w:val="18"/>
              </w:rPr>
              <w:t>Formation professionnelle</w:t>
            </w:r>
          </w:p>
          <w:p w14:paraId="22834195" w14:textId="77777777" w:rsidR="00730166" w:rsidRPr="00362BB1" w:rsidRDefault="00730166" w:rsidP="00730166">
            <w:pPr>
              <w:jc w:val="center"/>
              <w:rPr>
                <w:rFonts w:ascii="Verdana" w:hAnsi="Verdana"/>
                <w:sz w:val="18"/>
                <w:szCs w:val="18"/>
              </w:rPr>
            </w:pPr>
          </w:p>
        </w:tc>
        <w:tc>
          <w:tcPr>
            <w:tcW w:w="1365" w:type="dxa"/>
          </w:tcPr>
          <w:p w14:paraId="2077A761" w14:textId="78DD62BF" w:rsidR="00730166" w:rsidRPr="00362BB1" w:rsidRDefault="00730166" w:rsidP="00730166">
            <w:pPr>
              <w:jc w:val="center"/>
              <w:rPr>
                <w:rFonts w:ascii="Verdana" w:hAnsi="Verdana"/>
                <w:sz w:val="18"/>
                <w:szCs w:val="18"/>
              </w:rPr>
            </w:pPr>
            <w:r>
              <w:rPr>
                <w:rFonts w:ascii="Verdana" w:hAnsi="Verdana"/>
                <w:sz w:val="18"/>
                <w:szCs w:val="18"/>
              </w:rPr>
              <w:t>39</w:t>
            </w:r>
            <w:r w:rsidRPr="009F66A2">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454AC353" w14:textId="77777777" w:rsidR="00730166" w:rsidRPr="009F66A2" w:rsidRDefault="00730166" w:rsidP="00730166">
            <w:pPr>
              <w:pStyle w:val="Titrepartie"/>
              <w:numPr>
                <w:ilvl w:val="0"/>
                <w:numId w:val="24"/>
              </w:numPr>
              <w:ind w:left="229" w:hanging="284"/>
              <w:contextualSpacing w:val="0"/>
              <w:rPr>
                <w:b w:val="0"/>
                <w:bCs w:val="0"/>
                <w:color w:val="auto"/>
                <w:sz w:val="18"/>
                <w:szCs w:val="18"/>
              </w:rPr>
            </w:pPr>
            <w:r w:rsidRPr="009F66A2">
              <w:rPr>
                <w:b w:val="0"/>
                <w:bCs w:val="0"/>
                <w:color w:val="auto"/>
                <w:sz w:val="18"/>
                <w:szCs w:val="18"/>
              </w:rPr>
              <w:t xml:space="preserve">Valide le document de programme régional de coopération et de mobilité en formation technique, technologique et professionnelle (PRCMTTP) dans l’océan Indien (intégrant les commentaires des États membres) ; </w:t>
            </w:r>
          </w:p>
          <w:p w14:paraId="60341A3F" w14:textId="77777777" w:rsidR="00730166" w:rsidRPr="009F66A2" w:rsidRDefault="00730166" w:rsidP="00730166">
            <w:pPr>
              <w:pStyle w:val="Titrepartie"/>
              <w:numPr>
                <w:ilvl w:val="0"/>
                <w:numId w:val="24"/>
              </w:numPr>
              <w:ind w:left="229" w:hanging="284"/>
              <w:contextualSpacing w:val="0"/>
              <w:rPr>
                <w:b w:val="0"/>
                <w:bCs w:val="0"/>
                <w:color w:val="auto"/>
                <w:sz w:val="18"/>
                <w:szCs w:val="18"/>
              </w:rPr>
            </w:pPr>
            <w:r w:rsidRPr="009F66A2">
              <w:rPr>
                <w:b w:val="0"/>
                <w:bCs w:val="0"/>
                <w:color w:val="auto"/>
                <w:sz w:val="18"/>
                <w:szCs w:val="18"/>
              </w:rPr>
              <w:t>Remercie l’Agence française de développement (AFD) pour le travail de la mission de configuration et pour la transmission des livrables finaux ;</w:t>
            </w:r>
          </w:p>
          <w:p w14:paraId="49DFCD96" w14:textId="77777777" w:rsidR="00730166" w:rsidRPr="009F66A2" w:rsidRDefault="00730166" w:rsidP="00730166">
            <w:pPr>
              <w:pStyle w:val="Titrepartie"/>
              <w:numPr>
                <w:ilvl w:val="0"/>
                <w:numId w:val="24"/>
              </w:numPr>
              <w:ind w:left="229" w:hanging="284"/>
              <w:contextualSpacing w:val="0"/>
              <w:rPr>
                <w:b w:val="0"/>
                <w:bCs w:val="0"/>
                <w:color w:val="auto"/>
                <w:sz w:val="18"/>
                <w:szCs w:val="18"/>
              </w:rPr>
            </w:pPr>
            <w:r w:rsidRPr="009F66A2">
              <w:rPr>
                <w:b w:val="0"/>
                <w:bCs w:val="0"/>
                <w:color w:val="auto"/>
                <w:sz w:val="18"/>
                <w:szCs w:val="18"/>
              </w:rPr>
              <w:t>Invite l’AFD à confirmer rapidement l’octroi des subventions et à transmettre le projet de convention de financement pour soumission aux États membres par le Secrétaire général ;</w:t>
            </w:r>
          </w:p>
          <w:p w14:paraId="29DEC025" w14:textId="77777777" w:rsidR="00730166" w:rsidRPr="009F66A2" w:rsidRDefault="00730166" w:rsidP="00730166">
            <w:pPr>
              <w:pStyle w:val="Titrepartie"/>
              <w:numPr>
                <w:ilvl w:val="0"/>
                <w:numId w:val="24"/>
              </w:numPr>
              <w:ind w:left="229" w:hanging="284"/>
              <w:contextualSpacing w:val="0"/>
              <w:rPr>
                <w:b w:val="0"/>
                <w:bCs w:val="0"/>
                <w:color w:val="auto"/>
                <w:sz w:val="18"/>
                <w:szCs w:val="18"/>
              </w:rPr>
            </w:pPr>
            <w:r w:rsidRPr="009F66A2">
              <w:rPr>
                <w:b w:val="0"/>
                <w:bCs w:val="0"/>
                <w:color w:val="auto"/>
                <w:sz w:val="18"/>
                <w:szCs w:val="18"/>
              </w:rPr>
              <w:t xml:space="preserve">Demande au Secrétariat général d’organiser des ateliers de réflexion sur le mécanisme pérenne de financement, avec les </w:t>
            </w:r>
            <w:r w:rsidRPr="009F66A2">
              <w:rPr>
                <w:b w:val="0"/>
                <w:bCs w:val="0"/>
                <w:color w:val="auto"/>
                <w:sz w:val="18"/>
                <w:szCs w:val="18"/>
              </w:rPr>
              <w:lastRenderedPageBreak/>
              <w:t>cinq États membres et en présence de l’expert Cap Compétences en vue de finaliser le choix du mécanisme de financement ;</w:t>
            </w:r>
          </w:p>
          <w:p w14:paraId="295CFB32" w14:textId="15E22F32" w:rsidR="00730166" w:rsidRPr="009F66A2" w:rsidRDefault="00730166" w:rsidP="00730166">
            <w:pPr>
              <w:pStyle w:val="Titrepartie"/>
              <w:numPr>
                <w:ilvl w:val="0"/>
                <w:numId w:val="24"/>
              </w:numPr>
              <w:ind w:left="229" w:hanging="284"/>
              <w:contextualSpacing w:val="0"/>
              <w:rPr>
                <w:b w:val="0"/>
                <w:bCs w:val="0"/>
                <w:color w:val="auto"/>
                <w:sz w:val="18"/>
                <w:szCs w:val="18"/>
              </w:rPr>
            </w:pPr>
            <w:r w:rsidRPr="009F66A2">
              <w:rPr>
                <w:b w:val="0"/>
                <w:bCs w:val="0"/>
                <w:color w:val="auto"/>
                <w:sz w:val="18"/>
                <w:szCs w:val="18"/>
              </w:rPr>
              <w:t>Encourage le Secrétariat général à poursuivre son action de mobilisation des financements complémentaires afin de lancer rapidement des activités.</w:t>
            </w:r>
          </w:p>
        </w:tc>
        <w:tc>
          <w:tcPr>
            <w:tcW w:w="1455" w:type="dxa"/>
          </w:tcPr>
          <w:p w14:paraId="6F1D8786" w14:textId="77777777" w:rsidR="00730166" w:rsidRPr="00362BB1" w:rsidRDefault="00730166" w:rsidP="00730166">
            <w:pPr>
              <w:jc w:val="center"/>
              <w:rPr>
                <w:rFonts w:ascii="Verdana" w:hAnsi="Verdana"/>
                <w:sz w:val="18"/>
                <w:szCs w:val="18"/>
              </w:rPr>
            </w:pPr>
          </w:p>
        </w:tc>
        <w:tc>
          <w:tcPr>
            <w:tcW w:w="4513" w:type="dxa"/>
          </w:tcPr>
          <w:p w14:paraId="4E6A4043" w14:textId="77777777" w:rsidR="00730166" w:rsidRDefault="00730166" w:rsidP="00730166">
            <w:pPr>
              <w:jc w:val="both"/>
              <w:rPr>
                <w:rFonts w:ascii="Verdana" w:hAnsi="Verdana"/>
                <w:sz w:val="18"/>
                <w:szCs w:val="18"/>
              </w:rPr>
            </w:pPr>
          </w:p>
          <w:p w14:paraId="020F203D" w14:textId="77777777" w:rsidR="00730166" w:rsidRDefault="00730166" w:rsidP="00730166">
            <w:pPr>
              <w:jc w:val="both"/>
              <w:rPr>
                <w:rFonts w:ascii="Verdana" w:hAnsi="Verdana"/>
                <w:sz w:val="18"/>
                <w:szCs w:val="18"/>
              </w:rPr>
            </w:pPr>
          </w:p>
          <w:p w14:paraId="56DACCC5" w14:textId="77777777" w:rsidR="00730166" w:rsidRDefault="00730166" w:rsidP="00730166">
            <w:pPr>
              <w:jc w:val="both"/>
              <w:rPr>
                <w:rFonts w:ascii="Verdana" w:hAnsi="Verdana"/>
                <w:sz w:val="18"/>
                <w:szCs w:val="18"/>
              </w:rPr>
            </w:pPr>
          </w:p>
          <w:p w14:paraId="3390A47A" w14:textId="77777777" w:rsidR="00730166" w:rsidRDefault="00730166" w:rsidP="00730166">
            <w:pPr>
              <w:jc w:val="both"/>
              <w:rPr>
                <w:rFonts w:ascii="Verdana" w:hAnsi="Verdana"/>
                <w:sz w:val="18"/>
                <w:szCs w:val="18"/>
              </w:rPr>
            </w:pPr>
          </w:p>
          <w:p w14:paraId="366670D1" w14:textId="77777777" w:rsidR="00730166" w:rsidRDefault="00730166" w:rsidP="00730166">
            <w:pPr>
              <w:jc w:val="both"/>
              <w:rPr>
                <w:rFonts w:ascii="Verdana" w:hAnsi="Verdana"/>
                <w:sz w:val="18"/>
                <w:szCs w:val="18"/>
              </w:rPr>
            </w:pPr>
          </w:p>
          <w:p w14:paraId="3CFA64DB" w14:textId="662AA8E8" w:rsidR="007F3430" w:rsidRPr="002022EA" w:rsidRDefault="00730166" w:rsidP="25137305">
            <w:pPr>
              <w:rPr>
                <w:rFonts w:ascii="Verdana" w:hAnsi="Verdana"/>
                <w:sz w:val="18"/>
                <w:szCs w:val="18"/>
              </w:rPr>
            </w:pPr>
            <w:r w:rsidRPr="25137305">
              <w:rPr>
                <w:rFonts w:ascii="Verdana" w:hAnsi="Verdana"/>
                <w:sz w:val="18"/>
                <w:szCs w:val="18"/>
              </w:rPr>
              <w:t xml:space="preserve">c) </w:t>
            </w:r>
            <w:r w:rsidR="0D38CE80" w:rsidRPr="25137305">
              <w:rPr>
                <w:rFonts w:ascii="Verdana" w:hAnsi="Verdana"/>
                <w:sz w:val="18"/>
                <w:szCs w:val="18"/>
              </w:rPr>
              <w:t>La partie française a transmis le projet de convention de financement du projet d’amorçage le 3 Octobre 2025. Le Secrétariat général a proposé des amendements mais la partie française a demandé la transmission de la c</w:t>
            </w:r>
            <w:r w:rsidR="34210054" w:rsidRPr="25137305">
              <w:rPr>
                <w:rFonts w:ascii="Verdana" w:hAnsi="Verdana"/>
                <w:sz w:val="18"/>
                <w:szCs w:val="18"/>
              </w:rPr>
              <w:t xml:space="preserve">onvention initiale aux Etats membres le 25 </w:t>
            </w:r>
            <w:r w:rsidR="34210054" w:rsidRPr="25137305">
              <w:rPr>
                <w:rFonts w:ascii="Verdana" w:hAnsi="Verdana"/>
                <w:sz w:val="18"/>
                <w:szCs w:val="18"/>
              </w:rPr>
              <w:lastRenderedPageBreak/>
              <w:t>Octobre. Celle ci a été envoyée le 28 octobre 2025.</w:t>
            </w:r>
          </w:p>
          <w:p w14:paraId="67272403" w14:textId="4436599F" w:rsidR="00730166" w:rsidRPr="00362BB1" w:rsidRDefault="007F3430" w:rsidP="25137305">
            <w:pPr>
              <w:rPr>
                <w:rFonts w:ascii="Verdana" w:hAnsi="Verdana"/>
                <w:sz w:val="18"/>
                <w:szCs w:val="18"/>
              </w:rPr>
            </w:pPr>
            <w:r w:rsidRPr="25137305">
              <w:rPr>
                <w:rFonts w:ascii="Verdana" w:hAnsi="Verdana"/>
                <w:sz w:val="18"/>
                <w:szCs w:val="18"/>
              </w:rPr>
              <w:t>d) atelier initialement prévu les 7 et 8 octobre. Demande d’ANO envoyée semaine du 12 août mais retour AFD qui a suspendu l’ANO, en attente de la décision d’octroi du financement</w:t>
            </w:r>
          </w:p>
          <w:p w14:paraId="5AE52221" w14:textId="51856E4A" w:rsidR="00730166" w:rsidRPr="00362BB1" w:rsidRDefault="4C6D893A" w:rsidP="007F3430">
            <w:pPr>
              <w:rPr>
                <w:rFonts w:ascii="Verdana" w:hAnsi="Verdana"/>
                <w:sz w:val="18"/>
                <w:szCs w:val="18"/>
              </w:rPr>
            </w:pPr>
            <w:r w:rsidRPr="25137305">
              <w:rPr>
                <w:rFonts w:ascii="Verdana" w:hAnsi="Verdana"/>
                <w:sz w:val="18"/>
                <w:szCs w:val="18"/>
              </w:rPr>
              <w:t>e) Le SG COI continue son action de mobilisation de financement, notamment avec la Région Réunion.</w:t>
            </w:r>
          </w:p>
        </w:tc>
      </w:tr>
      <w:tr w:rsidR="00730166" w:rsidRPr="00362BB1" w14:paraId="70CF9CBC" w14:textId="77777777" w:rsidTr="25137305">
        <w:tc>
          <w:tcPr>
            <w:tcW w:w="1843" w:type="dxa"/>
          </w:tcPr>
          <w:p w14:paraId="108AC03E" w14:textId="77777777" w:rsidR="00730166" w:rsidRPr="00362BB1" w:rsidRDefault="00730166" w:rsidP="00730166">
            <w:pPr>
              <w:pStyle w:val="Paragraphedeliste"/>
              <w:ind w:left="0"/>
              <w:contextualSpacing w:val="0"/>
              <w:jc w:val="center"/>
              <w:rPr>
                <w:rFonts w:ascii="Verdana" w:eastAsia="Calibri" w:hAnsi="Verdana"/>
                <w:sz w:val="18"/>
                <w:szCs w:val="18"/>
              </w:rPr>
            </w:pPr>
            <w:r w:rsidRPr="00362BB1">
              <w:rPr>
                <w:rFonts w:ascii="Verdana" w:hAnsi="Verdana"/>
                <w:sz w:val="18"/>
                <w:szCs w:val="18"/>
              </w:rPr>
              <w:lastRenderedPageBreak/>
              <w:t>Partenariat avec l’OIT</w:t>
            </w:r>
          </w:p>
          <w:p w14:paraId="7C25B7E8" w14:textId="77777777" w:rsidR="00730166" w:rsidRPr="00362BB1" w:rsidRDefault="00730166" w:rsidP="00730166">
            <w:pPr>
              <w:jc w:val="center"/>
              <w:rPr>
                <w:rFonts w:ascii="Verdana" w:hAnsi="Verdana"/>
                <w:sz w:val="18"/>
                <w:szCs w:val="18"/>
              </w:rPr>
            </w:pPr>
          </w:p>
        </w:tc>
        <w:tc>
          <w:tcPr>
            <w:tcW w:w="1365" w:type="dxa"/>
          </w:tcPr>
          <w:p w14:paraId="4E0D3AFD" w14:textId="3C0D3528" w:rsidR="00730166" w:rsidRPr="00362BB1" w:rsidRDefault="00730166" w:rsidP="00730166">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306A396C" w14:textId="77777777" w:rsidR="00730166" w:rsidRPr="00362BB1" w:rsidRDefault="00730166" w:rsidP="00730166">
            <w:pPr>
              <w:pStyle w:val="Paragraphe"/>
              <w:numPr>
                <w:ilvl w:val="0"/>
                <w:numId w:val="25"/>
              </w:numPr>
              <w:ind w:left="229" w:hanging="284"/>
              <w:rPr>
                <w:sz w:val="18"/>
                <w:szCs w:val="18"/>
              </w:rPr>
            </w:pPr>
            <w:r w:rsidRPr="00362BB1">
              <w:rPr>
                <w:sz w:val="18"/>
                <w:szCs w:val="18"/>
              </w:rPr>
              <w:t>Prend note de la proposition du bureau régional de l’Organisation internationale du Travail (OIT) de tenir une table ronde ministérielle des États membres de la COI sur la justice sociale et le travail décent ;</w:t>
            </w:r>
          </w:p>
          <w:p w14:paraId="6C9CD18D" w14:textId="5140807C" w:rsidR="00730166" w:rsidRPr="00362BB1" w:rsidRDefault="00730166" w:rsidP="00730166">
            <w:pPr>
              <w:pStyle w:val="Paragraphe"/>
              <w:numPr>
                <w:ilvl w:val="0"/>
                <w:numId w:val="25"/>
              </w:numPr>
              <w:ind w:left="229" w:hanging="284"/>
              <w:rPr>
                <w:sz w:val="18"/>
                <w:szCs w:val="18"/>
              </w:rPr>
            </w:pPr>
            <w:r w:rsidRPr="00362BB1">
              <w:rPr>
                <w:sz w:val="18"/>
                <w:szCs w:val="18"/>
              </w:rPr>
              <w:t>Demande au Secrétariat général de saisir le bureau régional de l’OIT à Antananarivo afin d’actualiser les termes de référence/ la note conceptuelle de l’évènement ainsi que son calendrier et de les soumettre aux États membres</w:t>
            </w:r>
          </w:p>
        </w:tc>
        <w:tc>
          <w:tcPr>
            <w:tcW w:w="1455" w:type="dxa"/>
          </w:tcPr>
          <w:p w14:paraId="571FFFAA" w14:textId="77777777" w:rsidR="00730166" w:rsidRPr="00362BB1" w:rsidRDefault="00730166" w:rsidP="00730166">
            <w:pPr>
              <w:jc w:val="center"/>
              <w:rPr>
                <w:rFonts w:ascii="Verdana" w:hAnsi="Verdana"/>
                <w:sz w:val="18"/>
                <w:szCs w:val="18"/>
              </w:rPr>
            </w:pPr>
          </w:p>
        </w:tc>
        <w:tc>
          <w:tcPr>
            <w:tcW w:w="4513" w:type="dxa"/>
          </w:tcPr>
          <w:p w14:paraId="019FF6E7" w14:textId="66990583" w:rsidR="00730166" w:rsidRPr="00362BB1" w:rsidRDefault="003E3A6F" w:rsidP="00730166">
            <w:pPr>
              <w:rPr>
                <w:rFonts w:ascii="Verdana" w:hAnsi="Verdana"/>
                <w:sz w:val="18"/>
                <w:szCs w:val="18"/>
              </w:rPr>
            </w:pPr>
            <w:r>
              <w:rPr>
                <w:rFonts w:ascii="Verdana" w:hAnsi="Verdana"/>
                <w:sz w:val="18"/>
                <w:szCs w:val="18"/>
              </w:rPr>
              <w:t>À suivre</w:t>
            </w:r>
          </w:p>
        </w:tc>
      </w:tr>
      <w:tr w:rsidR="00730166" w:rsidRPr="00362BB1" w14:paraId="5649B8D8" w14:textId="77777777" w:rsidTr="25137305">
        <w:tc>
          <w:tcPr>
            <w:tcW w:w="1843" w:type="dxa"/>
          </w:tcPr>
          <w:p w14:paraId="67BCC791" w14:textId="5699CB43" w:rsidR="00730166" w:rsidRPr="00362BB1" w:rsidRDefault="00730166" w:rsidP="00730166">
            <w:pPr>
              <w:jc w:val="center"/>
              <w:rPr>
                <w:rFonts w:ascii="Verdana" w:hAnsi="Verdana"/>
                <w:sz w:val="18"/>
                <w:szCs w:val="18"/>
              </w:rPr>
            </w:pPr>
            <w:r w:rsidRPr="00362BB1">
              <w:rPr>
                <w:rFonts w:ascii="Verdana" w:hAnsi="Verdana"/>
                <w:sz w:val="18"/>
                <w:szCs w:val="18"/>
              </w:rPr>
              <w:t>Administration des ressources humaines</w:t>
            </w:r>
          </w:p>
        </w:tc>
        <w:tc>
          <w:tcPr>
            <w:tcW w:w="1365" w:type="dxa"/>
          </w:tcPr>
          <w:p w14:paraId="5040E103" w14:textId="4DB7F385" w:rsidR="00730166" w:rsidRPr="00362BB1" w:rsidRDefault="00730166" w:rsidP="00730166">
            <w:pPr>
              <w:jc w:val="center"/>
              <w:rPr>
                <w:rFonts w:ascii="Verdana" w:hAnsi="Verdana"/>
                <w:sz w:val="18"/>
                <w:szCs w:val="18"/>
              </w:rPr>
            </w:pPr>
            <w:r>
              <w:rPr>
                <w:rFonts w:ascii="Verdana" w:hAnsi="Verdana"/>
                <w:sz w:val="18"/>
                <w:szCs w:val="18"/>
              </w:rPr>
              <w:t>39</w:t>
            </w:r>
            <w:r w:rsidRPr="00BD0961">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6C94FB14" w14:textId="3466833F" w:rsidR="00730166" w:rsidRPr="00BD0961" w:rsidRDefault="00730166" w:rsidP="00730166">
            <w:pPr>
              <w:pStyle w:val="Paragraphedeliste"/>
              <w:numPr>
                <w:ilvl w:val="0"/>
                <w:numId w:val="26"/>
              </w:numPr>
              <w:ind w:left="229" w:hanging="284"/>
              <w:contextualSpacing w:val="0"/>
              <w:jc w:val="both"/>
              <w:rPr>
                <w:rFonts w:ascii="Verdana" w:hAnsi="Verdana" w:cs="Calibri"/>
                <w:sz w:val="18"/>
                <w:szCs w:val="18"/>
              </w:rPr>
            </w:pPr>
            <w:r w:rsidRPr="00BD0961">
              <w:rPr>
                <w:rFonts w:ascii="Verdana" w:hAnsi="Verdana" w:cs="Calibri"/>
                <w:sz w:val="18"/>
                <w:szCs w:val="18"/>
              </w:rPr>
              <w:t>Demande au Secrétariat général de finaliser, en concertation avec les États membres, le cadre de mise à disposition de personnel et d’experts auprès du Secrétariat général ;</w:t>
            </w:r>
          </w:p>
          <w:p w14:paraId="2A711B96" w14:textId="77777777" w:rsidR="00730166" w:rsidRPr="00BD0961" w:rsidRDefault="00730166" w:rsidP="00730166">
            <w:pPr>
              <w:pStyle w:val="Paragraphedeliste"/>
              <w:numPr>
                <w:ilvl w:val="0"/>
                <w:numId w:val="26"/>
              </w:numPr>
              <w:ind w:left="229" w:hanging="284"/>
              <w:contextualSpacing w:val="0"/>
              <w:jc w:val="both"/>
              <w:rPr>
                <w:rFonts w:ascii="Verdana" w:hAnsi="Verdana" w:cs="Calibri"/>
                <w:sz w:val="18"/>
                <w:szCs w:val="18"/>
              </w:rPr>
            </w:pPr>
            <w:r w:rsidRPr="00BD0961">
              <w:rPr>
                <w:rFonts w:ascii="Verdana" w:hAnsi="Verdana" w:cs="Calibri"/>
                <w:sz w:val="18"/>
                <w:szCs w:val="18"/>
              </w:rPr>
              <w:t>Félicite le Secrétariat général pour ses efforts dans le renforcement du personnel ;</w:t>
            </w:r>
          </w:p>
          <w:p w14:paraId="503C23EE" w14:textId="77777777" w:rsidR="00730166" w:rsidRPr="00BD0961" w:rsidRDefault="00730166" w:rsidP="00730166">
            <w:pPr>
              <w:pStyle w:val="Paragraphedeliste"/>
              <w:numPr>
                <w:ilvl w:val="0"/>
                <w:numId w:val="26"/>
              </w:numPr>
              <w:ind w:left="229" w:hanging="284"/>
              <w:contextualSpacing w:val="0"/>
              <w:jc w:val="both"/>
              <w:rPr>
                <w:rFonts w:ascii="Verdana" w:hAnsi="Verdana" w:cs="Calibri"/>
                <w:sz w:val="18"/>
                <w:szCs w:val="18"/>
              </w:rPr>
            </w:pPr>
            <w:r w:rsidRPr="00BD0961">
              <w:rPr>
                <w:rFonts w:ascii="Verdana" w:hAnsi="Verdana" w:cs="Calibri"/>
                <w:sz w:val="18"/>
                <w:szCs w:val="18"/>
              </w:rPr>
              <w:t xml:space="preserve">Mandate le Comité des Officiers permanents de liaison pour réviser, conformément aux orientations données par le Conseil des ministres, les termes du poste de directeur en vue de sa validation dans les plus brefs délais et afin de procéder au recrutement ;    </w:t>
            </w:r>
          </w:p>
          <w:p w14:paraId="64051A09" w14:textId="2E3B4484" w:rsidR="00730166" w:rsidRPr="00BD0961" w:rsidRDefault="00730166" w:rsidP="00730166">
            <w:pPr>
              <w:pStyle w:val="Paragraphe"/>
              <w:numPr>
                <w:ilvl w:val="0"/>
                <w:numId w:val="26"/>
              </w:numPr>
              <w:ind w:left="229" w:hanging="284"/>
              <w:rPr>
                <w:sz w:val="18"/>
                <w:szCs w:val="18"/>
              </w:rPr>
            </w:pPr>
            <w:r w:rsidRPr="00BD0961">
              <w:rPr>
                <w:sz w:val="18"/>
                <w:szCs w:val="18"/>
              </w:rPr>
              <w:t>Remercie la République de Madagascar pour la mise à disposition de la Directrice auprès du Secrétariat général et par la même occasion la Directrice pour son engagement et la réussite de sa mission</w:t>
            </w:r>
          </w:p>
        </w:tc>
        <w:tc>
          <w:tcPr>
            <w:tcW w:w="1455" w:type="dxa"/>
          </w:tcPr>
          <w:p w14:paraId="32C4C554" w14:textId="77777777" w:rsidR="00730166" w:rsidRPr="00362BB1" w:rsidRDefault="00730166" w:rsidP="00730166">
            <w:pPr>
              <w:jc w:val="center"/>
              <w:rPr>
                <w:rFonts w:ascii="Verdana" w:hAnsi="Verdana"/>
                <w:sz w:val="18"/>
                <w:szCs w:val="18"/>
              </w:rPr>
            </w:pPr>
          </w:p>
        </w:tc>
        <w:tc>
          <w:tcPr>
            <w:tcW w:w="4513" w:type="dxa"/>
          </w:tcPr>
          <w:p w14:paraId="7DE7A7FE" w14:textId="2AD7A7B4" w:rsidR="00730166" w:rsidRPr="00362BB1" w:rsidRDefault="00730166" w:rsidP="1138CD73">
            <w:pPr>
              <w:pStyle w:val="Paragraphedeliste"/>
              <w:numPr>
                <w:ilvl w:val="0"/>
                <w:numId w:val="35"/>
              </w:numPr>
              <w:ind w:left="213" w:hanging="283"/>
              <w:jc w:val="both"/>
              <w:rPr>
                <w:rFonts w:ascii="Verdana" w:hAnsi="Verdana"/>
                <w:sz w:val="18"/>
                <w:szCs w:val="18"/>
              </w:rPr>
            </w:pPr>
            <w:r w:rsidRPr="1138CD73">
              <w:rPr>
                <w:rFonts w:ascii="Verdana" w:hAnsi="Verdana"/>
                <w:sz w:val="18"/>
                <w:szCs w:val="18"/>
              </w:rPr>
              <w:t xml:space="preserve">Les EM sont en consultation nationale. </w:t>
            </w:r>
            <w:r w:rsidR="6F061444" w:rsidRPr="1138CD73">
              <w:rPr>
                <w:rFonts w:ascii="Verdana" w:hAnsi="Verdana"/>
                <w:sz w:val="18"/>
                <w:szCs w:val="18"/>
              </w:rPr>
              <w:t xml:space="preserve">Une discussion a été organisée le 11 septembre 2025 en présence de 4 EM (sans la présence de Maurice). La dernière version </w:t>
            </w:r>
            <w:r w:rsidR="76EC2803" w:rsidRPr="1138CD73">
              <w:rPr>
                <w:rFonts w:ascii="Verdana" w:hAnsi="Verdana"/>
                <w:sz w:val="18"/>
                <w:szCs w:val="18"/>
              </w:rPr>
              <w:t>du texte a été partagé pour une approbation lors du COPL 02/2025.</w:t>
            </w:r>
          </w:p>
          <w:p w14:paraId="623B140E" w14:textId="468B70C1" w:rsidR="1138CD73" w:rsidRDefault="1138CD73" w:rsidP="1138CD73">
            <w:pPr>
              <w:jc w:val="both"/>
              <w:rPr>
                <w:rFonts w:ascii="Verdana" w:hAnsi="Verdana"/>
              </w:rPr>
            </w:pPr>
            <w:r w:rsidRPr="1138CD73">
              <w:rPr>
                <w:rFonts w:ascii="Verdana" w:hAnsi="Verdana"/>
                <w:sz w:val="18"/>
                <w:szCs w:val="18"/>
              </w:rPr>
              <w:t>c)</w:t>
            </w:r>
            <w:r w:rsidR="38747124" w:rsidRPr="1138CD73">
              <w:rPr>
                <w:rFonts w:ascii="Verdana" w:hAnsi="Verdana"/>
                <w:sz w:val="18"/>
                <w:szCs w:val="18"/>
              </w:rPr>
              <w:t xml:space="preserve"> Une discussion a été organisée le 11 septembre 2025 en présence de 4 EM (sans la présence de Maurice). La dernière version du texte a été partagé pour une approbation lors du COPL 02/2025.</w:t>
            </w:r>
          </w:p>
          <w:p w14:paraId="0092D9C3" w14:textId="5EE2579C" w:rsidR="1138CD73" w:rsidRDefault="1138CD73" w:rsidP="1138CD73">
            <w:pPr>
              <w:pStyle w:val="Paragraphedeliste"/>
              <w:ind w:left="213" w:hanging="283"/>
              <w:jc w:val="both"/>
              <w:rPr>
                <w:rFonts w:ascii="Verdana" w:hAnsi="Verdana"/>
                <w:sz w:val="18"/>
                <w:szCs w:val="18"/>
              </w:rPr>
            </w:pPr>
          </w:p>
          <w:p w14:paraId="41D2FD3C" w14:textId="2E7FC5C1" w:rsidR="00730166" w:rsidRPr="00362BB1" w:rsidRDefault="00730166" w:rsidP="00730166">
            <w:pPr>
              <w:rPr>
                <w:rFonts w:ascii="Verdana" w:hAnsi="Verdana"/>
              </w:rPr>
            </w:pPr>
          </w:p>
        </w:tc>
      </w:tr>
      <w:tr w:rsidR="00730166" w:rsidRPr="00362BB1" w14:paraId="7DCC3819" w14:textId="77777777" w:rsidTr="25137305">
        <w:tc>
          <w:tcPr>
            <w:tcW w:w="1843" w:type="dxa"/>
          </w:tcPr>
          <w:p w14:paraId="65450C56" w14:textId="717201D1" w:rsidR="00730166" w:rsidRPr="00362BB1" w:rsidRDefault="00730166" w:rsidP="00730166">
            <w:pPr>
              <w:pStyle w:val="Paragraphedeliste"/>
              <w:ind w:left="0"/>
              <w:contextualSpacing w:val="0"/>
              <w:jc w:val="center"/>
              <w:rPr>
                <w:rFonts w:ascii="Verdana" w:hAnsi="Verdana"/>
                <w:sz w:val="18"/>
                <w:szCs w:val="18"/>
              </w:rPr>
            </w:pPr>
            <w:r w:rsidRPr="00362BB1">
              <w:rPr>
                <w:rFonts w:ascii="Verdana" w:hAnsi="Verdana"/>
                <w:sz w:val="18"/>
                <w:szCs w:val="18"/>
              </w:rPr>
              <w:t>Révision du Statut du personnel et Cadre de mise à disposition d’experts et de personnels auprès du Secrétariat général</w:t>
            </w:r>
          </w:p>
        </w:tc>
        <w:tc>
          <w:tcPr>
            <w:tcW w:w="1365" w:type="dxa"/>
          </w:tcPr>
          <w:p w14:paraId="24F71F3A" w14:textId="6C9CC1B5" w:rsidR="00730166" w:rsidRPr="00362BB1" w:rsidRDefault="00730166" w:rsidP="00730166">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1ABBF077" w14:textId="77777777" w:rsidR="00730166" w:rsidRPr="00362BB1" w:rsidRDefault="00730166" w:rsidP="00730166">
            <w:pPr>
              <w:pStyle w:val="Paragraphe"/>
              <w:numPr>
                <w:ilvl w:val="0"/>
                <w:numId w:val="27"/>
              </w:numPr>
              <w:ind w:left="229" w:hanging="284"/>
              <w:rPr>
                <w:sz w:val="18"/>
                <w:szCs w:val="18"/>
              </w:rPr>
            </w:pPr>
            <w:r w:rsidRPr="00362BB1">
              <w:rPr>
                <w:sz w:val="18"/>
                <w:szCs w:val="18"/>
              </w:rPr>
              <w:t>Prend note des avancées de la révision du Statut du personnel et encourage le Secrétariat général à finaliser les consultations ainsi que le document dans les plus brefs délais en vue de leur approbation par les prochaines instances.</w:t>
            </w:r>
          </w:p>
          <w:p w14:paraId="3704CFC9" w14:textId="77777777" w:rsidR="00730166" w:rsidRPr="00362BB1" w:rsidRDefault="00730166" w:rsidP="00730166">
            <w:pPr>
              <w:pStyle w:val="Paragraphe"/>
              <w:numPr>
                <w:ilvl w:val="0"/>
                <w:numId w:val="27"/>
              </w:numPr>
              <w:ind w:left="229" w:hanging="284"/>
              <w:rPr>
                <w:sz w:val="18"/>
                <w:szCs w:val="18"/>
              </w:rPr>
            </w:pPr>
            <w:r w:rsidRPr="00362BB1">
              <w:rPr>
                <w:sz w:val="18"/>
                <w:szCs w:val="18"/>
              </w:rPr>
              <w:t>Encourage le Secrétariat général à reprendre les discussions avec la République de Maurice concernant la mise à jour de l’Accord de siège.</w:t>
            </w:r>
          </w:p>
          <w:p w14:paraId="3775C1B2" w14:textId="1538B65B" w:rsidR="00730166" w:rsidRPr="00362BB1" w:rsidRDefault="00730166" w:rsidP="00730166">
            <w:pPr>
              <w:pStyle w:val="Paragraphe"/>
              <w:numPr>
                <w:ilvl w:val="0"/>
                <w:numId w:val="27"/>
              </w:numPr>
              <w:ind w:left="229" w:hanging="284"/>
              <w:rPr>
                <w:sz w:val="18"/>
                <w:szCs w:val="18"/>
              </w:rPr>
            </w:pPr>
            <w:r w:rsidRPr="00362BB1">
              <w:rPr>
                <w:sz w:val="18"/>
                <w:szCs w:val="18"/>
              </w:rPr>
              <w:t>Recommande au Conseil des ministres d’approuver le cadre de mise à disposition de personnel et d’experts auprès du Secrétariat général.</w:t>
            </w:r>
          </w:p>
        </w:tc>
        <w:tc>
          <w:tcPr>
            <w:tcW w:w="1455" w:type="dxa"/>
          </w:tcPr>
          <w:p w14:paraId="3B94AA66" w14:textId="77777777" w:rsidR="00730166" w:rsidRPr="00362BB1" w:rsidRDefault="00730166" w:rsidP="00730166">
            <w:pPr>
              <w:jc w:val="center"/>
              <w:rPr>
                <w:rFonts w:ascii="Verdana" w:hAnsi="Verdana"/>
                <w:sz w:val="18"/>
                <w:szCs w:val="18"/>
              </w:rPr>
            </w:pPr>
          </w:p>
        </w:tc>
        <w:tc>
          <w:tcPr>
            <w:tcW w:w="4513" w:type="dxa"/>
          </w:tcPr>
          <w:p w14:paraId="79AB61C4" w14:textId="1C91D2E9" w:rsidR="0086A60E" w:rsidRDefault="0086A60E" w:rsidP="1138CD73">
            <w:pPr>
              <w:pStyle w:val="Paragraphedeliste"/>
              <w:numPr>
                <w:ilvl w:val="0"/>
                <w:numId w:val="36"/>
              </w:numPr>
              <w:ind w:left="213" w:hanging="283"/>
              <w:jc w:val="both"/>
              <w:rPr>
                <w:rFonts w:ascii="Verdana" w:hAnsi="Verdana"/>
                <w:sz w:val="18"/>
                <w:szCs w:val="18"/>
              </w:rPr>
            </w:pPr>
            <w:r w:rsidRPr="1138CD73">
              <w:rPr>
                <w:rFonts w:ascii="Verdana" w:hAnsi="Verdana"/>
                <w:sz w:val="18"/>
                <w:szCs w:val="18"/>
              </w:rPr>
              <w:t xml:space="preserve">Les 7 premiers chapitres ont été revus. Le comité budgétaire de novembre 2025 </w:t>
            </w:r>
            <w:r w:rsidR="1F9DCE92" w:rsidRPr="1138CD73">
              <w:rPr>
                <w:rFonts w:ascii="Verdana" w:hAnsi="Verdana"/>
                <w:sz w:val="18"/>
                <w:szCs w:val="18"/>
              </w:rPr>
              <w:t>révisera</w:t>
            </w:r>
            <w:r w:rsidRPr="1138CD73">
              <w:rPr>
                <w:rFonts w:ascii="Verdana" w:hAnsi="Verdana"/>
                <w:sz w:val="18"/>
                <w:szCs w:val="18"/>
              </w:rPr>
              <w:t xml:space="preserve"> les impacts financiers de la prop</w:t>
            </w:r>
            <w:r w:rsidR="294D1361" w:rsidRPr="1138CD73">
              <w:rPr>
                <w:rFonts w:ascii="Verdana" w:hAnsi="Verdana"/>
                <w:sz w:val="18"/>
                <w:szCs w:val="18"/>
              </w:rPr>
              <w:t>osition. Les EM sont invités à envoyer leurs derniers commentaires sur les chapitres restant en vue d’une finalisation du document</w:t>
            </w:r>
          </w:p>
          <w:p w14:paraId="1C7D393A" w14:textId="0198288A" w:rsidR="00730166" w:rsidRPr="00362BB1" w:rsidRDefault="00730166" w:rsidP="00730166">
            <w:pPr>
              <w:pStyle w:val="Paragraphedeliste"/>
              <w:ind w:left="213"/>
              <w:jc w:val="both"/>
              <w:rPr>
                <w:rFonts w:ascii="Verdana" w:hAnsi="Verdana"/>
                <w:sz w:val="18"/>
                <w:szCs w:val="18"/>
              </w:rPr>
            </w:pPr>
          </w:p>
          <w:p w14:paraId="60B5008F" w14:textId="6BCDAFC9" w:rsidR="00730166" w:rsidRDefault="00730166" w:rsidP="00730166">
            <w:pPr>
              <w:pStyle w:val="Paragraphedeliste"/>
              <w:numPr>
                <w:ilvl w:val="0"/>
                <w:numId w:val="36"/>
              </w:numPr>
              <w:ind w:left="213" w:hanging="283"/>
              <w:jc w:val="both"/>
              <w:rPr>
                <w:rFonts w:ascii="Verdana" w:hAnsi="Verdana"/>
                <w:sz w:val="18"/>
                <w:szCs w:val="18"/>
              </w:rPr>
            </w:pPr>
            <w:r w:rsidRPr="3F34B7A8">
              <w:rPr>
                <w:rFonts w:ascii="Verdana" w:hAnsi="Verdana"/>
                <w:sz w:val="18"/>
                <w:szCs w:val="18"/>
              </w:rPr>
              <w:t>Une réunion avec les autorités de Maurice sera planifiée prochainement</w:t>
            </w:r>
          </w:p>
          <w:p w14:paraId="36C023B1" w14:textId="5BD042B0" w:rsidR="00730166" w:rsidRPr="00472FE3" w:rsidRDefault="00730166" w:rsidP="00730166">
            <w:pPr>
              <w:jc w:val="both"/>
              <w:rPr>
                <w:rFonts w:ascii="Verdana" w:hAnsi="Verdana"/>
                <w:sz w:val="18"/>
                <w:szCs w:val="18"/>
              </w:rPr>
            </w:pPr>
          </w:p>
          <w:p w14:paraId="5159D1A3" w14:textId="226046CF" w:rsidR="00730166" w:rsidRPr="00362BB1" w:rsidRDefault="00730166" w:rsidP="00730166">
            <w:pPr>
              <w:pStyle w:val="Paragraphedeliste"/>
              <w:numPr>
                <w:ilvl w:val="0"/>
                <w:numId w:val="36"/>
              </w:numPr>
              <w:ind w:left="213" w:hanging="283"/>
              <w:jc w:val="both"/>
              <w:rPr>
                <w:rFonts w:ascii="Verdana" w:hAnsi="Verdana"/>
                <w:sz w:val="18"/>
                <w:szCs w:val="18"/>
              </w:rPr>
            </w:pPr>
            <w:r w:rsidRPr="1138CD73">
              <w:rPr>
                <w:rFonts w:ascii="Verdana" w:hAnsi="Verdana"/>
                <w:sz w:val="18"/>
                <w:szCs w:val="18"/>
              </w:rPr>
              <w:lastRenderedPageBreak/>
              <w:t xml:space="preserve">Le cadre de mise à disposition </w:t>
            </w:r>
            <w:r w:rsidR="7D3145A1" w:rsidRPr="1138CD73">
              <w:rPr>
                <w:rFonts w:ascii="Verdana" w:hAnsi="Verdana"/>
                <w:sz w:val="18"/>
                <w:szCs w:val="18"/>
              </w:rPr>
              <w:t>sera présenté au COPL 02/2025 n’ayant pas pu être approuvé lors du dernier Conseil.</w:t>
            </w:r>
          </w:p>
        </w:tc>
      </w:tr>
      <w:tr w:rsidR="00730166" w:rsidRPr="00362BB1" w14:paraId="08B605F5" w14:textId="77777777" w:rsidTr="25137305">
        <w:tc>
          <w:tcPr>
            <w:tcW w:w="1843" w:type="dxa"/>
          </w:tcPr>
          <w:p w14:paraId="1E9107C7" w14:textId="0F32D332" w:rsidR="00730166" w:rsidRPr="00362BB1" w:rsidRDefault="00730166" w:rsidP="00730166">
            <w:pPr>
              <w:jc w:val="center"/>
              <w:rPr>
                <w:rFonts w:ascii="Verdana" w:hAnsi="Verdana"/>
                <w:sz w:val="18"/>
                <w:szCs w:val="18"/>
              </w:rPr>
            </w:pPr>
            <w:r w:rsidRPr="00362BB1">
              <w:rPr>
                <w:rFonts w:ascii="Verdana" w:hAnsi="Verdana"/>
                <w:sz w:val="18"/>
                <w:szCs w:val="18"/>
              </w:rPr>
              <w:lastRenderedPageBreak/>
              <w:t>Nouveau règlement financier</w:t>
            </w:r>
          </w:p>
        </w:tc>
        <w:tc>
          <w:tcPr>
            <w:tcW w:w="1365" w:type="dxa"/>
          </w:tcPr>
          <w:p w14:paraId="3CE417F6" w14:textId="5FD9A1F1" w:rsidR="00730166" w:rsidRPr="00362BB1" w:rsidRDefault="00730166" w:rsidP="00730166">
            <w:pPr>
              <w:jc w:val="center"/>
              <w:rPr>
                <w:rFonts w:ascii="Verdana" w:hAnsi="Verdana"/>
                <w:sz w:val="18"/>
                <w:szCs w:val="18"/>
              </w:rPr>
            </w:pPr>
            <w:r>
              <w:rPr>
                <w:rFonts w:ascii="Verdana" w:hAnsi="Verdana"/>
                <w:sz w:val="18"/>
                <w:szCs w:val="18"/>
              </w:rPr>
              <w:t>39</w:t>
            </w:r>
            <w:r w:rsidRPr="00442A2D">
              <w:rPr>
                <w:rFonts w:ascii="Verdana" w:hAnsi="Verdana"/>
                <w:sz w:val="18"/>
                <w:szCs w:val="18"/>
                <w:vertAlign w:val="superscript"/>
              </w:rPr>
              <w:t>e</w:t>
            </w:r>
            <w:r>
              <w:rPr>
                <w:rFonts w:ascii="Verdana" w:hAnsi="Verdana"/>
                <w:sz w:val="18"/>
                <w:szCs w:val="18"/>
              </w:rPr>
              <w:t xml:space="preserve"> Conseil 16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15781AD3" w14:textId="38C79439" w:rsidR="00730166" w:rsidRPr="00442A2D" w:rsidRDefault="00730166" w:rsidP="00730166">
            <w:pPr>
              <w:pStyle w:val="Corpsdetexte"/>
              <w:spacing w:after="0"/>
              <w:jc w:val="both"/>
              <w:rPr>
                <w:rFonts w:ascii="Verdana" w:hAnsi="Verdana"/>
                <w:sz w:val="18"/>
                <w:szCs w:val="18"/>
              </w:rPr>
            </w:pPr>
            <w:r>
              <w:rPr>
                <w:rFonts w:ascii="Verdana" w:hAnsi="Verdana"/>
                <w:sz w:val="18"/>
                <w:szCs w:val="18"/>
              </w:rPr>
              <w:t>V</w:t>
            </w:r>
            <w:r w:rsidRPr="00442A2D">
              <w:rPr>
                <w:rFonts w:ascii="Verdana" w:hAnsi="Verdana"/>
                <w:sz w:val="18"/>
                <w:szCs w:val="18"/>
              </w:rPr>
              <w:t>alide le nouveau Règlement financier de la COI ainsi que ses annexes en tenant compte des amendements des avis et observations émis par les États membres après son examen par le Comité budgétaire et par le Comité d'audit et des risques</w:t>
            </w:r>
          </w:p>
        </w:tc>
        <w:tc>
          <w:tcPr>
            <w:tcW w:w="1455" w:type="dxa"/>
          </w:tcPr>
          <w:p w14:paraId="3BA9DE0E" w14:textId="77777777" w:rsidR="00730166" w:rsidRPr="00362BB1" w:rsidRDefault="00730166" w:rsidP="00730166">
            <w:pPr>
              <w:jc w:val="center"/>
              <w:rPr>
                <w:rFonts w:ascii="Verdana" w:hAnsi="Verdana"/>
                <w:sz w:val="18"/>
                <w:szCs w:val="18"/>
              </w:rPr>
            </w:pPr>
          </w:p>
        </w:tc>
        <w:tc>
          <w:tcPr>
            <w:tcW w:w="4513" w:type="dxa"/>
          </w:tcPr>
          <w:p w14:paraId="7EB88AE9" w14:textId="77777777" w:rsidR="00730166" w:rsidRPr="00362BB1" w:rsidRDefault="00730166" w:rsidP="00730166">
            <w:pPr>
              <w:rPr>
                <w:rFonts w:ascii="Verdana" w:hAnsi="Verdana"/>
                <w:sz w:val="18"/>
                <w:szCs w:val="18"/>
              </w:rPr>
            </w:pPr>
          </w:p>
        </w:tc>
      </w:tr>
      <w:tr w:rsidR="00730166" w:rsidRPr="00362BB1" w14:paraId="300D5229" w14:textId="77777777" w:rsidTr="25137305">
        <w:tc>
          <w:tcPr>
            <w:tcW w:w="1843" w:type="dxa"/>
          </w:tcPr>
          <w:p w14:paraId="4EC31A49" w14:textId="77777777" w:rsidR="00730166" w:rsidRPr="00362BB1" w:rsidRDefault="00730166" w:rsidP="00730166">
            <w:pPr>
              <w:pStyle w:val="Paragraphedeliste"/>
              <w:ind w:left="0"/>
              <w:contextualSpacing w:val="0"/>
              <w:jc w:val="center"/>
              <w:rPr>
                <w:rFonts w:ascii="Verdana" w:hAnsi="Verdana"/>
                <w:sz w:val="18"/>
                <w:szCs w:val="18"/>
              </w:rPr>
            </w:pPr>
            <w:r w:rsidRPr="00362BB1">
              <w:rPr>
                <w:rFonts w:ascii="Verdana" w:hAnsi="Verdana"/>
                <w:sz w:val="18"/>
                <w:szCs w:val="18"/>
              </w:rPr>
              <w:t>Audit interne et rapport du Comité d’audit et des risques</w:t>
            </w:r>
          </w:p>
          <w:p w14:paraId="6AF0F863" w14:textId="77777777" w:rsidR="00730166" w:rsidRPr="00362BB1" w:rsidRDefault="00730166" w:rsidP="00730166">
            <w:pPr>
              <w:jc w:val="center"/>
              <w:rPr>
                <w:rFonts w:ascii="Verdana" w:hAnsi="Verdana"/>
                <w:sz w:val="18"/>
                <w:szCs w:val="18"/>
              </w:rPr>
            </w:pPr>
          </w:p>
        </w:tc>
        <w:tc>
          <w:tcPr>
            <w:tcW w:w="1365" w:type="dxa"/>
          </w:tcPr>
          <w:p w14:paraId="3975E4F4" w14:textId="267CD82C" w:rsidR="00730166" w:rsidRPr="00362BB1" w:rsidRDefault="00730166" w:rsidP="00730166">
            <w:pPr>
              <w:jc w:val="center"/>
              <w:rPr>
                <w:rFonts w:ascii="Verdana" w:hAnsi="Verdana"/>
                <w:sz w:val="18"/>
                <w:szCs w:val="18"/>
              </w:rPr>
            </w:pPr>
            <w:r>
              <w:rPr>
                <w:rFonts w:ascii="Verdana" w:hAnsi="Verdana"/>
                <w:sz w:val="18"/>
                <w:szCs w:val="18"/>
              </w:rPr>
              <w:t>39</w:t>
            </w:r>
            <w:r w:rsidRPr="00442A2D">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5E03E118" w14:textId="77777777" w:rsidR="00730166" w:rsidRPr="00442A2D" w:rsidRDefault="00730166" w:rsidP="00730166">
            <w:pPr>
              <w:pStyle w:val="Paragraphe"/>
              <w:numPr>
                <w:ilvl w:val="0"/>
                <w:numId w:val="28"/>
              </w:numPr>
              <w:ind w:left="229" w:hanging="284"/>
              <w:rPr>
                <w:sz w:val="18"/>
                <w:szCs w:val="18"/>
              </w:rPr>
            </w:pPr>
            <w:r w:rsidRPr="00442A2D">
              <w:rPr>
                <w:sz w:val="18"/>
                <w:szCs w:val="18"/>
              </w:rPr>
              <w:t>Prend note du procès-verbal et des recommandations de la réunion du Comité d’Audit et des Risques (CAR), tenue les 25-26 mars 2025 et demande au Secrétariat général d’observer ces recommandations.</w:t>
            </w:r>
          </w:p>
          <w:p w14:paraId="55DF2EA8" w14:textId="77777777" w:rsidR="00730166" w:rsidRPr="00442A2D" w:rsidRDefault="00730166" w:rsidP="00730166">
            <w:pPr>
              <w:pStyle w:val="Paragraphe"/>
              <w:numPr>
                <w:ilvl w:val="0"/>
                <w:numId w:val="28"/>
              </w:numPr>
              <w:ind w:left="229" w:hanging="284"/>
              <w:rPr>
                <w:sz w:val="18"/>
                <w:szCs w:val="18"/>
              </w:rPr>
            </w:pPr>
            <w:r w:rsidRPr="00442A2D">
              <w:rPr>
                <w:sz w:val="18"/>
                <w:szCs w:val="18"/>
              </w:rPr>
              <w:t>Prend note des conclusions de l’audit externe réalisé par le cabinet Moore sur le budget de fonctionnement de la COI, et de la certification sans réserve des comptes de l’exercice 2024 ;</w:t>
            </w:r>
          </w:p>
          <w:p w14:paraId="6E0DD42C" w14:textId="77777777" w:rsidR="00730166" w:rsidRPr="00442A2D" w:rsidRDefault="00730166" w:rsidP="00730166">
            <w:pPr>
              <w:pStyle w:val="Paragraphe"/>
              <w:numPr>
                <w:ilvl w:val="0"/>
                <w:numId w:val="28"/>
              </w:numPr>
              <w:ind w:left="229" w:hanging="284"/>
              <w:rPr>
                <w:sz w:val="18"/>
                <w:szCs w:val="18"/>
              </w:rPr>
            </w:pPr>
            <w:r w:rsidRPr="00442A2D">
              <w:rPr>
                <w:sz w:val="18"/>
                <w:szCs w:val="18"/>
              </w:rPr>
              <w:t>Donne quitus au Secrétaire général sur les états financiers de l’exercice 2024, tels qu’examinés et validés par le CAR lors de sa réunion des 25 et 26 mars 2025 ;</w:t>
            </w:r>
          </w:p>
          <w:p w14:paraId="23918077" w14:textId="77777777" w:rsidR="00730166" w:rsidRDefault="00730166" w:rsidP="00730166">
            <w:pPr>
              <w:pStyle w:val="Corpsdetexte"/>
              <w:widowControl w:val="0"/>
              <w:numPr>
                <w:ilvl w:val="0"/>
                <w:numId w:val="28"/>
              </w:numPr>
              <w:autoSpaceDE w:val="0"/>
              <w:autoSpaceDN w:val="0"/>
              <w:spacing w:after="0"/>
              <w:ind w:left="229" w:hanging="284"/>
              <w:jc w:val="both"/>
              <w:rPr>
                <w:rFonts w:ascii="Verdana" w:hAnsi="Verdana"/>
                <w:sz w:val="18"/>
                <w:szCs w:val="18"/>
              </w:rPr>
            </w:pPr>
            <w:r w:rsidRPr="00442A2D">
              <w:rPr>
                <w:rFonts w:ascii="Verdana" w:hAnsi="Verdana"/>
                <w:sz w:val="18"/>
                <w:szCs w:val="18"/>
              </w:rPr>
              <w:t>Demande au Secrétariat général d’appliquer les mesures disciplinaires en cas de non-conformité, tant en interne qu’en externe ;</w:t>
            </w:r>
          </w:p>
          <w:p w14:paraId="4D70C36A" w14:textId="77777777" w:rsidR="00730166" w:rsidRPr="00442A2D" w:rsidRDefault="00730166" w:rsidP="00730166">
            <w:pPr>
              <w:pStyle w:val="Corpsdetexte"/>
              <w:widowControl w:val="0"/>
              <w:autoSpaceDE w:val="0"/>
              <w:autoSpaceDN w:val="0"/>
              <w:spacing w:after="0"/>
              <w:ind w:left="229"/>
              <w:jc w:val="both"/>
              <w:rPr>
                <w:rFonts w:ascii="Verdana" w:hAnsi="Verdana"/>
                <w:sz w:val="18"/>
                <w:szCs w:val="18"/>
              </w:rPr>
            </w:pPr>
          </w:p>
          <w:p w14:paraId="7ADD2932" w14:textId="1FFA1F0A" w:rsidR="00730166" w:rsidRPr="00442A2D" w:rsidRDefault="00730166" w:rsidP="00730166">
            <w:pPr>
              <w:pStyle w:val="Paragraphe"/>
              <w:numPr>
                <w:ilvl w:val="0"/>
                <w:numId w:val="28"/>
              </w:numPr>
              <w:ind w:left="229" w:hanging="284"/>
              <w:rPr>
                <w:color w:val="000000" w:themeColor="text1"/>
                <w:sz w:val="18"/>
                <w:szCs w:val="18"/>
              </w:rPr>
            </w:pPr>
            <w:r w:rsidRPr="00442A2D">
              <w:rPr>
                <w:sz w:val="18"/>
                <w:szCs w:val="18"/>
              </w:rPr>
              <w:t>Demande au Secrétariat général et aux projets de la COI d’intégrer systématiquement dans leurs prévisions financières une ligne budgétaire spécifique dédiée aux missions d’audit interne, conformément aux normes internationales, afin de garantir l’indépendance et l’efficacité du service</w:t>
            </w:r>
          </w:p>
        </w:tc>
        <w:tc>
          <w:tcPr>
            <w:tcW w:w="1455" w:type="dxa"/>
          </w:tcPr>
          <w:p w14:paraId="11826B16" w14:textId="77777777" w:rsidR="00730166" w:rsidRPr="00362BB1" w:rsidRDefault="00730166" w:rsidP="00730166">
            <w:pPr>
              <w:jc w:val="center"/>
              <w:rPr>
                <w:rFonts w:ascii="Verdana" w:hAnsi="Verdana"/>
                <w:sz w:val="18"/>
                <w:szCs w:val="18"/>
              </w:rPr>
            </w:pPr>
          </w:p>
        </w:tc>
        <w:tc>
          <w:tcPr>
            <w:tcW w:w="4513" w:type="dxa"/>
          </w:tcPr>
          <w:p w14:paraId="0621EF03" w14:textId="52A0E7AD" w:rsidR="00730166" w:rsidRDefault="00730166" w:rsidP="691FA01A">
            <w:pPr>
              <w:pStyle w:val="Paragraphedeliste"/>
              <w:numPr>
                <w:ilvl w:val="0"/>
                <w:numId w:val="37"/>
              </w:numPr>
              <w:ind w:left="213" w:hanging="283"/>
              <w:jc w:val="both"/>
              <w:rPr>
                <w:rFonts w:ascii="Verdana" w:hAnsi="Verdana"/>
                <w:sz w:val="18"/>
                <w:szCs w:val="18"/>
              </w:rPr>
            </w:pPr>
            <w:r w:rsidRPr="691FA01A">
              <w:rPr>
                <w:rFonts w:ascii="Verdana" w:hAnsi="Verdana"/>
                <w:sz w:val="18"/>
                <w:szCs w:val="18"/>
              </w:rPr>
              <w:t>La réunion trimestrielle du Comité d’Audit et des Risques (CAR), programmée pour le 17 juillet, sera consacrée à l’examen des rapports récents d’audit interne et externe, ainsi qu’au suivi de la mise en œuvre des recommandations formulées</w:t>
            </w:r>
            <w:r w:rsidR="2D81CA7D" w:rsidRPr="691FA01A">
              <w:rPr>
                <w:rFonts w:ascii="Verdana" w:hAnsi="Verdana"/>
                <w:sz w:val="18"/>
                <w:szCs w:val="18"/>
              </w:rPr>
              <w:t>. Il reste 40% des r</w:t>
            </w:r>
            <w:r w:rsidR="3FCBFA80" w:rsidRPr="691FA01A">
              <w:rPr>
                <w:rFonts w:ascii="Verdana" w:hAnsi="Verdana"/>
                <w:sz w:val="18"/>
                <w:szCs w:val="18"/>
              </w:rPr>
              <w:t>e</w:t>
            </w:r>
            <w:r w:rsidR="2D81CA7D" w:rsidRPr="691FA01A">
              <w:rPr>
                <w:rFonts w:ascii="Verdana" w:hAnsi="Verdana"/>
                <w:sz w:val="18"/>
                <w:szCs w:val="18"/>
              </w:rPr>
              <w:t xml:space="preserve">commandations en cours de mise </w:t>
            </w:r>
            <w:r w:rsidR="03A5F0B6" w:rsidRPr="691FA01A">
              <w:rPr>
                <w:rFonts w:ascii="Verdana" w:hAnsi="Verdana"/>
                <w:sz w:val="18"/>
                <w:szCs w:val="18"/>
              </w:rPr>
              <w:t>œuvre</w:t>
            </w:r>
            <w:r w:rsidR="2D81CA7D" w:rsidRPr="691FA01A">
              <w:rPr>
                <w:rFonts w:ascii="Verdana" w:hAnsi="Verdana"/>
                <w:sz w:val="18"/>
                <w:szCs w:val="18"/>
              </w:rPr>
              <w:t xml:space="preserve"> après l’approbation des manuels finance budget, passation de marché, subvention</w:t>
            </w:r>
            <w:r w:rsidR="3AEAE331" w:rsidRPr="691FA01A">
              <w:rPr>
                <w:rFonts w:ascii="Verdana" w:hAnsi="Verdana"/>
                <w:sz w:val="18"/>
                <w:szCs w:val="18"/>
              </w:rPr>
              <w:t>.</w:t>
            </w:r>
          </w:p>
          <w:p w14:paraId="6F2D18E9" w14:textId="77777777" w:rsidR="00730166" w:rsidRDefault="00730166" w:rsidP="00730166">
            <w:pPr>
              <w:ind w:left="213" w:hanging="283"/>
              <w:jc w:val="both"/>
              <w:rPr>
                <w:rFonts w:ascii="Verdana" w:hAnsi="Verdana"/>
                <w:sz w:val="18"/>
                <w:szCs w:val="18"/>
              </w:rPr>
            </w:pPr>
          </w:p>
          <w:p w14:paraId="0112982C" w14:textId="77777777" w:rsidR="00730166" w:rsidRDefault="00730166" w:rsidP="00730166">
            <w:pPr>
              <w:ind w:left="213" w:hanging="283"/>
              <w:jc w:val="both"/>
              <w:rPr>
                <w:rFonts w:ascii="Verdana" w:hAnsi="Verdana"/>
                <w:sz w:val="18"/>
                <w:szCs w:val="18"/>
              </w:rPr>
            </w:pPr>
          </w:p>
          <w:p w14:paraId="0664471B" w14:textId="77777777" w:rsidR="00730166" w:rsidRDefault="00730166" w:rsidP="00730166">
            <w:pPr>
              <w:ind w:left="213" w:hanging="283"/>
              <w:jc w:val="both"/>
              <w:rPr>
                <w:rFonts w:ascii="Verdana" w:hAnsi="Verdana"/>
                <w:sz w:val="18"/>
                <w:szCs w:val="18"/>
              </w:rPr>
            </w:pPr>
          </w:p>
          <w:p w14:paraId="46B28772" w14:textId="77777777" w:rsidR="00730166" w:rsidRDefault="00730166" w:rsidP="00730166">
            <w:pPr>
              <w:ind w:left="213" w:hanging="283"/>
              <w:jc w:val="both"/>
              <w:rPr>
                <w:rFonts w:ascii="Verdana" w:hAnsi="Verdana"/>
                <w:sz w:val="18"/>
                <w:szCs w:val="18"/>
              </w:rPr>
            </w:pPr>
          </w:p>
          <w:p w14:paraId="76D90828" w14:textId="77777777" w:rsidR="00730166" w:rsidRPr="00D06683" w:rsidRDefault="00730166" w:rsidP="00730166">
            <w:pPr>
              <w:ind w:left="213" w:hanging="283"/>
              <w:jc w:val="both"/>
              <w:rPr>
                <w:rFonts w:ascii="Verdana" w:hAnsi="Verdana"/>
                <w:sz w:val="18"/>
                <w:szCs w:val="18"/>
              </w:rPr>
            </w:pPr>
          </w:p>
          <w:p w14:paraId="3789AEA9" w14:textId="5008978C" w:rsidR="00730166" w:rsidRPr="00D06683" w:rsidRDefault="00730166" w:rsidP="00730166">
            <w:pPr>
              <w:pStyle w:val="Paragraphedeliste"/>
              <w:numPr>
                <w:ilvl w:val="0"/>
                <w:numId w:val="36"/>
              </w:numPr>
              <w:ind w:left="213" w:hanging="283"/>
              <w:contextualSpacing w:val="0"/>
              <w:jc w:val="both"/>
              <w:rPr>
                <w:rFonts w:ascii="Verdana" w:hAnsi="Verdana"/>
                <w:sz w:val="18"/>
                <w:szCs w:val="18"/>
              </w:rPr>
            </w:pPr>
            <w:r w:rsidRPr="00D06683">
              <w:rPr>
                <w:rFonts w:ascii="Verdana" w:hAnsi="Verdana"/>
                <w:sz w:val="18"/>
                <w:szCs w:val="18"/>
              </w:rPr>
              <w:t>Mesures disciplinaires à déterminer en fonction de la gravité des infractions et renforcement de la mise en œuvre de la politique d’exclusion du financement (Pilier n° 7 de l’accréditation aux neuf Piliers)</w:t>
            </w:r>
          </w:p>
          <w:p w14:paraId="5352F1A6" w14:textId="414A72C1" w:rsidR="00730166" w:rsidRPr="00D06683" w:rsidRDefault="00730166" w:rsidP="00730166">
            <w:pPr>
              <w:pStyle w:val="Paragraphedeliste"/>
              <w:numPr>
                <w:ilvl w:val="0"/>
                <w:numId w:val="36"/>
              </w:numPr>
              <w:ind w:left="213" w:hanging="283"/>
              <w:contextualSpacing w:val="0"/>
              <w:jc w:val="both"/>
              <w:rPr>
                <w:rFonts w:ascii="Verdana" w:hAnsi="Verdana"/>
                <w:sz w:val="18"/>
                <w:szCs w:val="18"/>
              </w:rPr>
            </w:pPr>
            <w:r w:rsidRPr="00D06683">
              <w:rPr>
                <w:rFonts w:ascii="Verdana" w:hAnsi="Verdana"/>
                <w:sz w:val="18"/>
                <w:szCs w:val="18"/>
              </w:rPr>
              <w:t>Note de service à adresser aux projets, précisant l’importance de consacrer une ligne budgétaire dédiée aux éventuelles missions d’audit interne</w:t>
            </w:r>
          </w:p>
        </w:tc>
      </w:tr>
      <w:tr w:rsidR="00730166" w:rsidRPr="00362BB1" w14:paraId="3456CB9B" w14:textId="77777777" w:rsidTr="25137305">
        <w:tc>
          <w:tcPr>
            <w:tcW w:w="1843" w:type="dxa"/>
          </w:tcPr>
          <w:p w14:paraId="55413734" w14:textId="77777777" w:rsidR="00730166" w:rsidRPr="00362BB1" w:rsidRDefault="00730166" w:rsidP="00730166">
            <w:pPr>
              <w:pStyle w:val="Paragraphedeliste"/>
              <w:ind w:left="0"/>
              <w:contextualSpacing w:val="0"/>
              <w:jc w:val="center"/>
              <w:rPr>
                <w:rFonts w:ascii="Verdana" w:hAnsi="Verdana"/>
                <w:sz w:val="18"/>
                <w:szCs w:val="18"/>
              </w:rPr>
            </w:pPr>
            <w:r w:rsidRPr="00362BB1">
              <w:rPr>
                <w:rFonts w:ascii="Verdana" w:hAnsi="Verdana"/>
                <w:sz w:val="18"/>
                <w:szCs w:val="18"/>
              </w:rPr>
              <w:t>Inéligibilités</w:t>
            </w:r>
          </w:p>
          <w:p w14:paraId="0A15B51B" w14:textId="77777777" w:rsidR="00730166" w:rsidRPr="00362BB1" w:rsidRDefault="00730166" w:rsidP="00730166">
            <w:pPr>
              <w:jc w:val="center"/>
              <w:rPr>
                <w:rFonts w:ascii="Verdana" w:hAnsi="Verdana"/>
                <w:sz w:val="18"/>
                <w:szCs w:val="18"/>
              </w:rPr>
            </w:pPr>
          </w:p>
        </w:tc>
        <w:tc>
          <w:tcPr>
            <w:tcW w:w="1365" w:type="dxa"/>
          </w:tcPr>
          <w:p w14:paraId="7DD187D9" w14:textId="16536708" w:rsidR="00730166" w:rsidRPr="00362BB1" w:rsidRDefault="00730166" w:rsidP="00730166">
            <w:pPr>
              <w:jc w:val="center"/>
              <w:rPr>
                <w:rFonts w:ascii="Verdana" w:hAnsi="Verdana"/>
                <w:sz w:val="18"/>
                <w:szCs w:val="18"/>
              </w:rPr>
            </w:pPr>
            <w:r>
              <w:rPr>
                <w:rFonts w:ascii="Verdana" w:hAnsi="Verdana"/>
                <w:sz w:val="18"/>
                <w:szCs w:val="18"/>
              </w:rPr>
              <w:t>39</w:t>
            </w:r>
            <w:r w:rsidRPr="00654CB0">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69D3D9EF" w14:textId="77777777" w:rsidR="00730166" w:rsidRPr="00654CB0" w:rsidRDefault="00730166" w:rsidP="00730166">
            <w:pPr>
              <w:pStyle w:val="Corpsdetexte"/>
              <w:widowControl w:val="0"/>
              <w:numPr>
                <w:ilvl w:val="0"/>
                <w:numId w:val="29"/>
              </w:numPr>
              <w:autoSpaceDE w:val="0"/>
              <w:autoSpaceDN w:val="0"/>
              <w:spacing w:after="0"/>
              <w:ind w:left="229" w:hanging="284"/>
              <w:jc w:val="both"/>
              <w:rPr>
                <w:rFonts w:ascii="Verdana" w:hAnsi="Verdana"/>
                <w:sz w:val="18"/>
                <w:szCs w:val="18"/>
              </w:rPr>
            </w:pPr>
            <w:r w:rsidRPr="00654CB0">
              <w:rPr>
                <w:rFonts w:ascii="Verdana" w:hAnsi="Verdana"/>
                <w:sz w:val="18"/>
                <w:szCs w:val="18"/>
              </w:rPr>
              <w:t xml:space="preserve">Prend note des conclusions et recommandations du </w:t>
            </w:r>
            <w:bookmarkStart w:id="0" w:name="_Hlk195197952"/>
            <w:r w:rsidRPr="00654CB0">
              <w:rPr>
                <w:rFonts w:ascii="Verdana" w:hAnsi="Verdana"/>
                <w:sz w:val="18"/>
                <w:szCs w:val="18"/>
              </w:rPr>
              <w:t>Comité d’audit et des risques</w:t>
            </w:r>
            <w:bookmarkEnd w:id="0"/>
            <w:r w:rsidRPr="00654CB0">
              <w:rPr>
                <w:rFonts w:ascii="Verdana" w:hAnsi="Verdana"/>
                <w:sz w:val="18"/>
                <w:szCs w:val="18"/>
              </w:rPr>
              <w:t xml:space="preserve"> sur les nouvelles inéligibilités issues du projet MASE DP 5 ; </w:t>
            </w:r>
          </w:p>
          <w:p w14:paraId="7F5C82A8" w14:textId="77777777" w:rsidR="00730166" w:rsidRPr="00654CB0" w:rsidRDefault="00730166" w:rsidP="00730166">
            <w:pPr>
              <w:pStyle w:val="Corpsdetexte"/>
              <w:widowControl w:val="0"/>
              <w:numPr>
                <w:ilvl w:val="0"/>
                <w:numId w:val="29"/>
              </w:numPr>
              <w:autoSpaceDE w:val="0"/>
              <w:autoSpaceDN w:val="0"/>
              <w:spacing w:after="0"/>
              <w:ind w:left="229" w:hanging="284"/>
              <w:jc w:val="both"/>
              <w:rPr>
                <w:rFonts w:ascii="Verdana" w:hAnsi="Verdana"/>
                <w:sz w:val="18"/>
                <w:szCs w:val="18"/>
              </w:rPr>
            </w:pPr>
            <w:r w:rsidRPr="00654CB0">
              <w:rPr>
                <w:rFonts w:ascii="Verdana" w:hAnsi="Verdana"/>
                <w:sz w:val="18"/>
                <w:szCs w:val="18"/>
              </w:rPr>
              <w:t>Demande au Secrétariat général d’éclairer les États membres sur les modalités et les implications financières et non-financières d’un éventuel recours pour appel auprès de l’Ombudsman / médiateur européen, pour contester ces inéligibilités en partie ou dans leur intégralité en s’appuyant sur le rapport du Comité d’audit et des risques ;</w:t>
            </w:r>
          </w:p>
          <w:p w14:paraId="1B0D6942" w14:textId="77777777" w:rsidR="00730166" w:rsidRPr="00654CB0" w:rsidRDefault="00730166" w:rsidP="00730166">
            <w:pPr>
              <w:pStyle w:val="Corpsdetexte"/>
              <w:widowControl w:val="0"/>
              <w:numPr>
                <w:ilvl w:val="0"/>
                <w:numId w:val="29"/>
              </w:numPr>
              <w:autoSpaceDE w:val="0"/>
              <w:autoSpaceDN w:val="0"/>
              <w:spacing w:after="0"/>
              <w:ind w:left="229" w:hanging="284"/>
              <w:jc w:val="both"/>
              <w:rPr>
                <w:rFonts w:ascii="Verdana" w:hAnsi="Verdana"/>
                <w:sz w:val="18"/>
                <w:szCs w:val="18"/>
              </w:rPr>
            </w:pPr>
            <w:r w:rsidRPr="00654CB0">
              <w:rPr>
                <w:rFonts w:ascii="Verdana" w:hAnsi="Verdana"/>
                <w:sz w:val="18"/>
                <w:szCs w:val="18"/>
              </w:rPr>
              <w:t xml:space="preserve">Mandate la présidence en exercice du Conseil d’engager un dialogue politique avec la Délégation de l’Union européenne en vue d’une solution sur les inéligibilités ; </w:t>
            </w:r>
          </w:p>
          <w:p w14:paraId="6C8BD720" w14:textId="77777777" w:rsidR="00730166" w:rsidRPr="00654CB0" w:rsidRDefault="00730166" w:rsidP="00730166">
            <w:pPr>
              <w:pStyle w:val="Corpsdetexte"/>
              <w:widowControl w:val="0"/>
              <w:numPr>
                <w:ilvl w:val="0"/>
                <w:numId w:val="29"/>
              </w:numPr>
              <w:autoSpaceDE w:val="0"/>
              <w:autoSpaceDN w:val="0"/>
              <w:spacing w:after="0"/>
              <w:ind w:left="229" w:hanging="284"/>
              <w:jc w:val="both"/>
              <w:rPr>
                <w:rFonts w:ascii="Verdana" w:hAnsi="Verdana"/>
                <w:sz w:val="18"/>
                <w:szCs w:val="18"/>
              </w:rPr>
            </w:pPr>
            <w:r w:rsidRPr="00654CB0">
              <w:rPr>
                <w:rFonts w:ascii="Verdana" w:hAnsi="Verdana"/>
                <w:sz w:val="18"/>
                <w:szCs w:val="18"/>
              </w:rPr>
              <w:lastRenderedPageBreak/>
              <w:t>Demande au Secrétariat général de veiller à la mise en place des recommandations du Comité d’audit et des risques et de renforcer le contrôle surtout en matière de passation de marchés afin d’éviter des inéligibilités futures ;</w:t>
            </w:r>
          </w:p>
          <w:p w14:paraId="6A559521" w14:textId="45589136" w:rsidR="00730166" w:rsidRPr="005A770E" w:rsidRDefault="00730166" w:rsidP="00730166">
            <w:pPr>
              <w:pStyle w:val="Corpsdetexte"/>
              <w:widowControl w:val="0"/>
              <w:numPr>
                <w:ilvl w:val="0"/>
                <w:numId w:val="29"/>
              </w:numPr>
              <w:autoSpaceDE w:val="0"/>
              <w:autoSpaceDN w:val="0"/>
              <w:spacing w:after="0"/>
              <w:ind w:left="229" w:hanging="284"/>
              <w:jc w:val="both"/>
              <w:rPr>
                <w:rFonts w:ascii="Verdana" w:hAnsi="Verdana"/>
                <w:sz w:val="18"/>
                <w:szCs w:val="18"/>
              </w:rPr>
            </w:pPr>
            <w:r w:rsidRPr="00654CB0">
              <w:rPr>
                <w:rFonts w:ascii="Verdana" w:hAnsi="Verdana"/>
                <w:sz w:val="18"/>
                <w:szCs w:val="18"/>
              </w:rPr>
              <w:t>Réitère sa demande au Secrétariat général de définir un moyen effectif de comptabilisation et de valorisation des contreparties du Secrétariat général et des États membres dans la mise en œuvre des projets afin d'apurer les inéligibilités.</w:t>
            </w:r>
          </w:p>
        </w:tc>
        <w:tc>
          <w:tcPr>
            <w:tcW w:w="1455" w:type="dxa"/>
          </w:tcPr>
          <w:p w14:paraId="7046F238" w14:textId="77777777" w:rsidR="00730166" w:rsidRPr="00362BB1" w:rsidRDefault="00730166" w:rsidP="00730166">
            <w:pPr>
              <w:jc w:val="center"/>
              <w:rPr>
                <w:rFonts w:ascii="Verdana" w:hAnsi="Verdana"/>
                <w:sz w:val="18"/>
                <w:szCs w:val="18"/>
              </w:rPr>
            </w:pPr>
          </w:p>
        </w:tc>
        <w:tc>
          <w:tcPr>
            <w:tcW w:w="4513" w:type="dxa"/>
          </w:tcPr>
          <w:p w14:paraId="528B72E9" w14:textId="77777777" w:rsidR="00730166" w:rsidRDefault="00730166" w:rsidP="00730166">
            <w:pPr>
              <w:pStyle w:val="Paragraphedeliste"/>
              <w:ind w:left="213"/>
              <w:rPr>
                <w:rFonts w:ascii="Verdana" w:hAnsi="Verdana"/>
                <w:sz w:val="18"/>
                <w:szCs w:val="18"/>
              </w:rPr>
            </w:pPr>
          </w:p>
          <w:p w14:paraId="63495BF1" w14:textId="77777777" w:rsidR="00730166" w:rsidRDefault="00730166" w:rsidP="00730166">
            <w:pPr>
              <w:pStyle w:val="Paragraphedeliste"/>
              <w:ind w:left="213"/>
              <w:rPr>
                <w:rFonts w:ascii="Verdana" w:hAnsi="Verdana"/>
                <w:sz w:val="18"/>
                <w:szCs w:val="18"/>
              </w:rPr>
            </w:pPr>
          </w:p>
          <w:p w14:paraId="4450E53D" w14:textId="77777777" w:rsidR="00730166" w:rsidRDefault="00730166" w:rsidP="00730166">
            <w:pPr>
              <w:pStyle w:val="Paragraphedeliste"/>
              <w:ind w:left="213"/>
              <w:rPr>
                <w:rFonts w:ascii="Verdana" w:hAnsi="Verdana"/>
                <w:sz w:val="18"/>
                <w:szCs w:val="18"/>
              </w:rPr>
            </w:pPr>
          </w:p>
          <w:p w14:paraId="1861EEBA" w14:textId="10F64395" w:rsidR="00730166" w:rsidRDefault="00730166" w:rsidP="00730166">
            <w:pPr>
              <w:pStyle w:val="Paragraphedeliste"/>
              <w:numPr>
                <w:ilvl w:val="0"/>
                <w:numId w:val="35"/>
              </w:numPr>
              <w:ind w:left="213" w:hanging="283"/>
              <w:rPr>
                <w:rFonts w:ascii="Verdana" w:hAnsi="Verdana"/>
                <w:sz w:val="18"/>
                <w:szCs w:val="18"/>
              </w:rPr>
            </w:pPr>
            <w:r w:rsidRPr="7F105799">
              <w:rPr>
                <w:rFonts w:ascii="Verdana" w:hAnsi="Verdana"/>
                <w:sz w:val="18"/>
                <w:szCs w:val="18"/>
              </w:rPr>
              <w:t>Service budget finance prépare</w:t>
            </w:r>
          </w:p>
          <w:p w14:paraId="6DCB9F3D" w14:textId="77777777" w:rsidR="00730166" w:rsidRDefault="00730166" w:rsidP="00730166">
            <w:pPr>
              <w:pStyle w:val="Paragraphedeliste"/>
              <w:ind w:left="213"/>
              <w:rPr>
                <w:rFonts w:ascii="Verdana" w:hAnsi="Verdana"/>
                <w:sz w:val="18"/>
                <w:szCs w:val="18"/>
              </w:rPr>
            </w:pPr>
          </w:p>
          <w:p w14:paraId="62BE4F31" w14:textId="77777777" w:rsidR="00730166" w:rsidRDefault="00730166" w:rsidP="00730166">
            <w:pPr>
              <w:pStyle w:val="Paragraphedeliste"/>
              <w:ind w:left="213"/>
              <w:rPr>
                <w:rFonts w:ascii="Verdana" w:hAnsi="Verdana"/>
                <w:sz w:val="18"/>
                <w:szCs w:val="18"/>
              </w:rPr>
            </w:pPr>
          </w:p>
          <w:p w14:paraId="487598FC" w14:textId="77777777" w:rsidR="00730166" w:rsidRDefault="00730166" w:rsidP="00730166">
            <w:pPr>
              <w:pStyle w:val="Paragraphedeliste"/>
              <w:ind w:left="213"/>
              <w:rPr>
                <w:rFonts w:ascii="Verdana" w:hAnsi="Verdana"/>
                <w:sz w:val="18"/>
                <w:szCs w:val="18"/>
              </w:rPr>
            </w:pPr>
          </w:p>
          <w:p w14:paraId="6943DBF7" w14:textId="77777777" w:rsidR="00730166" w:rsidRDefault="00730166" w:rsidP="00730166">
            <w:pPr>
              <w:pStyle w:val="Paragraphedeliste"/>
              <w:ind w:left="213"/>
              <w:rPr>
                <w:rFonts w:ascii="Verdana" w:hAnsi="Verdana"/>
                <w:sz w:val="18"/>
                <w:szCs w:val="18"/>
              </w:rPr>
            </w:pPr>
          </w:p>
          <w:p w14:paraId="086B3E8D" w14:textId="77777777" w:rsidR="00730166" w:rsidRPr="00362BB1" w:rsidRDefault="00730166" w:rsidP="00730166">
            <w:pPr>
              <w:pStyle w:val="Paragraphedeliste"/>
              <w:ind w:left="213"/>
              <w:rPr>
                <w:rFonts w:ascii="Verdana" w:hAnsi="Verdana"/>
                <w:sz w:val="18"/>
                <w:szCs w:val="18"/>
              </w:rPr>
            </w:pPr>
          </w:p>
          <w:p w14:paraId="08E459A8" w14:textId="32F20450" w:rsidR="00730166" w:rsidRPr="00362BB1" w:rsidRDefault="00730166" w:rsidP="00730166">
            <w:pPr>
              <w:pStyle w:val="Paragraphedeliste"/>
              <w:numPr>
                <w:ilvl w:val="0"/>
                <w:numId w:val="35"/>
              </w:numPr>
              <w:ind w:left="213" w:hanging="283"/>
              <w:rPr>
                <w:rFonts w:ascii="Verdana" w:hAnsi="Verdana"/>
                <w:sz w:val="18"/>
                <w:szCs w:val="18"/>
              </w:rPr>
            </w:pPr>
            <w:proofErr w:type="spellStart"/>
            <w:r w:rsidRPr="7F105799">
              <w:rPr>
                <w:rFonts w:ascii="Verdana" w:hAnsi="Verdana"/>
                <w:sz w:val="18"/>
                <w:szCs w:val="18"/>
              </w:rPr>
              <w:t>A</w:t>
            </w:r>
            <w:proofErr w:type="spellEnd"/>
            <w:r w:rsidRPr="7F105799">
              <w:rPr>
                <w:rFonts w:ascii="Verdana" w:hAnsi="Verdana"/>
                <w:sz w:val="18"/>
                <w:szCs w:val="18"/>
              </w:rPr>
              <w:t xml:space="preserve"> voir avec</w:t>
            </w:r>
            <w:r w:rsidRPr="150F264C">
              <w:rPr>
                <w:rFonts w:ascii="Verdana" w:hAnsi="Verdana"/>
                <w:sz w:val="18"/>
                <w:szCs w:val="18"/>
              </w:rPr>
              <w:t xml:space="preserve"> la DUE</w:t>
            </w:r>
          </w:p>
          <w:p w14:paraId="6EA2E287" w14:textId="0B623198" w:rsidR="00730166" w:rsidRDefault="00730166" w:rsidP="00730166">
            <w:pPr>
              <w:pStyle w:val="Paragraphedeliste"/>
              <w:ind w:left="213"/>
              <w:rPr>
                <w:rFonts w:ascii="Verdana" w:hAnsi="Verdana"/>
                <w:sz w:val="18"/>
                <w:szCs w:val="18"/>
              </w:rPr>
            </w:pPr>
          </w:p>
          <w:p w14:paraId="2182BAD5" w14:textId="77777777" w:rsidR="00730166" w:rsidRDefault="00730166" w:rsidP="00730166">
            <w:pPr>
              <w:pStyle w:val="Paragraphedeliste"/>
              <w:ind w:left="213"/>
              <w:rPr>
                <w:rFonts w:ascii="Verdana" w:hAnsi="Verdana"/>
                <w:sz w:val="18"/>
                <w:szCs w:val="18"/>
              </w:rPr>
            </w:pPr>
          </w:p>
          <w:p w14:paraId="374ADF80" w14:textId="77777777" w:rsidR="00730166" w:rsidRPr="00362BB1" w:rsidRDefault="00730166" w:rsidP="00730166">
            <w:pPr>
              <w:pStyle w:val="Paragraphedeliste"/>
              <w:ind w:left="213"/>
              <w:rPr>
                <w:rFonts w:ascii="Verdana" w:hAnsi="Verdana"/>
                <w:sz w:val="18"/>
                <w:szCs w:val="18"/>
              </w:rPr>
            </w:pPr>
          </w:p>
          <w:p w14:paraId="24F25DC0" w14:textId="026305E1" w:rsidR="00730166" w:rsidRPr="00362BB1" w:rsidRDefault="00730166" w:rsidP="00730166">
            <w:pPr>
              <w:pStyle w:val="Paragraphedeliste"/>
              <w:numPr>
                <w:ilvl w:val="0"/>
                <w:numId w:val="35"/>
              </w:numPr>
              <w:ind w:left="213" w:hanging="283"/>
              <w:rPr>
                <w:rFonts w:ascii="Verdana" w:hAnsi="Verdana"/>
                <w:sz w:val="18"/>
                <w:szCs w:val="18"/>
              </w:rPr>
            </w:pPr>
            <w:proofErr w:type="spellStart"/>
            <w:r w:rsidRPr="150F264C">
              <w:rPr>
                <w:rFonts w:ascii="Verdana" w:hAnsi="Verdana"/>
                <w:sz w:val="18"/>
                <w:szCs w:val="18"/>
              </w:rPr>
              <w:t>A</w:t>
            </w:r>
            <w:proofErr w:type="spellEnd"/>
            <w:r w:rsidRPr="150F264C">
              <w:rPr>
                <w:rFonts w:ascii="Verdana" w:hAnsi="Verdana"/>
                <w:sz w:val="18"/>
                <w:szCs w:val="18"/>
              </w:rPr>
              <w:t xml:space="preserve"> voir avec le SBF</w:t>
            </w:r>
          </w:p>
          <w:p w14:paraId="6CC74960" w14:textId="56B118C6" w:rsidR="00730166" w:rsidRPr="00362BB1" w:rsidRDefault="00730166" w:rsidP="00730166">
            <w:pPr>
              <w:pStyle w:val="Paragraphedeliste"/>
              <w:rPr>
                <w:rFonts w:ascii="Verdana" w:hAnsi="Verdana"/>
                <w:sz w:val="18"/>
                <w:szCs w:val="18"/>
              </w:rPr>
            </w:pPr>
            <w:r w:rsidRPr="150F264C">
              <w:rPr>
                <w:rFonts w:ascii="Verdana" w:hAnsi="Verdana"/>
                <w:sz w:val="18"/>
                <w:szCs w:val="18"/>
              </w:rPr>
              <w:t xml:space="preserve"> </w:t>
            </w:r>
          </w:p>
        </w:tc>
      </w:tr>
      <w:tr w:rsidR="00730166" w:rsidRPr="00362BB1" w14:paraId="417F2E8B" w14:textId="77777777" w:rsidTr="25137305">
        <w:tc>
          <w:tcPr>
            <w:tcW w:w="1843" w:type="dxa"/>
          </w:tcPr>
          <w:p w14:paraId="00CDCA29" w14:textId="1463E341" w:rsidR="00730166" w:rsidRPr="00362BB1" w:rsidRDefault="00730166" w:rsidP="00730166">
            <w:pPr>
              <w:jc w:val="center"/>
              <w:rPr>
                <w:rFonts w:ascii="Verdana" w:hAnsi="Verdana"/>
                <w:sz w:val="18"/>
                <w:szCs w:val="18"/>
              </w:rPr>
            </w:pPr>
            <w:r w:rsidRPr="00362BB1">
              <w:rPr>
                <w:rFonts w:ascii="Verdana" w:hAnsi="Verdana"/>
                <w:sz w:val="18"/>
                <w:szCs w:val="18"/>
              </w:rPr>
              <w:lastRenderedPageBreak/>
              <w:t>Préparation du V</w:t>
            </w:r>
            <w:r w:rsidRPr="00362BB1">
              <w:rPr>
                <w:rFonts w:ascii="Verdana" w:hAnsi="Verdana"/>
                <w:sz w:val="18"/>
                <w:szCs w:val="18"/>
                <w:vertAlign w:val="superscript"/>
              </w:rPr>
              <w:t>e</w:t>
            </w:r>
            <w:r w:rsidRPr="00362BB1">
              <w:rPr>
                <w:rFonts w:ascii="Verdana" w:hAnsi="Verdana"/>
                <w:sz w:val="18"/>
                <w:szCs w:val="18"/>
              </w:rPr>
              <w:t xml:space="preserve"> Sommet des chefs d’Etat et de gouvernement</w:t>
            </w:r>
          </w:p>
        </w:tc>
        <w:tc>
          <w:tcPr>
            <w:tcW w:w="1365" w:type="dxa"/>
          </w:tcPr>
          <w:p w14:paraId="71D139FE" w14:textId="51F0D4E1" w:rsidR="00730166" w:rsidRPr="00362BB1" w:rsidRDefault="00730166" w:rsidP="00730166">
            <w:pPr>
              <w:jc w:val="center"/>
              <w:rPr>
                <w:rFonts w:ascii="Verdana" w:hAnsi="Verdana"/>
                <w:sz w:val="18"/>
                <w:szCs w:val="18"/>
              </w:rPr>
            </w:pPr>
            <w:r>
              <w:rPr>
                <w:rFonts w:ascii="Verdana" w:hAnsi="Verdana"/>
                <w:sz w:val="18"/>
                <w:szCs w:val="18"/>
              </w:rPr>
              <w:t>39</w:t>
            </w:r>
            <w:r w:rsidRPr="00654CB0">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6E644482" w14:textId="77777777" w:rsidR="00730166" w:rsidRPr="00362BB1" w:rsidRDefault="00730166" w:rsidP="00730166">
            <w:pPr>
              <w:pStyle w:val="Default"/>
              <w:numPr>
                <w:ilvl w:val="0"/>
                <w:numId w:val="30"/>
              </w:numPr>
              <w:ind w:left="229" w:hanging="284"/>
              <w:jc w:val="both"/>
              <w:rPr>
                <w:sz w:val="18"/>
                <w:szCs w:val="18"/>
              </w:rPr>
            </w:pPr>
            <w:r w:rsidRPr="00362BB1">
              <w:rPr>
                <w:sz w:val="18"/>
                <w:szCs w:val="18"/>
              </w:rPr>
              <w:t>Remercie Madagascar, Etat-hôte du V</w:t>
            </w:r>
            <w:r w:rsidRPr="00362BB1">
              <w:rPr>
                <w:sz w:val="18"/>
                <w:szCs w:val="18"/>
                <w:vertAlign w:val="superscript"/>
              </w:rPr>
              <w:t>e</w:t>
            </w:r>
            <w:r w:rsidRPr="00362BB1">
              <w:rPr>
                <w:sz w:val="18"/>
                <w:szCs w:val="18"/>
              </w:rPr>
              <w:t xml:space="preserve"> Sommet des chefs d’Etat et de gouvernement de la COI, ainsi que la présidence en exercice et le Secrétariat général pour les préparatifs en cours et les dispositions prises ; </w:t>
            </w:r>
          </w:p>
          <w:p w14:paraId="17A5337A" w14:textId="77777777" w:rsidR="00730166" w:rsidRPr="00362BB1" w:rsidRDefault="00730166" w:rsidP="00730166">
            <w:pPr>
              <w:pStyle w:val="Default"/>
              <w:numPr>
                <w:ilvl w:val="0"/>
                <w:numId w:val="30"/>
              </w:numPr>
              <w:ind w:left="229" w:hanging="284"/>
              <w:jc w:val="both"/>
              <w:rPr>
                <w:sz w:val="18"/>
                <w:szCs w:val="18"/>
              </w:rPr>
            </w:pPr>
            <w:r w:rsidRPr="00362BB1">
              <w:rPr>
                <w:sz w:val="18"/>
                <w:szCs w:val="18"/>
              </w:rPr>
              <w:t>Invite la présidence entrante à établir le contact avec le pays hôte afin de parachever les préparatifs liés à ce Sommet ;</w:t>
            </w:r>
          </w:p>
          <w:p w14:paraId="37B499BA" w14:textId="77777777" w:rsidR="00730166" w:rsidRPr="00362BB1" w:rsidRDefault="00730166" w:rsidP="00730166">
            <w:pPr>
              <w:pStyle w:val="Default"/>
              <w:numPr>
                <w:ilvl w:val="0"/>
                <w:numId w:val="30"/>
              </w:numPr>
              <w:ind w:left="229" w:hanging="284"/>
              <w:jc w:val="both"/>
              <w:rPr>
                <w:sz w:val="18"/>
                <w:szCs w:val="18"/>
              </w:rPr>
            </w:pPr>
            <w:r w:rsidRPr="00362BB1">
              <w:rPr>
                <w:sz w:val="18"/>
                <w:szCs w:val="18"/>
              </w:rPr>
              <w:t>Approuve la note conceptuelle du V</w:t>
            </w:r>
            <w:r w:rsidRPr="00362BB1">
              <w:rPr>
                <w:sz w:val="18"/>
                <w:szCs w:val="18"/>
                <w:vertAlign w:val="superscript"/>
              </w:rPr>
              <w:t>e</w:t>
            </w:r>
            <w:r w:rsidRPr="00362BB1">
              <w:rPr>
                <w:sz w:val="18"/>
                <w:szCs w:val="18"/>
              </w:rPr>
              <w:t xml:space="preserve"> Sommet ; </w:t>
            </w:r>
          </w:p>
          <w:p w14:paraId="02AAC0D6" w14:textId="2330EB19" w:rsidR="00730166" w:rsidRPr="00362BB1" w:rsidRDefault="00730166" w:rsidP="00730166">
            <w:pPr>
              <w:pStyle w:val="Default"/>
              <w:numPr>
                <w:ilvl w:val="0"/>
                <w:numId w:val="30"/>
              </w:numPr>
              <w:ind w:left="227" w:hanging="284"/>
              <w:jc w:val="both"/>
              <w:rPr>
                <w:sz w:val="18"/>
                <w:szCs w:val="18"/>
              </w:rPr>
            </w:pPr>
            <w:r w:rsidRPr="00654CB0">
              <w:rPr>
                <w:sz w:val="18"/>
                <w:szCs w:val="18"/>
              </w:rPr>
              <w:t>Valide le projet d’ordre du jour avec modification et prend note du projet de déclaration finale tel que proposé par le Comité des OPL</w:t>
            </w:r>
          </w:p>
        </w:tc>
        <w:tc>
          <w:tcPr>
            <w:tcW w:w="1455" w:type="dxa"/>
          </w:tcPr>
          <w:p w14:paraId="6BB47E9F" w14:textId="77777777" w:rsidR="00730166" w:rsidRPr="00362BB1" w:rsidRDefault="00730166" w:rsidP="00730166">
            <w:pPr>
              <w:jc w:val="center"/>
              <w:rPr>
                <w:rFonts w:ascii="Verdana" w:hAnsi="Verdana"/>
                <w:sz w:val="18"/>
                <w:szCs w:val="18"/>
              </w:rPr>
            </w:pPr>
          </w:p>
        </w:tc>
        <w:tc>
          <w:tcPr>
            <w:tcW w:w="4513" w:type="dxa"/>
          </w:tcPr>
          <w:p w14:paraId="066A9267" w14:textId="77777777" w:rsidR="00730166" w:rsidRPr="00362BB1" w:rsidRDefault="00730166" w:rsidP="00730166">
            <w:pPr>
              <w:rPr>
                <w:rFonts w:ascii="Verdana" w:hAnsi="Verdana"/>
                <w:sz w:val="18"/>
                <w:szCs w:val="18"/>
              </w:rPr>
            </w:pPr>
          </w:p>
        </w:tc>
      </w:tr>
      <w:tr w:rsidR="00730166" w:rsidRPr="00362BB1" w14:paraId="487CDDE1" w14:textId="77777777" w:rsidTr="25137305">
        <w:tc>
          <w:tcPr>
            <w:tcW w:w="1843" w:type="dxa"/>
          </w:tcPr>
          <w:p w14:paraId="1407006C" w14:textId="77777777" w:rsidR="00730166" w:rsidRPr="00362BB1" w:rsidRDefault="00730166" w:rsidP="00730166">
            <w:pPr>
              <w:pStyle w:val="Paragraphe"/>
              <w:jc w:val="center"/>
              <w:rPr>
                <w:sz w:val="18"/>
                <w:szCs w:val="18"/>
              </w:rPr>
            </w:pPr>
            <w:r w:rsidRPr="00362BB1">
              <w:rPr>
                <w:sz w:val="18"/>
                <w:szCs w:val="18"/>
              </w:rPr>
              <w:t>Participation de la COI à la Conférence des Nations unies sur l’océan</w:t>
            </w:r>
          </w:p>
          <w:p w14:paraId="47295C05" w14:textId="77777777" w:rsidR="00730166" w:rsidRPr="00362BB1" w:rsidRDefault="00730166" w:rsidP="00730166">
            <w:pPr>
              <w:jc w:val="center"/>
              <w:rPr>
                <w:rFonts w:ascii="Verdana" w:hAnsi="Verdana"/>
                <w:sz w:val="18"/>
                <w:szCs w:val="18"/>
              </w:rPr>
            </w:pPr>
          </w:p>
        </w:tc>
        <w:tc>
          <w:tcPr>
            <w:tcW w:w="1365" w:type="dxa"/>
          </w:tcPr>
          <w:p w14:paraId="18BBF746" w14:textId="2D700A68" w:rsidR="00730166" w:rsidRPr="00362BB1" w:rsidRDefault="00730166" w:rsidP="00730166">
            <w:pPr>
              <w:jc w:val="center"/>
              <w:rPr>
                <w:rFonts w:ascii="Verdana" w:hAnsi="Verdana"/>
                <w:sz w:val="18"/>
                <w:szCs w:val="18"/>
              </w:rPr>
            </w:pPr>
            <w:r>
              <w:rPr>
                <w:rFonts w:ascii="Verdana" w:hAnsi="Verdana"/>
                <w:sz w:val="18"/>
                <w:szCs w:val="18"/>
              </w:rPr>
              <w:t>39</w:t>
            </w:r>
            <w:r w:rsidRPr="00AA76EA">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562C4A8D" w14:textId="77777777" w:rsidR="00730166" w:rsidRPr="00AA76EA" w:rsidRDefault="00730166" w:rsidP="00730166">
            <w:pPr>
              <w:pStyle w:val="Default"/>
              <w:numPr>
                <w:ilvl w:val="0"/>
                <w:numId w:val="31"/>
              </w:numPr>
              <w:ind w:left="229" w:hanging="284"/>
              <w:jc w:val="both"/>
              <w:rPr>
                <w:color w:val="auto"/>
                <w:sz w:val="18"/>
                <w:szCs w:val="18"/>
              </w:rPr>
            </w:pPr>
            <w:r w:rsidRPr="00AA76EA">
              <w:rPr>
                <w:color w:val="auto"/>
                <w:sz w:val="18"/>
                <w:szCs w:val="18"/>
              </w:rPr>
              <w:t>Demande au Secrétariat général de finaliser les préparatifs de la participation de la COI à la 3</w:t>
            </w:r>
            <w:r w:rsidRPr="00AA76EA">
              <w:rPr>
                <w:color w:val="auto"/>
                <w:sz w:val="18"/>
                <w:szCs w:val="18"/>
                <w:vertAlign w:val="superscript"/>
              </w:rPr>
              <w:t>e</w:t>
            </w:r>
            <w:r w:rsidRPr="00AA76EA">
              <w:rPr>
                <w:color w:val="auto"/>
                <w:sz w:val="18"/>
                <w:szCs w:val="18"/>
              </w:rPr>
              <w:t xml:space="preserve"> Conférence des Nations unies sur l’océan ; </w:t>
            </w:r>
          </w:p>
          <w:p w14:paraId="7E09E888" w14:textId="229CD741" w:rsidR="00730166" w:rsidRPr="00AA76EA" w:rsidRDefault="00730166" w:rsidP="00730166">
            <w:pPr>
              <w:pStyle w:val="Default"/>
              <w:numPr>
                <w:ilvl w:val="0"/>
                <w:numId w:val="31"/>
              </w:numPr>
              <w:ind w:left="229" w:hanging="284"/>
              <w:jc w:val="both"/>
              <w:rPr>
                <w:color w:val="auto"/>
                <w:sz w:val="18"/>
                <w:szCs w:val="18"/>
              </w:rPr>
            </w:pPr>
            <w:r w:rsidRPr="00AA76EA">
              <w:rPr>
                <w:color w:val="auto"/>
                <w:sz w:val="18"/>
                <w:szCs w:val="18"/>
              </w:rPr>
              <w:t>Demande au Secrétariat général de soumettre aux États membres un projet de message commun avant le V</w:t>
            </w:r>
            <w:r w:rsidRPr="00AA76EA">
              <w:rPr>
                <w:color w:val="auto"/>
                <w:sz w:val="18"/>
                <w:szCs w:val="18"/>
                <w:vertAlign w:val="superscript"/>
              </w:rPr>
              <w:t>e</w:t>
            </w:r>
            <w:r w:rsidRPr="00AA76EA">
              <w:rPr>
                <w:color w:val="auto"/>
                <w:sz w:val="18"/>
                <w:szCs w:val="18"/>
              </w:rPr>
              <w:t xml:space="preserve"> Sommet des chefs d’Etat et de gouvernement de la COI pour validation par procédure écrite dans un délai de deux semaines.  </w:t>
            </w:r>
          </w:p>
        </w:tc>
        <w:tc>
          <w:tcPr>
            <w:tcW w:w="1455" w:type="dxa"/>
          </w:tcPr>
          <w:p w14:paraId="5D2A9AC5" w14:textId="3B91C8E1" w:rsidR="00730166" w:rsidRPr="00362BB1" w:rsidRDefault="00730166" w:rsidP="00730166">
            <w:pPr>
              <w:jc w:val="center"/>
              <w:rPr>
                <w:rFonts w:ascii="Verdana" w:hAnsi="Verdana"/>
                <w:sz w:val="18"/>
                <w:szCs w:val="18"/>
              </w:rPr>
            </w:pPr>
            <w:r w:rsidRPr="2CB75343">
              <w:rPr>
                <w:rFonts w:ascii="Verdana" w:hAnsi="Verdana"/>
                <w:sz w:val="18"/>
                <w:szCs w:val="18"/>
              </w:rPr>
              <w:t>GM-GB</w:t>
            </w:r>
          </w:p>
        </w:tc>
        <w:tc>
          <w:tcPr>
            <w:tcW w:w="4513" w:type="dxa"/>
          </w:tcPr>
          <w:p w14:paraId="7CFFEB3F" w14:textId="17D17FFA" w:rsidR="00730166" w:rsidRPr="00362BB1" w:rsidRDefault="00730166" w:rsidP="00730166">
            <w:pPr>
              <w:pStyle w:val="Paragraphedeliste"/>
              <w:numPr>
                <w:ilvl w:val="0"/>
                <w:numId w:val="5"/>
              </w:numPr>
              <w:ind w:left="213" w:hanging="283"/>
              <w:jc w:val="both"/>
              <w:rPr>
                <w:rFonts w:ascii="Verdana" w:hAnsi="Verdana"/>
                <w:sz w:val="18"/>
                <w:szCs w:val="18"/>
              </w:rPr>
            </w:pPr>
            <w:r w:rsidRPr="2CB75343">
              <w:rPr>
                <w:rFonts w:ascii="Verdana" w:hAnsi="Verdana"/>
                <w:sz w:val="18"/>
                <w:szCs w:val="18"/>
              </w:rPr>
              <w:t xml:space="preserve">Le </w:t>
            </w:r>
            <w:r>
              <w:rPr>
                <w:rFonts w:ascii="Verdana" w:hAnsi="Verdana"/>
                <w:sz w:val="18"/>
                <w:szCs w:val="18"/>
              </w:rPr>
              <w:t>S</w:t>
            </w:r>
            <w:r w:rsidRPr="2CB75343">
              <w:rPr>
                <w:rFonts w:ascii="Verdana" w:hAnsi="Verdana"/>
                <w:sz w:val="18"/>
                <w:szCs w:val="18"/>
              </w:rPr>
              <w:t>ecr</w:t>
            </w:r>
            <w:r>
              <w:rPr>
                <w:rFonts w:ascii="Verdana" w:hAnsi="Verdana"/>
                <w:sz w:val="18"/>
                <w:szCs w:val="18"/>
              </w:rPr>
              <w:t>é</w:t>
            </w:r>
            <w:r w:rsidRPr="2CB75343">
              <w:rPr>
                <w:rFonts w:ascii="Verdana" w:hAnsi="Verdana"/>
                <w:sz w:val="18"/>
                <w:szCs w:val="18"/>
              </w:rPr>
              <w:t xml:space="preserve">tariat </w:t>
            </w:r>
            <w:r>
              <w:rPr>
                <w:rFonts w:ascii="Verdana" w:hAnsi="Verdana"/>
                <w:sz w:val="18"/>
                <w:szCs w:val="18"/>
              </w:rPr>
              <w:t>a</w:t>
            </w:r>
            <w:r w:rsidRPr="2CB75343">
              <w:rPr>
                <w:rFonts w:ascii="Verdana" w:hAnsi="Verdana"/>
                <w:sz w:val="18"/>
                <w:szCs w:val="18"/>
              </w:rPr>
              <w:t xml:space="preserve"> particip</w:t>
            </w:r>
            <w:r>
              <w:rPr>
                <w:rFonts w:ascii="Verdana" w:hAnsi="Verdana"/>
                <w:sz w:val="18"/>
                <w:szCs w:val="18"/>
              </w:rPr>
              <w:t>é</w:t>
            </w:r>
            <w:r w:rsidRPr="2CB75343">
              <w:rPr>
                <w:rFonts w:ascii="Verdana" w:hAnsi="Verdana"/>
                <w:sz w:val="18"/>
                <w:szCs w:val="18"/>
              </w:rPr>
              <w:t xml:space="preserve"> à la Conf</w:t>
            </w:r>
            <w:r>
              <w:rPr>
                <w:rFonts w:ascii="Verdana" w:hAnsi="Verdana"/>
                <w:sz w:val="18"/>
                <w:szCs w:val="18"/>
              </w:rPr>
              <w:t>é</w:t>
            </w:r>
            <w:r w:rsidRPr="2CB75343">
              <w:rPr>
                <w:rFonts w:ascii="Verdana" w:hAnsi="Verdana"/>
                <w:sz w:val="18"/>
                <w:szCs w:val="18"/>
              </w:rPr>
              <w:t>rence avec une délégation de 9</w:t>
            </w:r>
            <w:r>
              <w:rPr>
                <w:rFonts w:ascii="Verdana" w:hAnsi="Verdana"/>
                <w:sz w:val="18"/>
                <w:szCs w:val="18"/>
              </w:rPr>
              <w:t xml:space="preserve"> </w:t>
            </w:r>
            <w:r w:rsidRPr="2CB75343">
              <w:rPr>
                <w:rFonts w:ascii="Verdana" w:hAnsi="Verdana"/>
                <w:sz w:val="18"/>
                <w:szCs w:val="18"/>
              </w:rPr>
              <w:t xml:space="preserve">personnes incluant un jeune chercheur de Madagascar sous financement RECOS et une académicienne de l'Université de Maurice </w:t>
            </w:r>
          </w:p>
          <w:p w14:paraId="46807106" w14:textId="3E64338B" w:rsidR="00730166" w:rsidRPr="00362BB1" w:rsidRDefault="00730166" w:rsidP="00730166">
            <w:pPr>
              <w:pStyle w:val="Paragraphedeliste"/>
              <w:numPr>
                <w:ilvl w:val="0"/>
                <w:numId w:val="5"/>
              </w:numPr>
              <w:ind w:left="213" w:hanging="283"/>
              <w:jc w:val="both"/>
              <w:rPr>
                <w:rFonts w:ascii="Verdana" w:hAnsi="Verdana"/>
                <w:sz w:val="18"/>
                <w:szCs w:val="18"/>
              </w:rPr>
            </w:pPr>
            <w:r w:rsidRPr="2CB75343">
              <w:rPr>
                <w:rFonts w:ascii="Verdana" w:hAnsi="Verdana"/>
                <w:sz w:val="18"/>
                <w:szCs w:val="18"/>
              </w:rPr>
              <w:t xml:space="preserve">Le message a été transmis et certains éléments ont été repris dans les discours des États </w:t>
            </w:r>
          </w:p>
        </w:tc>
      </w:tr>
      <w:tr w:rsidR="00730166" w:rsidRPr="00362BB1" w14:paraId="5A05A0F7" w14:textId="77777777" w:rsidTr="25137305">
        <w:tc>
          <w:tcPr>
            <w:tcW w:w="1843" w:type="dxa"/>
          </w:tcPr>
          <w:p w14:paraId="7958CD63" w14:textId="78F3512B" w:rsidR="00730166" w:rsidRPr="00362BB1" w:rsidRDefault="00730166" w:rsidP="00730166">
            <w:pPr>
              <w:jc w:val="center"/>
              <w:rPr>
                <w:rFonts w:ascii="Verdana" w:hAnsi="Verdana"/>
                <w:sz w:val="18"/>
                <w:szCs w:val="18"/>
              </w:rPr>
            </w:pPr>
            <w:r w:rsidRPr="00362BB1">
              <w:rPr>
                <w:rFonts w:ascii="Verdana" w:hAnsi="Verdana"/>
                <w:sz w:val="18"/>
                <w:szCs w:val="18"/>
              </w:rPr>
              <w:t>Ordre du jour prévisionnel du 39</w:t>
            </w:r>
            <w:r w:rsidRPr="00362BB1">
              <w:rPr>
                <w:rFonts w:ascii="Verdana" w:hAnsi="Verdana"/>
                <w:sz w:val="18"/>
                <w:szCs w:val="18"/>
                <w:vertAlign w:val="superscript"/>
              </w:rPr>
              <w:t>e</w:t>
            </w:r>
            <w:r w:rsidRPr="00362BB1">
              <w:rPr>
                <w:rFonts w:ascii="Verdana" w:hAnsi="Verdana"/>
                <w:sz w:val="18"/>
                <w:szCs w:val="18"/>
              </w:rPr>
              <w:t xml:space="preserve"> Conseil des ministres de la COI</w:t>
            </w:r>
          </w:p>
        </w:tc>
        <w:tc>
          <w:tcPr>
            <w:tcW w:w="1365" w:type="dxa"/>
          </w:tcPr>
          <w:p w14:paraId="5ECC4833" w14:textId="2993C861" w:rsidR="00730166" w:rsidRPr="00362BB1" w:rsidRDefault="00730166" w:rsidP="00730166">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5DFAA278" w14:textId="2043CDB7" w:rsidR="00730166" w:rsidRPr="00362BB1" w:rsidRDefault="00730166" w:rsidP="00730166">
            <w:pPr>
              <w:jc w:val="both"/>
              <w:rPr>
                <w:rFonts w:ascii="Verdana" w:hAnsi="Verdana"/>
                <w:sz w:val="18"/>
                <w:szCs w:val="18"/>
              </w:rPr>
            </w:pPr>
            <w:r w:rsidRPr="00362BB1">
              <w:rPr>
                <w:rFonts w:ascii="Verdana" w:hAnsi="Verdana"/>
                <w:sz w:val="18"/>
                <w:szCs w:val="18"/>
              </w:rPr>
              <w:t>Soumet le projet d’ordre du jour du 39</w:t>
            </w:r>
            <w:r w:rsidRPr="00362BB1">
              <w:rPr>
                <w:rFonts w:ascii="Verdana" w:hAnsi="Verdana"/>
                <w:sz w:val="18"/>
                <w:szCs w:val="18"/>
                <w:vertAlign w:val="superscript"/>
              </w:rPr>
              <w:t>e</w:t>
            </w:r>
            <w:r w:rsidRPr="00362BB1">
              <w:rPr>
                <w:rFonts w:ascii="Verdana" w:hAnsi="Verdana"/>
                <w:sz w:val="18"/>
                <w:szCs w:val="18"/>
              </w:rPr>
              <w:t xml:space="preserve"> Conseil avec inclusion d’une session d’interventions des partenaires et observateurs et la fusion des deux points sur les ressources humaines en une seule fiche.</w:t>
            </w:r>
          </w:p>
        </w:tc>
        <w:tc>
          <w:tcPr>
            <w:tcW w:w="1455" w:type="dxa"/>
          </w:tcPr>
          <w:p w14:paraId="7337BC8B" w14:textId="77777777" w:rsidR="00730166" w:rsidRPr="00362BB1" w:rsidRDefault="00730166" w:rsidP="00730166">
            <w:pPr>
              <w:jc w:val="center"/>
              <w:rPr>
                <w:rFonts w:ascii="Verdana" w:hAnsi="Verdana"/>
                <w:sz w:val="18"/>
                <w:szCs w:val="18"/>
              </w:rPr>
            </w:pPr>
          </w:p>
        </w:tc>
        <w:tc>
          <w:tcPr>
            <w:tcW w:w="4513" w:type="dxa"/>
          </w:tcPr>
          <w:p w14:paraId="3C49105D" w14:textId="77777777" w:rsidR="00730166" w:rsidRPr="00362BB1" w:rsidRDefault="00730166" w:rsidP="00730166">
            <w:pPr>
              <w:rPr>
                <w:rFonts w:ascii="Verdana" w:hAnsi="Verdana"/>
                <w:sz w:val="18"/>
                <w:szCs w:val="18"/>
              </w:rPr>
            </w:pPr>
          </w:p>
        </w:tc>
      </w:tr>
      <w:tr w:rsidR="00730166" w:rsidRPr="00362BB1" w14:paraId="71429801" w14:textId="77777777" w:rsidTr="25137305">
        <w:tc>
          <w:tcPr>
            <w:tcW w:w="1843" w:type="dxa"/>
            <w:vMerge w:val="restart"/>
          </w:tcPr>
          <w:p w14:paraId="24FD1420" w14:textId="1985CFD9" w:rsidR="00730166" w:rsidRPr="00362BB1" w:rsidRDefault="00730166" w:rsidP="00730166">
            <w:pPr>
              <w:jc w:val="center"/>
              <w:rPr>
                <w:rFonts w:ascii="Verdana" w:hAnsi="Verdana"/>
                <w:sz w:val="18"/>
                <w:szCs w:val="18"/>
              </w:rPr>
            </w:pPr>
            <w:r w:rsidRPr="00362BB1">
              <w:rPr>
                <w:rFonts w:ascii="Verdana" w:hAnsi="Verdana"/>
                <w:sz w:val="18"/>
                <w:szCs w:val="18"/>
              </w:rPr>
              <w:t>Passation à la présidence du Comité des OPL</w:t>
            </w:r>
          </w:p>
        </w:tc>
        <w:tc>
          <w:tcPr>
            <w:tcW w:w="1365" w:type="dxa"/>
          </w:tcPr>
          <w:p w14:paraId="1BF9D4C9" w14:textId="51225A51" w:rsidR="00730166" w:rsidRPr="00362BB1" w:rsidRDefault="00730166" w:rsidP="00730166">
            <w:pPr>
              <w:jc w:val="center"/>
              <w:rPr>
                <w:rFonts w:ascii="Verdana" w:hAnsi="Verdana"/>
                <w:sz w:val="18"/>
                <w:szCs w:val="18"/>
              </w:rPr>
            </w:pPr>
            <w:r w:rsidRPr="00362BB1">
              <w:rPr>
                <w:rFonts w:ascii="Verdana" w:hAnsi="Verdana"/>
                <w:sz w:val="18"/>
                <w:szCs w:val="18"/>
              </w:rPr>
              <w:t xml:space="preserve">COPL </w:t>
            </w:r>
            <w:proofErr w:type="spellStart"/>
            <w:r w:rsidRPr="00362BB1">
              <w:rPr>
                <w:rFonts w:ascii="Verdana" w:hAnsi="Verdana"/>
                <w:sz w:val="18"/>
                <w:szCs w:val="18"/>
              </w:rPr>
              <w:t>avr</w:t>
            </w:r>
            <w:proofErr w:type="spellEnd"/>
            <w:r w:rsidRPr="00362BB1">
              <w:rPr>
                <w:rFonts w:ascii="Verdana" w:hAnsi="Verdana"/>
                <w:sz w:val="18"/>
                <w:szCs w:val="18"/>
              </w:rPr>
              <w:t xml:space="preserve"> 25</w:t>
            </w:r>
          </w:p>
        </w:tc>
        <w:tc>
          <w:tcPr>
            <w:tcW w:w="6075" w:type="dxa"/>
          </w:tcPr>
          <w:p w14:paraId="5A64EF98" w14:textId="7672D66C" w:rsidR="00730166" w:rsidRPr="00362BB1" w:rsidRDefault="00730166" w:rsidP="00730166">
            <w:pPr>
              <w:pStyle w:val="Paragraphe"/>
              <w:rPr>
                <w:sz w:val="18"/>
                <w:szCs w:val="18"/>
              </w:rPr>
            </w:pPr>
            <w:r w:rsidRPr="00362BB1">
              <w:rPr>
                <w:sz w:val="18"/>
                <w:szCs w:val="18"/>
              </w:rPr>
              <w:t xml:space="preserve">Remercie l’OPL des Seychelles pour la qualité de sa présidence et félicite l’OPL de l’Union des Comores pour sa désignation à la présidence du Comité.  </w:t>
            </w:r>
          </w:p>
        </w:tc>
        <w:tc>
          <w:tcPr>
            <w:tcW w:w="1455" w:type="dxa"/>
          </w:tcPr>
          <w:p w14:paraId="6D488C7B" w14:textId="77777777" w:rsidR="00730166" w:rsidRPr="00362BB1" w:rsidRDefault="00730166" w:rsidP="00730166">
            <w:pPr>
              <w:jc w:val="center"/>
              <w:rPr>
                <w:rFonts w:ascii="Verdana" w:hAnsi="Verdana"/>
                <w:sz w:val="18"/>
                <w:szCs w:val="18"/>
              </w:rPr>
            </w:pPr>
          </w:p>
        </w:tc>
        <w:tc>
          <w:tcPr>
            <w:tcW w:w="4513" w:type="dxa"/>
          </w:tcPr>
          <w:p w14:paraId="13424AF7" w14:textId="77777777" w:rsidR="00730166" w:rsidRPr="00362BB1" w:rsidRDefault="00730166" w:rsidP="00730166">
            <w:pPr>
              <w:rPr>
                <w:rFonts w:ascii="Verdana" w:hAnsi="Verdana"/>
                <w:sz w:val="18"/>
                <w:szCs w:val="18"/>
              </w:rPr>
            </w:pPr>
          </w:p>
        </w:tc>
      </w:tr>
      <w:tr w:rsidR="00730166" w:rsidRPr="00362BB1" w14:paraId="084DBAB1" w14:textId="77777777" w:rsidTr="25137305">
        <w:tc>
          <w:tcPr>
            <w:tcW w:w="1843" w:type="dxa"/>
            <w:vMerge/>
          </w:tcPr>
          <w:p w14:paraId="22CE59FF" w14:textId="77777777" w:rsidR="00730166" w:rsidRPr="00362BB1" w:rsidRDefault="00730166" w:rsidP="00730166">
            <w:pPr>
              <w:jc w:val="center"/>
              <w:rPr>
                <w:rFonts w:ascii="Verdana" w:hAnsi="Verdana"/>
                <w:sz w:val="18"/>
                <w:szCs w:val="18"/>
              </w:rPr>
            </w:pPr>
          </w:p>
        </w:tc>
        <w:tc>
          <w:tcPr>
            <w:tcW w:w="1365" w:type="dxa"/>
          </w:tcPr>
          <w:p w14:paraId="615F5A62" w14:textId="005CDF2F" w:rsidR="00730166" w:rsidRPr="00362BB1" w:rsidRDefault="00730166" w:rsidP="00730166">
            <w:pPr>
              <w:jc w:val="center"/>
              <w:rPr>
                <w:rFonts w:ascii="Verdana" w:hAnsi="Verdana"/>
                <w:sz w:val="18"/>
                <w:szCs w:val="18"/>
              </w:rPr>
            </w:pPr>
            <w:r>
              <w:rPr>
                <w:rFonts w:ascii="Verdana" w:hAnsi="Verdana"/>
                <w:sz w:val="18"/>
                <w:szCs w:val="18"/>
              </w:rPr>
              <w:t>39</w:t>
            </w:r>
            <w:r w:rsidRPr="00E57523">
              <w:rPr>
                <w:rFonts w:ascii="Verdana" w:hAnsi="Verdana"/>
                <w:sz w:val="18"/>
                <w:szCs w:val="18"/>
                <w:vertAlign w:val="superscript"/>
              </w:rPr>
              <w:t>e</w:t>
            </w:r>
            <w:r>
              <w:rPr>
                <w:rFonts w:ascii="Verdana" w:hAnsi="Verdana"/>
                <w:sz w:val="18"/>
                <w:szCs w:val="18"/>
              </w:rPr>
              <w:t xml:space="preserve"> Conseil 16 </w:t>
            </w:r>
            <w:proofErr w:type="spellStart"/>
            <w:r>
              <w:rPr>
                <w:rFonts w:ascii="Verdana" w:hAnsi="Verdana"/>
                <w:sz w:val="18"/>
                <w:szCs w:val="18"/>
              </w:rPr>
              <w:t>avr</w:t>
            </w:r>
            <w:proofErr w:type="spellEnd"/>
            <w:r>
              <w:rPr>
                <w:rFonts w:ascii="Verdana" w:hAnsi="Verdana"/>
                <w:sz w:val="18"/>
                <w:szCs w:val="18"/>
              </w:rPr>
              <w:t xml:space="preserve"> 25</w:t>
            </w:r>
          </w:p>
        </w:tc>
        <w:tc>
          <w:tcPr>
            <w:tcW w:w="6075" w:type="dxa"/>
          </w:tcPr>
          <w:p w14:paraId="221B5E22" w14:textId="738A099E" w:rsidR="00730166" w:rsidRPr="00E57523" w:rsidRDefault="00730166" w:rsidP="00730166">
            <w:pPr>
              <w:widowControl w:val="0"/>
              <w:jc w:val="both"/>
              <w:rPr>
                <w:rFonts w:ascii="Verdana" w:hAnsi="Verdana"/>
                <w:sz w:val="18"/>
                <w:szCs w:val="18"/>
              </w:rPr>
            </w:pPr>
            <w:r w:rsidRPr="00E57523">
              <w:rPr>
                <w:rFonts w:ascii="Verdana" w:hAnsi="Verdana"/>
                <w:sz w:val="18"/>
                <w:szCs w:val="18"/>
              </w:rPr>
              <w:t>Le Conseil des ministres salue la qualité et le dynamisme de la présidence seychelloise de la COI ainsi que l’organisation de cette 39</w:t>
            </w:r>
            <w:r w:rsidRPr="00E57523">
              <w:rPr>
                <w:rFonts w:ascii="Verdana" w:hAnsi="Verdana"/>
                <w:sz w:val="18"/>
                <w:szCs w:val="18"/>
                <w:vertAlign w:val="superscript"/>
              </w:rPr>
              <w:t>e</w:t>
            </w:r>
            <w:r w:rsidRPr="00E57523">
              <w:rPr>
                <w:rFonts w:ascii="Verdana" w:hAnsi="Verdana"/>
                <w:sz w:val="18"/>
                <w:szCs w:val="18"/>
              </w:rPr>
              <w:t xml:space="preserve"> session ordinaire du Conseil des ministres et félicite l’Union des Comores pour sa prise de fonction à la présidence de l’organisation</w:t>
            </w:r>
          </w:p>
        </w:tc>
        <w:tc>
          <w:tcPr>
            <w:tcW w:w="1455" w:type="dxa"/>
          </w:tcPr>
          <w:p w14:paraId="0EF713D9" w14:textId="77777777" w:rsidR="00730166" w:rsidRPr="00362BB1" w:rsidRDefault="00730166" w:rsidP="00730166">
            <w:pPr>
              <w:jc w:val="center"/>
              <w:rPr>
                <w:rFonts w:ascii="Verdana" w:hAnsi="Verdana"/>
                <w:sz w:val="18"/>
                <w:szCs w:val="18"/>
              </w:rPr>
            </w:pPr>
          </w:p>
        </w:tc>
        <w:tc>
          <w:tcPr>
            <w:tcW w:w="4513" w:type="dxa"/>
          </w:tcPr>
          <w:p w14:paraId="37C128F9" w14:textId="77777777" w:rsidR="00730166" w:rsidRPr="00362BB1" w:rsidRDefault="00730166" w:rsidP="00730166">
            <w:pPr>
              <w:rPr>
                <w:rFonts w:ascii="Verdana" w:hAnsi="Verdana"/>
                <w:sz w:val="18"/>
                <w:szCs w:val="18"/>
              </w:rPr>
            </w:pPr>
          </w:p>
        </w:tc>
      </w:tr>
    </w:tbl>
    <w:p w14:paraId="7200D457" w14:textId="77777777" w:rsidR="008C4FB9" w:rsidRPr="008C4FB9" w:rsidRDefault="008C4FB9" w:rsidP="00CA2AE1">
      <w:pPr>
        <w:spacing w:after="0" w:line="240" w:lineRule="auto"/>
        <w:rPr>
          <w:rFonts w:ascii="Verdana" w:hAnsi="Verdana"/>
          <w:sz w:val="18"/>
          <w:szCs w:val="18"/>
        </w:rPr>
      </w:pPr>
    </w:p>
    <w:sectPr w:rsidR="008C4FB9" w:rsidRPr="008C4FB9" w:rsidSect="00644C2E">
      <w:headerReference w:type="default" r:id="rId7"/>
      <w:footerReference w:type="default" r:id="rId8"/>
      <w:pgSz w:w="16838" w:h="11906" w:orient="landscape" w:code="9"/>
      <w:pgMar w:top="1134"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CD9D" w14:textId="77777777" w:rsidR="00D5158C" w:rsidRDefault="00D5158C" w:rsidP="004F29BC">
      <w:pPr>
        <w:spacing w:after="0" w:line="240" w:lineRule="auto"/>
      </w:pPr>
      <w:r>
        <w:separator/>
      </w:r>
    </w:p>
  </w:endnote>
  <w:endnote w:type="continuationSeparator" w:id="0">
    <w:p w14:paraId="72B614E5" w14:textId="77777777" w:rsidR="00D5158C" w:rsidRDefault="00D5158C" w:rsidP="004F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546651"/>
      <w:docPartObj>
        <w:docPartGallery w:val="Page Numbers (Bottom of Page)"/>
        <w:docPartUnique/>
      </w:docPartObj>
    </w:sdtPr>
    <w:sdtEndPr/>
    <w:sdtContent>
      <w:p w14:paraId="477E9D00" w14:textId="20384B67" w:rsidR="008C4FB9" w:rsidRDefault="008C4FB9">
        <w:pPr>
          <w:pStyle w:val="Pieddepage"/>
          <w:jc w:val="center"/>
        </w:pPr>
        <w:r>
          <w:fldChar w:fldCharType="begin"/>
        </w:r>
        <w:r>
          <w:instrText>PAGE   \* MERGEFORMAT</w:instrText>
        </w:r>
        <w:r>
          <w:fldChar w:fldCharType="separate"/>
        </w:r>
        <w:r>
          <w:t>2</w:t>
        </w:r>
        <w:r>
          <w:fldChar w:fldCharType="end"/>
        </w:r>
      </w:p>
    </w:sdtContent>
  </w:sdt>
  <w:p w14:paraId="7C73B47D" w14:textId="607A1B85" w:rsidR="00644C2E" w:rsidRDefault="00644C2E" w:rsidP="00644C2E">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430B" w14:textId="77777777" w:rsidR="00D5158C" w:rsidRDefault="00D5158C" w:rsidP="004F29BC">
      <w:pPr>
        <w:spacing w:after="0" w:line="240" w:lineRule="auto"/>
      </w:pPr>
      <w:r>
        <w:separator/>
      </w:r>
    </w:p>
  </w:footnote>
  <w:footnote w:type="continuationSeparator" w:id="0">
    <w:p w14:paraId="6334ED1C" w14:textId="77777777" w:rsidR="00D5158C" w:rsidRDefault="00D5158C" w:rsidP="004F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440"/>
      <w:gridCol w:w="5940"/>
      <w:gridCol w:w="1440"/>
      <w:gridCol w:w="4500"/>
    </w:tblGrid>
    <w:tr w:rsidR="004F29BC" w:rsidRPr="00E15EC4" w14:paraId="082D52DC" w14:textId="77777777" w:rsidTr="001F28D4">
      <w:trPr>
        <w:trHeight w:val="434"/>
        <w:jc w:val="center"/>
      </w:trPr>
      <w:tc>
        <w:tcPr>
          <w:tcW w:w="1800" w:type="dxa"/>
          <w:tcBorders>
            <w:top w:val="single" w:sz="4" w:space="0" w:color="auto"/>
            <w:left w:val="single" w:sz="4" w:space="0" w:color="auto"/>
            <w:bottom w:val="single" w:sz="4" w:space="0" w:color="auto"/>
            <w:right w:val="single" w:sz="4" w:space="0" w:color="auto"/>
          </w:tcBorders>
        </w:tcPr>
        <w:p w14:paraId="744DACE7" w14:textId="77777777" w:rsidR="004F29BC" w:rsidRPr="00E15EC4" w:rsidRDefault="004F29BC" w:rsidP="004F29BC">
          <w:pPr>
            <w:jc w:val="center"/>
            <w:rPr>
              <w:rFonts w:ascii="Verdana" w:hAnsi="Verdana"/>
              <w:b/>
              <w:i/>
              <w:sz w:val="18"/>
              <w:szCs w:val="18"/>
            </w:rPr>
          </w:pPr>
          <w:r w:rsidRPr="00E15EC4">
            <w:rPr>
              <w:rFonts w:ascii="Verdana" w:hAnsi="Verdana"/>
              <w:b/>
              <w:i/>
              <w:sz w:val="18"/>
              <w:szCs w:val="18"/>
            </w:rPr>
            <w:t>Objet</w:t>
          </w:r>
        </w:p>
      </w:tc>
      <w:tc>
        <w:tcPr>
          <w:tcW w:w="1440" w:type="dxa"/>
          <w:tcBorders>
            <w:top w:val="single" w:sz="4" w:space="0" w:color="auto"/>
            <w:left w:val="single" w:sz="4" w:space="0" w:color="auto"/>
            <w:bottom w:val="single" w:sz="4" w:space="0" w:color="auto"/>
            <w:right w:val="single" w:sz="4" w:space="0" w:color="auto"/>
          </w:tcBorders>
        </w:tcPr>
        <w:p w14:paraId="62EF1938" w14:textId="77777777" w:rsidR="004F29BC" w:rsidRPr="00E15EC4" w:rsidRDefault="004F29BC" w:rsidP="004F29BC">
          <w:pPr>
            <w:jc w:val="center"/>
            <w:rPr>
              <w:rFonts w:ascii="Verdana" w:hAnsi="Verdana"/>
              <w:b/>
              <w:i/>
              <w:sz w:val="18"/>
              <w:szCs w:val="18"/>
            </w:rPr>
          </w:pPr>
          <w:r w:rsidRPr="00E15EC4">
            <w:rPr>
              <w:rFonts w:ascii="Verdana" w:hAnsi="Verdana"/>
              <w:b/>
              <w:i/>
              <w:sz w:val="18"/>
              <w:szCs w:val="18"/>
            </w:rPr>
            <w:t>Instances</w:t>
          </w:r>
        </w:p>
      </w:tc>
      <w:tc>
        <w:tcPr>
          <w:tcW w:w="5940" w:type="dxa"/>
          <w:tcBorders>
            <w:top w:val="single" w:sz="4" w:space="0" w:color="auto"/>
            <w:left w:val="single" w:sz="4" w:space="0" w:color="auto"/>
            <w:bottom w:val="single" w:sz="4" w:space="0" w:color="auto"/>
            <w:right w:val="single" w:sz="4" w:space="0" w:color="auto"/>
          </w:tcBorders>
        </w:tcPr>
        <w:p w14:paraId="09A76A90" w14:textId="77777777" w:rsidR="004F29BC" w:rsidRPr="00E15EC4" w:rsidRDefault="004F29BC" w:rsidP="004F29BC">
          <w:pPr>
            <w:jc w:val="center"/>
            <w:rPr>
              <w:rFonts w:ascii="Verdana" w:hAnsi="Verdana"/>
              <w:b/>
              <w:bCs/>
              <w:i/>
              <w:sz w:val="18"/>
              <w:szCs w:val="18"/>
            </w:rPr>
          </w:pPr>
          <w:r w:rsidRPr="00E15EC4">
            <w:rPr>
              <w:rFonts w:ascii="Verdana" w:hAnsi="Verdana"/>
              <w:b/>
              <w:bCs/>
              <w:i/>
              <w:sz w:val="18"/>
              <w:szCs w:val="18"/>
            </w:rPr>
            <w:t>Décisions</w:t>
          </w:r>
        </w:p>
      </w:tc>
      <w:tc>
        <w:tcPr>
          <w:tcW w:w="1440" w:type="dxa"/>
          <w:tcBorders>
            <w:top w:val="single" w:sz="4" w:space="0" w:color="auto"/>
            <w:left w:val="single" w:sz="4" w:space="0" w:color="auto"/>
            <w:bottom w:val="single" w:sz="4" w:space="0" w:color="auto"/>
            <w:right w:val="single" w:sz="4" w:space="0" w:color="auto"/>
          </w:tcBorders>
        </w:tcPr>
        <w:p w14:paraId="76AFDB65" w14:textId="77777777" w:rsidR="004F29BC" w:rsidRPr="00E15EC4" w:rsidRDefault="004F29BC" w:rsidP="004F29BC">
          <w:pPr>
            <w:jc w:val="center"/>
            <w:rPr>
              <w:rFonts w:ascii="Verdana" w:hAnsi="Verdana"/>
              <w:b/>
              <w:i/>
              <w:sz w:val="18"/>
              <w:szCs w:val="18"/>
            </w:rPr>
          </w:pPr>
          <w:r w:rsidRPr="00E15EC4">
            <w:rPr>
              <w:rFonts w:ascii="Verdana" w:hAnsi="Verdana"/>
              <w:b/>
              <w:i/>
              <w:sz w:val="18"/>
              <w:szCs w:val="18"/>
            </w:rPr>
            <w:t>Acteurs</w:t>
          </w:r>
        </w:p>
      </w:tc>
      <w:tc>
        <w:tcPr>
          <w:tcW w:w="4500" w:type="dxa"/>
          <w:tcBorders>
            <w:top w:val="single" w:sz="4" w:space="0" w:color="auto"/>
            <w:left w:val="single" w:sz="4" w:space="0" w:color="auto"/>
            <w:bottom w:val="single" w:sz="4" w:space="0" w:color="auto"/>
            <w:right w:val="single" w:sz="4" w:space="0" w:color="auto"/>
          </w:tcBorders>
        </w:tcPr>
        <w:p w14:paraId="53809DAA" w14:textId="77777777" w:rsidR="004F29BC" w:rsidRPr="00E15EC4" w:rsidRDefault="004F29BC" w:rsidP="004F29BC">
          <w:pPr>
            <w:jc w:val="center"/>
            <w:rPr>
              <w:rFonts w:ascii="Verdana" w:hAnsi="Verdana"/>
              <w:b/>
              <w:i/>
              <w:sz w:val="18"/>
              <w:szCs w:val="18"/>
            </w:rPr>
          </w:pPr>
          <w:r w:rsidRPr="00E15EC4">
            <w:rPr>
              <w:rFonts w:ascii="Verdana" w:hAnsi="Verdana"/>
              <w:b/>
              <w:i/>
              <w:sz w:val="18"/>
              <w:szCs w:val="18"/>
            </w:rPr>
            <w:t>Mise en œuvre</w:t>
          </w:r>
        </w:p>
      </w:tc>
    </w:tr>
  </w:tbl>
  <w:p w14:paraId="234F4203" w14:textId="77777777" w:rsidR="004F29BC" w:rsidRDefault="004F29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57DE"/>
    <w:multiLevelType w:val="hybridMultilevel"/>
    <w:tmpl w:val="3DEAA988"/>
    <w:lvl w:ilvl="0" w:tplc="54604B56">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E535EB0"/>
    <w:multiLevelType w:val="hybridMultilevel"/>
    <w:tmpl w:val="E8CC737A"/>
    <w:lvl w:ilvl="0" w:tplc="8CEE1D12">
      <w:start w:val="1"/>
      <w:numFmt w:val="lowerLetter"/>
      <w:lvlText w:val="%1)"/>
      <w:lvlJc w:val="left"/>
      <w:pPr>
        <w:ind w:left="720" w:hanging="360"/>
      </w:pPr>
    </w:lvl>
    <w:lvl w:ilvl="1" w:tplc="A404BA94">
      <w:start w:val="1"/>
      <w:numFmt w:val="lowerLetter"/>
      <w:lvlText w:val="%2."/>
      <w:lvlJc w:val="left"/>
      <w:pPr>
        <w:ind w:left="1440" w:hanging="360"/>
      </w:pPr>
    </w:lvl>
    <w:lvl w:ilvl="2" w:tplc="6422E726">
      <w:start w:val="1"/>
      <w:numFmt w:val="lowerRoman"/>
      <w:lvlText w:val="%3."/>
      <w:lvlJc w:val="right"/>
      <w:pPr>
        <w:ind w:left="2160" w:hanging="180"/>
      </w:pPr>
    </w:lvl>
    <w:lvl w:ilvl="3" w:tplc="28CC6D46">
      <w:start w:val="1"/>
      <w:numFmt w:val="decimal"/>
      <w:lvlText w:val="%4."/>
      <w:lvlJc w:val="left"/>
      <w:pPr>
        <w:ind w:left="2880" w:hanging="360"/>
      </w:pPr>
    </w:lvl>
    <w:lvl w:ilvl="4" w:tplc="8F067BCA">
      <w:start w:val="1"/>
      <w:numFmt w:val="lowerLetter"/>
      <w:lvlText w:val="%5."/>
      <w:lvlJc w:val="left"/>
      <w:pPr>
        <w:ind w:left="3600" w:hanging="360"/>
      </w:pPr>
    </w:lvl>
    <w:lvl w:ilvl="5" w:tplc="6BC004B8">
      <w:start w:val="1"/>
      <w:numFmt w:val="lowerRoman"/>
      <w:lvlText w:val="%6."/>
      <w:lvlJc w:val="right"/>
      <w:pPr>
        <w:ind w:left="4320" w:hanging="180"/>
      </w:pPr>
    </w:lvl>
    <w:lvl w:ilvl="6" w:tplc="432C4100">
      <w:start w:val="1"/>
      <w:numFmt w:val="decimal"/>
      <w:lvlText w:val="%7."/>
      <w:lvlJc w:val="left"/>
      <w:pPr>
        <w:ind w:left="5040" w:hanging="360"/>
      </w:pPr>
    </w:lvl>
    <w:lvl w:ilvl="7" w:tplc="F8D0CFD0">
      <w:start w:val="1"/>
      <w:numFmt w:val="lowerLetter"/>
      <w:lvlText w:val="%8."/>
      <w:lvlJc w:val="left"/>
      <w:pPr>
        <w:ind w:left="5760" w:hanging="360"/>
      </w:pPr>
    </w:lvl>
    <w:lvl w:ilvl="8" w:tplc="1E66B8BE">
      <w:start w:val="1"/>
      <w:numFmt w:val="lowerRoman"/>
      <w:lvlText w:val="%9."/>
      <w:lvlJc w:val="right"/>
      <w:pPr>
        <w:ind w:left="6480" w:hanging="180"/>
      </w:pPr>
    </w:lvl>
  </w:abstractNum>
  <w:abstractNum w:abstractNumId="2" w15:restartNumberingAfterBreak="0">
    <w:nsid w:val="0E881827"/>
    <w:multiLevelType w:val="hybridMultilevel"/>
    <w:tmpl w:val="3AC4FE64"/>
    <w:lvl w:ilvl="0" w:tplc="E4B23400">
      <w:start w:val="1"/>
      <w:numFmt w:val="lowerLetter"/>
      <w:lvlText w:val="%1)"/>
      <w:lvlJc w:val="left"/>
      <w:pPr>
        <w:ind w:left="152" w:hanging="360"/>
      </w:pPr>
      <w:rPr>
        <w:rFonts w:ascii="Verdana" w:eastAsiaTheme="minorHAnsi" w:hAnsi="Verdana" w:cs="Calibri"/>
      </w:rPr>
    </w:lvl>
    <w:lvl w:ilvl="1" w:tplc="20000019" w:tentative="1">
      <w:start w:val="1"/>
      <w:numFmt w:val="lowerLetter"/>
      <w:lvlText w:val="%2."/>
      <w:lvlJc w:val="left"/>
      <w:pPr>
        <w:ind w:left="872" w:hanging="360"/>
      </w:pPr>
    </w:lvl>
    <w:lvl w:ilvl="2" w:tplc="2000001B" w:tentative="1">
      <w:start w:val="1"/>
      <w:numFmt w:val="lowerRoman"/>
      <w:lvlText w:val="%3."/>
      <w:lvlJc w:val="right"/>
      <w:pPr>
        <w:ind w:left="1592" w:hanging="180"/>
      </w:pPr>
    </w:lvl>
    <w:lvl w:ilvl="3" w:tplc="2000000F" w:tentative="1">
      <w:start w:val="1"/>
      <w:numFmt w:val="decimal"/>
      <w:lvlText w:val="%4."/>
      <w:lvlJc w:val="left"/>
      <w:pPr>
        <w:ind w:left="2312" w:hanging="360"/>
      </w:pPr>
    </w:lvl>
    <w:lvl w:ilvl="4" w:tplc="20000019" w:tentative="1">
      <w:start w:val="1"/>
      <w:numFmt w:val="lowerLetter"/>
      <w:lvlText w:val="%5."/>
      <w:lvlJc w:val="left"/>
      <w:pPr>
        <w:ind w:left="3032" w:hanging="360"/>
      </w:pPr>
    </w:lvl>
    <w:lvl w:ilvl="5" w:tplc="2000001B" w:tentative="1">
      <w:start w:val="1"/>
      <w:numFmt w:val="lowerRoman"/>
      <w:lvlText w:val="%6."/>
      <w:lvlJc w:val="right"/>
      <w:pPr>
        <w:ind w:left="3752" w:hanging="180"/>
      </w:pPr>
    </w:lvl>
    <w:lvl w:ilvl="6" w:tplc="2000000F" w:tentative="1">
      <w:start w:val="1"/>
      <w:numFmt w:val="decimal"/>
      <w:lvlText w:val="%7."/>
      <w:lvlJc w:val="left"/>
      <w:pPr>
        <w:ind w:left="4472" w:hanging="360"/>
      </w:pPr>
    </w:lvl>
    <w:lvl w:ilvl="7" w:tplc="20000019" w:tentative="1">
      <w:start w:val="1"/>
      <w:numFmt w:val="lowerLetter"/>
      <w:lvlText w:val="%8."/>
      <w:lvlJc w:val="left"/>
      <w:pPr>
        <w:ind w:left="5192" w:hanging="360"/>
      </w:pPr>
    </w:lvl>
    <w:lvl w:ilvl="8" w:tplc="2000001B" w:tentative="1">
      <w:start w:val="1"/>
      <w:numFmt w:val="lowerRoman"/>
      <w:lvlText w:val="%9."/>
      <w:lvlJc w:val="right"/>
      <w:pPr>
        <w:ind w:left="5912" w:hanging="180"/>
      </w:pPr>
    </w:lvl>
  </w:abstractNum>
  <w:abstractNum w:abstractNumId="3" w15:restartNumberingAfterBreak="0">
    <w:nsid w:val="0F6F953A"/>
    <w:multiLevelType w:val="hybridMultilevel"/>
    <w:tmpl w:val="4656E130"/>
    <w:lvl w:ilvl="0" w:tplc="86307322">
      <w:start w:val="1"/>
      <w:numFmt w:val="lowerLetter"/>
      <w:lvlText w:val="%1)"/>
      <w:lvlJc w:val="left"/>
      <w:pPr>
        <w:ind w:left="720" w:hanging="360"/>
      </w:pPr>
    </w:lvl>
    <w:lvl w:ilvl="1" w:tplc="489E34C6">
      <w:start w:val="1"/>
      <w:numFmt w:val="lowerLetter"/>
      <w:lvlText w:val="%2."/>
      <w:lvlJc w:val="left"/>
      <w:pPr>
        <w:ind w:left="1440" w:hanging="360"/>
      </w:pPr>
    </w:lvl>
    <w:lvl w:ilvl="2" w:tplc="DA707B3E">
      <w:start w:val="1"/>
      <w:numFmt w:val="lowerRoman"/>
      <w:lvlText w:val="%3."/>
      <w:lvlJc w:val="right"/>
      <w:pPr>
        <w:ind w:left="2160" w:hanging="180"/>
      </w:pPr>
    </w:lvl>
    <w:lvl w:ilvl="3" w:tplc="56FED07C">
      <w:start w:val="1"/>
      <w:numFmt w:val="decimal"/>
      <w:lvlText w:val="%4."/>
      <w:lvlJc w:val="left"/>
      <w:pPr>
        <w:ind w:left="2880" w:hanging="360"/>
      </w:pPr>
    </w:lvl>
    <w:lvl w:ilvl="4" w:tplc="B052CA10">
      <w:start w:val="1"/>
      <w:numFmt w:val="lowerLetter"/>
      <w:lvlText w:val="%5."/>
      <w:lvlJc w:val="left"/>
      <w:pPr>
        <w:ind w:left="3600" w:hanging="360"/>
      </w:pPr>
    </w:lvl>
    <w:lvl w:ilvl="5" w:tplc="4D30C1B2">
      <w:start w:val="1"/>
      <w:numFmt w:val="lowerRoman"/>
      <w:lvlText w:val="%6."/>
      <w:lvlJc w:val="right"/>
      <w:pPr>
        <w:ind w:left="4320" w:hanging="180"/>
      </w:pPr>
    </w:lvl>
    <w:lvl w:ilvl="6" w:tplc="863ACD94">
      <w:start w:val="1"/>
      <w:numFmt w:val="decimal"/>
      <w:lvlText w:val="%7."/>
      <w:lvlJc w:val="left"/>
      <w:pPr>
        <w:ind w:left="5040" w:hanging="360"/>
      </w:pPr>
    </w:lvl>
    <w:lvl w:ilvl="7" w:tplc="28B4E52E">
      <w:start w:val="1"/>
      <w:numFmt w:val="lowerLetter"/>
      <w:lvlText w:val="%8."/>
      <w:lvlJc w:val="left"/>
      <w:pPr>
        <w:ind w:left="5760" w:hanging="360"/>
      </w:pPr>
    </w:lvl>
    <w:lvl w:ilvl="8" w:tplc="D99EFFA0">
      <w:start w:val="1"/>
      <w:numFmt w:val="lowerRoman"/>
      <w:lvlText w:val="%9."/>
      <w:lvlJc w:val="right"/>
      <w:pPr>
        <w:ind w:left="6480" w:hanging="180"/>
      </w:pPr>
    </w:lvl>
  </w:abstractNum>
  <w:abstractNum w:abstractNumId="4" w15:restartNumberingAfterBreak="0">
    <w:nsid w:val="0FE86576"/>
    <w:multiLevelType w:val="hybridMultilevel"/>
    <w:tmpl w:val="923A20F0"/>
    <w:lvl w:ilvl="0" w:tplc="DD2ED86A">
      <w:start w:val="1"/>
      <w:numFmt w:val="lowerLetter"/>
      <w:lvlText w:val="%1)"/>
      <w:lvlJc w:val="left"/>
      <w:pPr>
        <w:ind w:left="720" w:hanging="360"/>
      </w:pPr>
      <w:rPr>
        <w:rFonts w:hint="default"/>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D30430"/>
    <w:multiLevelType w:val="multilevel"/>
    <w:tmpl w:val="5A58524A"/>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862" w:hanging="72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2611868"/>
    <w:multiLevelType w:val="hybridMultilevel"/>
    <w:tmpl w:val="B63499CE"/>
    <w:lvl w:ilvl="0" w:tplc="1764D0E0">
      <w:start w:val="1"/>
      <w:numFmt w:val="lowerLetter"/>
      <w:lvlText w:val="%1)"/>
      <w:lvlJc w:val="left"/>
      <w:pPr>
        <w:ind w:left="720" w:hanging="360"/>
      </w:pPr>
    </w:lvl>
    <w:lvl w:ilvl="1" w:tplc="C2F817BC">
      <w:start w:val="1"/>
      <w:numFmt w:val="lowerLetter"/>
      <w:lvlText w:val="%2."/>
      <w:lvlJc w:val="left"/>
      <w:pPr>
        <w:ind w:left="1440" w:hanging="360"/>
      </w:pPr>
    </w:lvl>
    <w:lvl w:ilvl="2" w:tplc="E4701B40">
      <w:start w:val="1"/>
      <w:numFmt w:val="lowerRoman"/>
      <w:lvlText w:val="%3."/>
      <w:lvlJc w:val="right"/>
      <w:pPr>
        <w:ind w:left="2160" w:hanging="180"/>
      </w:pPr>
    </w:lvl>
    <w:lvl w:ilvl="3" w:tplc="AA7AA53A">
      <w:start w:val="1"/>
      <w:numFmt w:val="decimal"/>
      <w:lvlText w:val="%4."/>
      <w:lvlJc w:val="left"/>
      <w:pPr>
        <w:ind w:left="2880" w:hanging="360"/>
      </w:pPr>
    </w:lvl>
    <w:lvl w:ilvl="4" w:tplc="37BA62CE">
      <w:start w:val="1"/>
      <w:numFmt w:val="lowerLetter"/>
      <w:lvlText w:val="%5."/>
      <w:lvlJc w:val="left"/>
      <w:pPr>
        <w:ind w:left="3600" w:hanging="360"/>
      </w:pPr>
    </w:lvl>
    <w:lvl w:ilvl="5" w:tplc="17C42924">
      <w:start w:val="1"/>
      <w:numFmt w:val="lowerRoman"/>
      <w:lvlText w:val="%6."/>
      <w:lvlJc w:val="right"/>
      <w:pPr>
        <w:ind w:left="4320" w:hanging="180"/>
      </w:pPr>
    </w:lvl>
    <w:lvl w:ilvl="6" w:tplc="C7743162">
      <w:start w:val="1"/>
      <w:numFmt w:val="decimal"/>
      <w:lvlText w:val="%7."/>
      <w:lvlJc w:val="left"/>
      <w:pPr>
        <w:ind w:left="5040" w:hanging="360"/>
      </w:pPr>
    </w:lvl>
    <w:lvl w:ilvl="7" w:tplc="CD885B9E">
      <w:start w:val="1"/>
      <w:numFmt w:val="lowerLetter"/>
      <w:lvlText w:val="%8."/>
      <w:lvlJc w:val="left"/>
      <w:pPr>
        <w:ind w:left="5760" w:hanging="360"/>
      </w:pPr>
    </w:lvl>
    <w:lvl w:ilvl="8" w:tplc="5A7817DE">
      <w:start w:val="1"/>
      <w:numFmt w:val="lowerRoman"/>
      <w:lvlText w:val="%9."/>
      <w:lvlJc w:val="right"/>
      <w:pPr>
        <w:ind w:left="6480" w:hanging="180"/>
      </w:pPr>
    </w:lvl>
  </w:abstractNum>
  <w:abstractNum w:abstractNumId="7" w15:restartNumberingAfterBreak="0">
    <w:nsid w:val="1282327B"/>
    <w:multiLevelType w:val="hybridMultilevel"/>
    <w:tmpl w:val="C69E0D9A"/>
    <w:lvl w:ilvl="0" w:tplc="4F7229A6">
      <w:start w:val="1"/>
      <w:numFmt w:val="bullet"/>
      <w:lvlText w:val="-"/>
      <w:lvlJc w:val="left"/>
      <w:pPr>
        <w:ind w:left="720" w:hanging="360"/>
      </w:pPr>
      <w:rPr>
        <w:rFonts w:ascii="Aptos" w:hAnsi="Aptos" w:hint="default"/>
      </w:rPr>
    </w:lvl>
    <w:lvl w:ilvl="1" w:tplc="227A2632">
      <w:start w:val="1"/>
      <w:numFmt w:val="bullet"/>
      <w:lvlText w:val="o"/>
      <w:lvlJc w:val="left"/>
      <w:pPr>
        <w:ind w:left="1440" w:hanging="360"/>
      </w:pPr>
      <w:rPr>
        <w:rFonts w:ascii="Courier New" w:hAnsi="Courier New" w:hint="default"/>
      </w:rPr>
    </w:lvl>
    <w:lvl w:ilvl="2" w:tplc="982EA628">
      <w:start w:val="1"/>
      <w:numFmt w:val="bullet"/>
      <w:lvlText w:val=""/>
      <w:lvlJc w:val="left"/>
      <w:pPr>
        <w:ind w:left="2160" w:hanging="360"/>
      </w:pPr>
      <w:rPr>
        <w:rFonts w:ascii="Wingdings" w:hAnsi="Wingdings" w:hint="default"/>
      </w:rPr>
    </w:lvl>
    <w:lvl w:ilvl="3" w:tplc="DE6208D0">
      <w:start w:val="1"/>
      <w:numFmt w:val="bullet"/>
      <w:lvlText w:val=""/>
      <w:lvlJc w:val="left"/>
      <w:pPr>
        <w:ind w:left="2880" w:hanging="360"/>
      </w:pPr>
      <w:rPr>
        <w:rFonts w:ascii="Symbol" w:hAnsi="Symbol" w:hint="default"/>
      </w:rPr>
    </w:lvl>
    <w:lvl w:ilvl="4" w:tplc="6352AC5A">
      <w:start w:val="1"/>
      <w:numFmt w:val="bullet"/>
      <w:lvlText w:val="o"/>
      <w:lvlJc w:val="left"/>
      <w:pPr>
        <w:ind w:left="3600" w:hanging="360"/>
      </w:pPr>
      <w:rPr>
        <w:rFonts w:ascii="Courier New" w:hAnsi="Courier New" w:hint="default"/>
      </w:rPr>
    </w:lvl>
    <w:lvl w:ilvl="5" w:tplc="A1385EA0">
      <w:start w:val="1"/>
      <w:numFmt w:val="bullet"/>
      <w:lvlText w:val=""/>
      <w:lvlJc w:val="left"/>
      <w:pPr>
        <w:ind w:left="4320" w:hanging="360"/>
      </w:pPr>
      <w:rPr>
        <w:rFonts w:ascii="Wingdings" w:hAnsi="Wingdings" w:hint="default"/>
      </w:rPr>
    </w:lvl>
    <w:lvl w:ilvl="6" w:tplc="A9662354">
      <w:start w:val="1"/>
      <w:numFmt w:val="bullet"/>
      <w:lvlText w:val=""/>
      <w:lvlJc w:val="left"/>
      <w:pPr>
        <w:ind w:left="5040" w:hanging="360"/>
      </w:pPr>
      <w:rPr>
        <w:rFonts w:ascii="Symbol" w:hAnsi="Symbol" w:hint="default"/>
      </w:rPr>
    </w:lvl>
    <w:lvl w:ilvl="7" w:tplc="CFFEBC3C">
      <w:start w:val="1"/>
      <w:numFmt w:val="bullet"/>
      <w:lvlText w:val="o"/>
      <w:lvlJc w:val="left"/>
      <w:pPr>
        <w:ind w:left="5760" w:hanging="360"/>
      </w:pPr>
      <w:rPr>
        <w:rFonts w:ascii="Courier New" w:hAnsi="Courier New" w:hint="default"/>
      </w:rPr>
    </w:lvl>
    <w:lvl w:ilvl="8" w:tplc="E1FADA32">
      <w:start w:val="1"/>
      <w:numFmt w:val="bullet"/>
      <w:lvlText w:val=""/>
      <w:lvlJc w:val="left"/>
      <w:pPr>
        <w:ind w:left="6480" w:hanging="360"/>
      </w:pPr>
      <w:rPr>
        <w:rFonts w:ascii="Wingdings" w:hAnsi="Wingdings" w:hint="default"/>
      </w:rPr>
    </w:lvl>
  </w:abstractNum>
  <w:abstractNum w:abstractNumId="8" w15:restartNumberingAfterBreak="0">
    <w:nsid w:val="12DE0498"/>
    <w:multiLevelType w:val="hybridMultilevel"/>
    <w:tmpl w:val="16E25F6E"/>
    <w:lvl w:ilvl="0" w:tplc="040C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A270B9E"/>
    <w:multiLevelType w:val="hybridMultilevel"/>
    <w:tmpl w:val="80CC7C66"/>
    <w:lvl w:ilvl="0" w:tplc="CE1454E8">
      <w:start w:val="1"/>
      <w:numFmt w:val="lowerRoman"/>
      <w:lvlText w:val="%1)"/>
      <w:lvlJc w:val="left"/>
      <w:pPr>
        <w:ind w:left="1080" w:hanging="360"/>
      </w:pPr>
      <w:rPr>
        <w:rFonts w:ascii="Verdana" w:eastAsiaTheme="minorHAnsi" w:hAnsi="Verdana" w:cs="Calibri"/>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1D4170B2"/>
    <w:multiLevelType w:val="hybridMultilevel"/>
    <w:tmpl w:val="3BDA7CA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D64189"/>
    <w:multiLevelType w:val="hybridMultilevel"/>
    <w:tmpl w:val="B06EEF2E"/>
    <w:lvl w:ilvl="0" w:tplc="6F22EC2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F71E5D8"/>
    <w:multiLevelType w:val="hybridMultilevel"/>
    <w:tmpl w:val="6E94968A"/>
    <w:lvl w:ilvl="0" w:tplc="97C6FC9C">
      <w:start w:val="1"/>
      <w:numFmt w:val="lowerLetter"/>
      <w:lvlText w:val="%1)"/>
      <w:lvlJc w:val="left"/>
      <w:pPr>
        <w:ind w:left="720" w:hanging="360"/>
      </w:pPr>
    </w:lvl>
    <w:lvl w:ilvl="1" w:tplc="74380204">
      <w:start w:val="1"/>
      <w:numFmt w:val="lowerLetter"/>
      <w:lvlText w:val="%2."/>
      <w:lvlJc w:val="left"/>
      <w:pPr>
        <w:ind w:left="1440" w:hanging="360"/>
      </w:pPr>
    </w:lvl>
    <w:lvl w:ilvl="2" w:tplc="AD58BF80">
      <w:start w:val="1"/>
      <w:numFmt w:val="lowerRoman"/>
      <w:lvlText w:val="%3."/>
      <w:lvlJc w:val="right"/>
      <w:pPr>
        <w:ind w:left="2160" w:hanging="180"/>
      </w:pPr>
    </w:lvl>
    <w:lvl w:ilvl="3" w:tplc="3F983282">
      <w:start w:val="1"/>
      <w:numFmt w:val="decimal"/>
      <w:lvlText w:val="%4."/>
      <w:lvlJc w:val="left"/>
      <w:pPr>
        <w:ind w:left="2880" w:hanging="360"/>
      </w:pPr>
    </w:lvl>
    <w:lvl w:ilvl="4" w:tplc="FDFE8E4A">
      <w:start w:val="1"/>
      <w:numFmt w:val="lowerLetter"/>
      <w:lvlText w:val="%5."/>
      <w:lvlJc w:val="left"/>
      <w:pPr>
        <w:ind w:left="3600" w:hanging="360"/>
      </w:pPr>
    </w:lvl>
    <w:lvl w:ilvl="5" w:tplc="41D6309A">
      <w:start w:val="1"/>
      <w:numFmt w:val="lowerRoman"/>
      <w:lvlText w:val="%6."/>
      <w:lvlJc w:val="right"/>
      <w:pPr>
        <w:ind w:left="4320" w:hanging="180"/>
      </w:pPr>
    </w:lvl>
    <w:lvl w:ilvl="6" w:tplc="0E648AB2">
      <w:start w:val="1"/>
      <w:numFmt w:val="decimal"/>
      <w:lvlText w:val="%7."/>
      <w:lvlJc w:val="left"/>
      <w:pPr>
        <w:ind w:left="5040" w:hanging="360"/>
      </w:pPr>
    </w:lvl>
    <w:lvl w:ilvl="7" w:tplc="79E252EC">
      <w:start w:val="1"/>
      <w:numFmt w:val="lowerLetter"/>
      <w:lvlText w:val="%8."/>
      <w:lvlJc w:val="left"/>
      <w:pPr>
        <w:ind w:left="5760" w:hanging="360"/>
      </w:pPr>
    </w:lvl>
    <w:lvl w:ilvl="8" w:tplc="88B286BE">
      <w:start w:val="1"/>
      <w:numFmt w:val="lowerRoman"/>
      <w:lvlText w:val="%9."/>
      <w:lvlJc w:val="right"/>
      <w:pPr>
        <w:ind w:left="6480" w:hanging="180"/>
      </w:pPr>
    </w:lvl>
  </w:abstractNum>
  <w:abstractNum w:abstractNumId="13" w15:restartNumberingAfterBreak="0">
    <w:nsid w:val="1FFC40F9"/>
    <w:multiLevelType w:val="hybridMultilevel"/>
    <w:tmpl w:val="306C1C4C"/>
    <w:lvl w:ilvl="0" w:tplc="719E3F90">
      <w:start w:val="1"/>
      <w:numFmt w:val="lowerLetter"/>
      <w:lvlText w:val="%1)"/>
      <w:lvlJc w:val="left"/>
      <w:pPr>
        <w:ind w:left="720" w:hanging="360"/>
      </w:pPr>
      <w:rPr>
        <w:rFonts w:hint="default"/>
        <w:i w:val="0"/>
        <w:iCs w:val="0"/>
      </w:rPr>
    </w:lvl>
    <w:lvl w:ilvl="1" w:tplc="040C0019">
      <w:start w:val="1"/>
      <w:numFmt w:val="lowerLetter"/>
      <w:lvlText w:val="%2."/>
      <w:lvlJc w:val="left"/>
      <w:pPr>
        <w:ind w:left="1440" w:hanging="360"/>
      </w:pPr>
    </w:lvl>
    <w:lvl w:ilvl="2" w:tplc="D012D1F4">
      <w:start w:val="1"/>
      <w:numFmt w:val="lowerRoman"/>
      <w:lvlText w:val="%3."/>
      <w:lvlJc w:val="right"/>
      <w:pPr>
        <w:ind w:left="2160" w:hanging="180"/>
      </w:pPr>
      <w:rPr>
        <w:i w:val="0"/>
        <w:iCs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05069C6"/>
    <w:multiLevelType w:val="hybridMultilevel"/>
    <w:tmpl w:val="8C180418"/>
    <w:lvl w:ilvl="0" w:tplc="603EAD86">
      <w:start w:val="1"/>
      <w:numFmt w:val="lowerLetter"/>
      <w:lvlText w:val="%1)"/>
      <w:lvlJc w:val="left"/>
      <w:pPr>
        <w:ind w:left="720" w:hanging="360"/>
      </w:pPr>
    </w:lvl>
    <w:lvl w:ilvl="1" w:tplc="8FEA8A86">
      <w:start w:val="1"/>
      <w:numFmt w:val="lowerLetter"/>
      <w:lvlText w:val="%2."/>
      <w:lvlJc w:val="left"/>
      <w:pPr>
        <w:ind w:left="1440" w:hanging="360"/>
      </w:pPr>
    </w:lvl>
    <w:lvl w:ilvl="2" w:tplc="D0B6717C">
      <w:start w:val="1"/>
      <w:numFmt w:val="lowerRoman"/>
      <w:lvlText w:val="%3."/>
      <w:lvlJc w:val="right"/>
      <w:pPr>
        <w:ind w:left="2160" w:hanging="180"/>
      </w:pPr>
    </w:lvl>
    <w:lvl w:ilvl="3" w:tplc="1B90A29E">
      <w:start w:val="1"/>
      <w:numFmt w:val="decimal"/>
      <w:lvlText w:val="%4."/>
      <w:lvlJc w:val="left"/>
      <w:pPr>
        <w:ind w:left="2880" w:hanging="360"/>
      </w:pPr>
    </w:lvl>
    <w:lvl w:ilvl="4" w:tplc="20A232D8">
      <w:start w:val="1"/>
      <w:numFmt w:val="lowerLetter"/>
      <w:lvlText w:val="%5."/>
      <w:lvlJc w:val="left"/>
      <w:pPr>
        <w:ind w:left="3600" w:hanging="360"/>
      </w:pPr>
    </w:lvl>
    <w:lvl w:ilvl="5" w:tplc="CF2077F8">
      <w:start w:val="1"/>
      <w:numFmt w:val="lowerRoman"/>
      <w:lvlText w:val="%6."/>
      <w:lvlJc w:val="right"/>
      <w:pPr>
        <w:ind w:left="4320" w:hanging="180"/>
      </w:pPr>
    </w:lvl>
    <w:lvl w:ilvl="6" w:tplc="D220B416">
      <w:start w:val="1"/>
      <w:numFmt w:val="decimal"/>
      <w:lvlText w:val="%7."/>
      <w:lvlJc w:val="left"/>
      <w:pPr>
        <w:ind w:left="5040" w:hanging="360"/>
      </w:pPr>
    </w:lvl>
    <w:lvl w:ilvl="7" w:tplc="5C661010">
      <w:start w:val="1"/>
      <w:numFmt w:val="lowerLetter"/>
      <w:lvlText w:val="%8."/>
      <w:lvlJc w:val="left"/>
      <w:pPr>
        <w:ind w:left="5760" w:hanging="360"/>
      </w:pPr>
    </w:lvl>
    <w:lvl w:ilvl="8" w:tplc="94FE6758">
      <w:start w:val="1"/>
      <w:numFmt w:val="lowerRoman"/>
      <w:lvlText w:val="%9."/>
      <w:lvlJc w:val="right"/>
      <w:pPr>
        <w:ind w:left="6480" w:hanging="180"/>
      </w:pPr>
    </w:lvl>
  </w:abstractNum>
  <w:abstractNum w:abstractNumId="15" w15:restartNumberingAfterBreak="0">
    <w:nsid w:val="306C55D4"/>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7D71F6"/>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EDF049"/>
    <w:multiLevelType w:val="hybridMultilevel"/>
    <w:tmpl w:val="66D8F3C4"/>
    <w:lvl w:ilvl="0" w:tplc="4BBCEB2E">
      <w:start w:val="1"/>
      <w:numFmt w:val="decimal"/>
      <w:lvlText w:val="%1-"/>
      <w:lvlJc w:val="left"/>
      <w:pPr>
        <w:ind w:left="720" w:hanging="360"/>
      </w:pPr>
    </w:lvl>
    <w:lvl w:ilvl="1" w:tplc="E0001D72">
      <w:start w:val="1"/>
      <w:numFmt w:val="lowerLetter"/>
      <w:lvlText w:val="%2."/>
      <w:lvlJc w:val="left"/>
      <w:pPr>
        <w:ind w:left="1440" w:hanging="360"/>
      </w:pPr>
    </w:lvl>
    <w:lvl w:ilvl="2" w:tplc="1B70EA8A">
      <w:start w:val="1"/>
      <w:numFmt w:val="lowerRoman"/>
      <w:lvlText w:val="%3."/>
      <w:lvlJc w:val="right"/>
      <w:pPr>
        <w:ind w:left="2160" w:hanging="180"/>
      </w:pPr>
    </w:lvl>
    <w:lvl w:ilvl="3" w:tplc="502406AC">
      <w:start w:val="1"/>
      <w:numFmt w:val="decimal"/>
      <w:lvlText w:val="%4."/>
      <w:lvlJc w:val="left"/>
      <w:pPr>
        <w:ind w:left="2880" w:hanging="360"/>
      </w:pPr>
    </w:lvl>
    <w:lvl w:ilvl="4" w:tplc="613EE424">
      <w:start w:val="1"/>
      <w:numFmt w:val="lowerLetter"/>
      <w:lvlText w:val="%5."/>
      <w:lvlJc w:val="left"/>
      <w:pPr>
        <w:ind w:left="3600" w:hanging="360"/>
      </w:pPr>
    </w:lvl>
    <w:lvl w:ilvl="5" w:tplc="E6B4450E">
      <w:start w:val="1"/>
      <w:numFmt w:val="lowerRoman"/>
      <w:lvlText w:val="%6."/>
      <w:lvlJc w:val="right"/>
      <w:pPr>
        <w:ind w:left="4320" w:hanging="180"/>
      </w:pPr>
    </w:lvl>
    <w:lvl w:ilvl="6" w:tplc="BB346A58">
      <w:start w:val="1"/>
      <w:numFmt w:val="decimal"/>
      <w:lvlText w:val="%7."/>
      <w:lvlJc w:val="left"/>
      <w:pPr>
        <w:ind w:left="5040" w:hanging="360"/>
      </w:pPr>
    </w:lvl>
    <w:lvl w:ilvl="7" w:tplc="35F0A1F4">
      <w:start w:val="1"/>
      <w:numFmt w:val="lowerLetter"/>
      <w:lvlText w:val="%8."/>
      <w:lvlJc w:val="left"/>
      <w:pPr>
        <w:ind w:left="5760" w:hanging="360"/>
      </w:pPr>
    </w:lvl>
    <w:lvl w:ilvl="8" w:tplc="A034661A">
      <w:start w:val="1"/>
      <w:numFmt w:val="lowerRoman"/>
      <w:lvlText w:val="%9."/>
      <w:lvlJc w:val="right"/>
      <w:pPr>
        <w:ind w:left="6480" w:hanging="180"/>
      </w:pPr>
    </w:lvl>
  </w:abstractNum>
  <w:abstractNum w:abstractNumId="18" w15:restartNumberingAfterBreak="0">
    <w:nsid w:val="38611343"/>
    <w:multiLevelType w:val="hybridMultilevel"/>
    <w:tmpl w:val="51603A58"/>
    <w:lvl w:ilvl="0" w:tplc="040C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B1A21F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7A43ED"/>
    <w:multiLevelType w:val="hybridMultilevel"/>
    <w:tmpl w:val="5E9AD802"/>
    <w:lvl w:ilvl="0" w:tplc="5FA84AD0">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41D55164"/>
    <w:multiLevelType w:val="hybridMultilevel"/>
    <w:tmpl w:val="C5283F2C"/>
    <w:lvl w:ilvl="0" w:tplc="20000017">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56A3D22"/>
    <w:multiLevelType w:val="hybridMultilevel"/>
    <w:tmpl w:val="2274277C"/>
    <w:lvl w:ilvl="0" w:tplc="B40A98B2">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3" w15:restartNumberingAfterBreak="0">
    <w:nsid w:val="50C73848"/>
    <w:multiLevelType w:val="hybridMultilevel"/>
    <w:tmpl w:val="393ADAD2"/>
    <w:lvl w:ilvl="0" w:tplc="237A59A6">
      <w:start w:val="1"/>
      <w:numFmt w:val="lowerLetter"/>
      <w:lvlText w:val="%1)"/>
      <w:lvlJc w:val="left"/>
      <w:pPr>
        <w:ind w:left="720" w:hanging="360"/>
      </w:pPr>
    </w:lvl>
    <w:lvl w:ilvl="1" w:tplc="B2784142">
      <w:start w:val="1"/>
      <w:numFmt w:val="lowerLetter"/>
      <w:lvlText w:val="%2."/>
      <w:lvlJc w:val="left"/>
      <w:pPr>
        <w:ind w:left="1440" w:hanging="360"/>
      </w:pPr>
    </w:lvl>
    <w:lvl w:ilvl="2" w:tplc="079C3D8E">
      <w:start w:val="1"/>
      <w:numFmt w:val="lowerRoman"/>
      <w:lvlText w:val="%3."/>
      <w:lvlJc w:val="right"/>
      <w:pPr>
        <w:ind w:left="2160" w:hanging="180"/>
      </w:pPr>
    </w:lvl>
    <w:lvl w:ilvl="3" w:tplc="D11E035A">
      <w:start w:val="1"/>
      <w:numFmt w:val="decimal"/>
      <w:lvlText w:val="%4."/>
      <w:lvlJc w:val="left"/>
      <w:pPr>
        <w:ind w:left="2880" w:hanging="360"/>
      </w:pPr>
    </w:lvl>
    <w:lvl w:ilvl="4" w:tplc="E9CE1AFE">
      <w:start w:val="1"/>
      <w:numFmt w:val="lowerLetter"/>
      <w:lvlText w:val="%5."/>
      <w:lvlJc w:val="left"/>
      <w:pPr>
        <w:ind w:left="3600" w:hanging="360"/>
      </w:pPr>
    </w:lvl>
    <w:lvl w:ilvl="5" w:tplc="EA5EB114">
      <w:start w:val="1"/>
      <w:numFmt w:val="lowerRoman"/>
      <w:lvlText w:val="%6."/>
      <w:lvlJc w:val="right"/>
      <w:pPr>
        <w:ind w:left="4320" w:hanging="180"/>
      </w:pPr>
    </w:lvl>
    <w:lvl w:ilvl="6" w:tplc="BB900EA6">
      <w:start w:val="1"/>
      <w:numFmt w:val="decimal"/>
      <w:lvlText w:val="%7."/>
      <w:lvlJc w:val="left"/>
      <w:pPr>
        <w:ind w:left="5040" w:hanging="360"/>
      </w:pPr>
    </w:lvl>
    <w:lvl w:ilvl="7" w:tplc="3A80B4E2">
      <w:start w:val="1"/>
      <w:numFmt w:val="lowerLetter"/>
      <w:lvlText w:val="%8."/>
      <w:lvlJc w:val="left"/>
      <w:pPr>
        <w:ind w:left="5760" w:hanging="360"/>
      </w:pPr>
    </w:lvl>
    <w:lvl w:ilvl="8" w:tplc="B2FACC5E">
      <w:start w:val="1"/>
      <w:numFmt w:val="lowerRoman"/>
      <w:lvlText w:val="%9."/>
      <w:lvlJc w:val="right"/>
      <w:pPr>
        <w:ind w:left="6480" w:hanging="180"/>
      </w:pPr>
    </w:lvl>
  </w:abstractNum>
  <w:abstractNum w:abstractNumId="24" w15:restartNumberingAfterBreak="0">
    <w:nsid w:val="5871209B"/>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12840"/>
    <w:multiLevelType w:val="hybridMultilevel"/>
    <w:tmpl w:val="BE8CA38A"/>
    <w:lvl w:ilvl="0" w:tplc="EB189692">
      <w:start w:val="2"/>
      <w:numFmt w:val="lowerRoman"/>
      <w:lvlText w:val="%1."/>
      <w:lvlJc w:val="righ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15:restartNumberingAfterBreak="0">
    <w:nsid w:val="5B466539"/>
    <w:multiLevelType w:val="hybridMultilevel"/>
    <w:tmpl w:val="18F4B74C"/>
    <w:lvl w:ilvl="0" w:tplc="715073EA">
      <w:start w:val="1"/>
      <w:numFmt w:val="lowerLetter"/>
      <w:lvlText w:val="%1)"/>
      <w:lvlJc w:val="left"/>
      <w:pPr>
        <w:ind w:left="795" w:hanging="360"/>
      </w:pPr>
      <w:rPr>
        <w:rFonts w:ascii="Verdana" w:hAnsi="Verdana" w:hint="default"/>
        <w:sz w:val="20"/>
        <w:szCs w:val="20"/>
      </w:rPr>
    </w:lvl>
    <w:lvl w:ilvl="1" w:tplc="20000019" w:tentative="1">
      <w:start w:val="1"/>
      <w:numFmt w:val="lowerLetter"/>
      <w:lvlText w:val="%2."/>
      <w:lvlJc w:val="left"/>
      <w:pPr>
        <w:ind w:left="1515" w:hanging="360"/>
      </w:pPr>
    </w:lvl>
    <w:lvl w:ilvl="2" w:tplc="2000001B" w:tentative="1">
      <w:start w:val="1"/>
      <w:numFmt w:val="lowerRoman"/>
      <w:lvlText w:val="%3."/>
      <w:lvlJc w:val="right"/>
      <w:pPr>
        <w:ind w:left="2235" w:hanging="180"/>
      </w:pPr>
    </w:lvl>
    <w:lvl w:ilvl="3" w:tplc="2000000F" w:tentative="1">
      <w:start w:val="1"/>
      <w:numFmt w:val="decimal"/>
      <w:lvlText w:val="%4."/>
      <w:lvlJc w:val="left"/>
      <w:pPr>
        <w:ind w:left="2955" w:hanging="360"/>
      </w:pPr>
    </w:lvl>
    <w:lvl w:ilvl="4" w:tplc="20000019" w:tentative="1">
      <w:start w:val="1"/>
      <w:numFmt w:val="lowerLetter"/>
      <w:lvlText w:val="%5."/>
      <w:lvlJc w:val="left"/>
      <w:pPr>
        <w:ind w:left="3675" w:hanging="360"/>
      </w:pPr>
    </w:lvl>
    <w:lvl w:ilvl="5" w:tplc="2000001B" w:tentative="1">
      <w:start w:val="1"/>
      <w:numFmt w:val="lowerRoman"/>
      <w:lvlText w:val="%6."/>
      <w:lvlJc w:val="right"/>
      <w:pPr>
        <w:ind w:left="4395" w:hanging="180"/>
      </w:pPr>
    </w:lvl>
    <w:lvl w:ilvl="6" w:tplc="2000000F" w:tentative="1">
      <w:start w:val="1"/>
      <w:numFmt w:val="decimal"/>
      <w:lvlText w:val="%7."/>
      <w:lvlJc w:val="left"/>
      <w:pPr>
        <w:ind w:left="5115" w:hanging="360"/>
      </w:pPr>
    </w:lvl>
    <w:lvl w:ilvl="7" w:tplc="20000019" w:tentative="1">
      <w:start w:val="1"/>
      <w:numFmt w:val="lowerLetter"/>
      <w:lvlText w:val="%8."/>
      <w:lvlJc w:val="left"/>
      <w:pPr>
        <w:ind w:left="5835" w:hanging="360"/>
      </w:pPr>
    </w:lvl>
    <w:lvl w:ilvl="8" w:tplc="2000001B" w:tentative="1">
      <w:start w:val="1"/>
      <w:numFmt w:val="lowerRoman"/>
      <w:lvlText w:val="%9."/>
      <w:lvlJc w:val="right"/>
      <w:pPr>
        <w:ind w:left="6555" w:hanging="180"/>
      </w:pPr>
    </w:lvl>
  </w:abstractNum>
  <w:abstractNum w:abstractNumId="27" w15:restartNumberingAfterBreak="0">
    <w:nsid w:val="5E231E8E"/>
    <w:multiLevelType w:val="hybridMultilevel"/>
    <w:tmpl w:val="0BA06A0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2E660BA"/>
    <w:multiLevelType w:val="hybridMultilevel"/>
    <w:tmpl w:val="FF1ED216"/>
    <w:lvl w:ilvl="0" w:tplc="040C001B">
      <w:start w:val="1"/>
      <w:numFmt w:val="lowerRoman"/>
      <w:lvlText w:val="%1."/>
      <w:lvlJc w:val="right"/>
      <w:pPr>
        <w:ind w:left="720" w:hanging="360"/>
      </w:pPr>
      <w:rPr>
        <w:rFonts w:hint="default"/>
        <w:i w:val="0"/>
        <w:iCs w:val="0"/>
      </w:rPr>
    </w:lvl>
    <w:lvl w:ilvl="1" w:tplc="FFFFFFFF">
      <w:start w:val="1"/>
      <w:numFmt w:val="lowerRoman"/>
      <w:lvlText w:val="%2."/>
      <w:lvlJc w:val="right"/>
      <w:pPr>
        <w:ind w:left="1440" w:hanging="360"/>
      </w:pPr>
    </w:lvl>
    <w:lvl w:ilvl="2" w:tplc="FFFFFFFF">
      <w:start w:val="1"/>
      <w:numFmt w:val="lowerRoman"/>
      <w:lvlText w:val="%3."/>
      <w:lvlJc w:val="right"/>
      <w:pPr>
        <w:ind w:left="2160" w:hanging="180"/>
      </w:pPr>
      <w:rPr>
        <w:i w:val="0"/>
        <w:iCs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BD287C"/>
    <w:multiLevelType w:val="hybridMultilevel"/>
    <w:tmpl w:val="A57E54C0"/>
    <w:lvl w:ilvl="0" w:tplc="D5CE0100">
      <w:start w:val="1"/>
      <w:numFmt w:val="bullet"/>
      <w:lvlText w:val="-"/>
      <w:lvlJc w:val="left"/>
      <w:pPr>
        <w:ind w:left="720" w:hanging="360"/>
      </w:pPr>
      <w:rPr>
        <w:rFonts w:ascii="Symbol" w:hAnsi="Symbol" w:hint="default"/>
      </w:rPr>
    </w:lvl>
    <w:lvl w:ilvl="1" w:tplc="C97E8A08">
      <w:start w:val="1"/>
      <w:numFmt w:val="lowerLetter"/>
      <w:lvlText w:val="%2."/>
      <w:lvlJc w:val="left"/>
      <w:pPr>
        <w:ind w:left="1440" w:hanging="360"/>
      </w:pPr>
    </w:lvl>
    <w:lvl w:ilvl="2" w:tplc="D9DC5B6A">
      <w:start w:val="1"/>
      <w:numFmt w:val="lowerRoman"/>
      <w:lvlText w:val="%3."/>
      <w:lvlJc w:val="right"/>
      <w:pPr>
        <w:ind w:left="2160" w:hanging="180"/>
      </w:pPr>
    </w:lvl>
    <w:lvl w:ilvl="3" w:tplc="76866FE2">
      <w:start w:val="1"/>
      <w:numFmt w:val="decimal"/>
      <w:lvlText w:val="%4."/>
      <w:lvlJc w:val="left"/>
      <w:pPr>
        <w:ind w:left="2880" w:hanging="360"/>
      </w:pPr>
    </w:lvl>
    <w:lvl w:ilvl="4" w:tplc="C5EA3DAC">
      <w:start w:val="1"/>
      <w:numFmt w:val="lowerLetter"/>
      <w:lvlText w:val="%5."/>
      <w:lvlJc w:val="left"/>
      <w:pPr>
        <w:ind w:left="3600" w:hanging="360"/>
      </w:pPr>
    </w:lvl>
    <w:lvl w:ilvl="5" w:tplc="3F6EDF44">
      <w:start w:val="1"/>
      <w:numFmt w:val="lowerRoman"/>
      <w:lvlText w:val="%6."/>
      <w:lvlJc w:val="right"/>
      <w:pPr>
        <w:ind w:left="4320" w:hanging="180"/>
      </w:pPr>
    </w:lvl>
    <w:lvl w:ilvl="6" w:tplc="D172A422">
      <w:start w:val="1"/>
      <w:numFmt w:val="decimal"/>
      <w:lvlText w:val="%7."/>
      <w:lvlJc w:val="left"/>
      <w:pPr>
        <w:ind w:left="5040" w:hanging="360"/>
      </w:pPr>
    </w:lvl>
    <w:lvl w:ilvl="7" w:tplc="269A5126">
      <w:start w:val="1"/>
      <w:numFmt w:val="lowerLetter"/>
      <w:lvlText w:val="%8."/>
      <w:lvlJc w:val="left"/>
      <w:pPr>
        <w:ind w:left="5760" w:hanging="360"/>
      </w:pPr>
    </w:lvl>
    <w:lvl w:ilvl="8" w:tplc="6F766EDE">
      <w:start w:val="1"/>
      <w:numFmt w:val="lowerRoman"/>
      <w:lvlText w:val="%9."/>
      <w:lvlJc w:val="right"/>
      <w:pPr>
        <w:ind w:left="6480" w:hanging="180"/>
      </w:pPr>
    </w:lvl>
  </w:abstractNum>
  <w:abstractNum w:abstractNumId="30" w15:restartNumberingAfterBreak="0">
    <w:nsid w:val="664A9D57"/>
    <w:multiLevelType w:val="hybridMultilevel"/>
    <w:tmpl w:val="7B443FE8"/>
    <w:lvl w:ilvl="0" w:tplc="178222B2">
      <w:start w:val="1"/>
      <w:numFmt w:val="lowerLetter"/>
      <w:lvlText w:val="%1)"/>
      <w:lvlJc w:val="left"/>
      <w:pPr>
        <w:ind w:left="720" w:hanging="360"/>
      </w:pPr>
    </w:lvl>
    <w:lvl w:ilvl="1" w:tplc="4C74763E">
      <w:start w:val="1"/>
      <w:numFmt w:val="lowerLetter"/>
      <w:lvlText w:val="%2."/>
      <w:lvlJc w:val="left"/>
      <w:pPr>
        <w:ind w:left="1440" w:hanging="360"/>
      </w:pPr>
    </w:lvl>
    <w:lvl w:ilvl="2" w:tplc="8B141684">
      <w:start w:val="1"/>
      <w:numFmt w:val="lowerRoman"/>
      <w:lvlText w:val="%3."/>
      <w:lvlJc w:val="right"/>
      <w:pPr>
        <w:ind w:left="2160" w:hanging="180"/>
      </w:pPr>
    </w:lvl>
    <w:lvl w:ilvl="3" w:tplc="21C4C8CA">
      <w:start w:val="1"/>
      <w:numFmt w:val="decimal"/>
      <w:lvlText w:val="%4."/>
      <w:lvlJc w:val="left"/>
      <w:pPr>
        <w:ind w:left="2880" w:hanging="360"/>
      </w:pPr>
    </w:lvl>
    <w:lvl w:ilvl="4" w:tplc="AA54D0D4">
      <w:start w:val="1"/>
      <w:numFmt w:val="lowerLetter"/>
      <w:lvlText w:val="%5."/>
      <w:lvlJc w:val="left"/>
      <w:pPr>
        <w:ind w:left="3600" w:hanging="360"/>
      </w:pPr>
    </w:lvl>
    <w:lvl w:ilvl="5" w:tplc="D38C3B8C">
      <w:start w:val="1"/>
      <w:numFmt w:val="lowerRoman"/>
      <w:lvlText w:val="%6."/>
      <w:lvlJc w:val="right"/>
      <w:pPr>
        <w:ind w:left="4320" w:hanging="180"/>
      </w:pPr>
    </w:lvl>
    <w:lvl w:ilvl="6" w:tplc="E688A32A">
      <w:start w:val="1"/>
      <w:numFmt w:val="decimal"/>
      <w:lvlText w:val="%7."/>
      <w:lvlJc w:val="left"/>
      <w:pPr>
        <w:ind w:left="5040" w:hanging="360"/>
      </w:pPr>
    </w:lvl>
    <w:lvl w:ilvl="7" w:tplc="FB20BCF0">
      <w:start w:val="1"/>
      <w:numFmt w:val="lowerLetter"/>
      <w:lvlText w:val="%8."/>
      <w:lvlJc w:val="left"/>
      <w:pPr>
        <w:ind w:left="5760" w:hanging="360"/>
      </w:pPr>
    </w:lvl>
    <w:lvl w:ilvl="8" w:tplc="F43C4DA2">
      <w:start w:val="1"/>
      <w:numFmt w:val="lowerRoman"/>
      <w:lvlText w:val="%9."/>
      <w:lvlJc w:val="right"/>
      <w:pPr>
        <w:ind w:left="6480" w:hanging="180"/>
      </w:pPr>
    </w:lvl>
  </w:abstractNum>
  <w:abstractNum w:abstractNumId="31" w15:restartNumberingAfterBreak="0">
    <w:nsid w:val="67712B66"/>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0CA501"/>
    <w:multiLevelType w:val="hybridMultilevel"/>
    <w:tmpl w:val="91CEF56A"/>
    <w:lvl w:ilvl="0" w:tplc="A5540B3A">
      <w:start w:val="1"/>
      <w:numFmt w:val="lowerLetter"/>
      <w:lvlText w:val="%1)"/>
      <w:lvlJc w:val="left"/>
      <w:pPr>
        <w:ind w:left="720" w:hanging="360"/>
      </w:pPr>
    </w:lvl>
    <w:lvl w:ilvl="1" w:tplc="062ADDD2">
      <w:start w:val="1"/>
      <w:numFmt w:val="lowerLetter"/>
      <w:lvlText w:val="%2."/>
      <w:lvlJc w:val="left"/>
      <w:pPr>
        <w:ind w:left="1440" w:hanging="360"/>
      </w:pPr>
    </w:lvl>
    <w:lvl w:ilvl="2" w:tplc="437A1B02">
      <w:start w:val="1"/>
      <w:numFmt w:val="lowerRoman"/>
      <w:lvlText w:val="%3."/>
      <w:lvlJc w:val="right"/>
      <w:pPr>
        <w:ind w:left="2160" w:hanging="180"/>
      </w:pPr>
    </w:lvl>
    <w:lvl w:ilvl="3" w:tplc="8EC008EA">
      <w:start w:val="1"/>
      <w:numFmt w:val="decimal"/>
      <w:lvlText w:val="%4."/>
      <w:lvlJc w:val="left"/>
      <w:pPr>
        <w:ind w:left="2880" w:hanging="360"/>
      </w:pPr>
    </w:lvl>
    <w:lvl w:ilvl="4" w:tplc="7BAABC9A">
      <w:start w:val="1"/>
      <w:numFmt w:val="lowerLetter"/>
      <w:lvlText w:val="%5."/>
      <w:lvlJc w:val="left"/>
      <w:pPr>
        <w:ind w:left="3600" w:hanging="360"/>
      </w:pPr>
    </w:lvl>
    <w:lvl w:ilvl="5" w:tplc="10DC41B6">
      <w:start w:val="1"/>
      <w:numFmt w:val="lowerRoman"/>
      <w:lvlText w:val="%6."/>
      <w:lvlJc w:val="right"/>
      <w:pPr>
        <w:ind w:left="4320" w:hanging="180"/>
      </w:pPr>
    </w:lvl>
    <w:lvl w:ilvl="6" w:tplc="31AC1950">
      <w:start w:val="1"/>
      <w:numFmt w:val="decimal"/>
      <w:lvlText w:val="%7."/>
      <w:lvlJc w:val="left"/>
      <w:pPr>
        <w:ind w:left="5040" w:hanging="360"/>
      </w:pPr>
    </w:lvl>
    <w:lvl w:ilvl="7" w:tplc="9AF0566A">
      <w:start w:val="1"/>
      <w:numFmt w:val="lowerLetter"/>
      <w:lvlText w:val="%8."/>
      <w:lvlJc w:val="left"/>
      <w:pPr>
        <w:ind w:left="5760" w:hanging="360"/>
      </w:pPr>
    </w:lvl>
    <w:lvl w:ilvl="8" w:tplc="961404D8">
      <w:start w:val="1"/>
      <w:numFmt w:val="lowerRoman"/>
      <w:lvlText w:val="%9."/>
      <w:lvlJc w:val="right"/>
      <w:pPr>
        <w:ind w:left="6480" w:hanging="180"/>
      </w:pPr>
    </w:lvl>
  </w:abstractNum>
  <w:abstractNum w:abstractNumId="33" w15:restartNumberingAfterBreak="0">
    <w:nsid w:val="6EBC6242"/>
    <w:multiLevelType w:val="hybridMultilevel"/>
    <w:tmpl w:val="E78465C2"/>
    <w:lvl w:ilvl="0" w:tplc="C53634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6946B78"/>
    <w:multiLevelType w:val="hybridMultilevel"/>
    <w:tmpl w:val="18B67A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C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9D427E"/>
    <w:multiLevelType w:val="hybridMultilevel"/>
    <w:tmpl w:val="DA1C18C6"/>
    <w:lvl w:ilvl="0" w:tplc="CD443798">
      <w:start w:val="1"/>
      <w:numFmt w:val="lowerRoman"/>
      <w:lvlText w:val="%1)"/>
      <w:lvlJc w:val="left"/>
      <w:pPr>
        <w:ind w:left="1068" w:hanging="360"/>
      </w:pPr>
      <w:rPr>
        <w:rFonts w:ascii="Verdana" w:eastAsiaTheme="minorHAnsi" w:hAnsi="Verdana" w:cs="Calibri"/>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6" w15:restartNumberingAfterBreak="0">
    <w:nsid w:val="7C546772"/>
    <w:multiLevelType w:val="hybridMultilevel"/>
    <w:tmpl w:val="923A20F0"/>
    <w:lvl w:ilvl="0" w:tplc="FFFFFFFF">
      <w:start w:val="1"/>
      <w:numFmt w:val="low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D70137B"/>
    <w:multiLevelType w:val="hybridMultilevel"/>
    <w:tmpl w:val="C4A2043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DEA509F"/>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9616429">
    <w:abstractNumId w:val="30"/>
  </w:num>
  <w:num w:numId="2" w16cid:durableId="270553891">
    <w:abstractNumId w:val="1"/>
  </w:num>
  <w:num w:numId="3" w16cid:durableId="847330451">
    <w:abstractNumId w:val="32"/>
  </w:num>
  <w:num w:numId="4" w16cid:durableId="1265917841">
    <w:abstractNumId w:val="29"/>
  </w:num>
  <w:num w:numId="5" w16cid:durableId="939751354">
    <w:abstractNumId w:val="6"/>
  </w:num>
  <w:num w:numId="6" w16cid:durableId="1570651068">
    <w:abstractNumId w:val="14"/>
  </w:num>
  <w:num w:numId="7" w16cid:durableId="589896188">
    <w:abstractNumId w:val="17"/>
  </w:num>
  <w:num w:numId="8" w16cid:durableId="1506440172">
    <w:abstractNumId w:val="0"/>
  </w:num>
  <w:num w:numId="9" w16cid:durableId="789323465">
    <w:abstractNumId w:val="22"/>
  </w:num>
  <w:num w:numId="10" w16cid:durableId="1892879814">
    <w:abstractNumId w:val="8"/>
  </w:num>
  <w:num w:numId="11" w16cid:durableId="508523438">
    <w:abstractNumId w:val="18"/>
  </w:num>
  <w:num w:numId="12" w16cid:durableId="1362779858">
    <w:abstractNumId w:val="37"/>
  </w:num>
  <w:num w:numId="13" w16cid:durableId="902451534">
    <w:abstractNumId w:val="13"/>
  </w:num>
  <w:num w:numId="14" w16cid:durableId="711344734">
    <w:abstractNumId w:val="31"/>
  </w:num>
  <w:num w:numId="15" w16cid:durableId="887303496">
    <w:abstractNumId w:val="38"/>
  </w:num>
  <w:num w:numId="16" w16cid:durableId="1061824676">
    <w:abstractNumId w:val="33"/>
  </w:num>
  <w:num w:numId="17" w16cid:durableId="637144992">
    <w:abstractNumId w:val="11"/>
  </w:num>
  <w:num w:numId="18" w16cid:durableId="681587536">
    <w:abstractNumId w:val="35"/>
  </w:num>
  <w:num w:numId="19" w16cid:durableId="438764477">
    <w:abstractNumId w:val="9"/>
  </w:num>
  <w:num w:numId="20" w16cid:durableId="585189293">
    <w:abstractNumId w:val="2"/>
  </w:num>
  <w:num w:numId="21" w16cid:durableId="522863844">
    <w:abstractNumId w:val="27"/>
  </w:num>
  <w:num w:numId="22" w16cid:durableId="1515604837">
    <w:abstractNumId w:val="19"/>
  </w:num>
  <w:num w:numId="23" w16cid:durableId="549732421">
    <w:abstractNumId w:val="5"/>
  </w:num>
  <w:num w:numId="24" w16cid:durableId="931667854">
    <w:abstractNumId w:val="20"/>
  </w:num>
  <w:num w:numId="25" w16cid:durableId="2048866995">
    <w:abstractNumId w:val="15"/>
  </w:num>
  <w:num w:numId="26" w16cid:durableId="1413578422">
    <w:abstractNumId w:val="21"/>
  </w:num>
  <w:num w:numId="27" w16cid:durableId="694428063">
    <w:abstractNumId w:val="16"/>
  </w:num>
  <w:num w:numId="28" w16cid:durableId="1543400058">
    <w:abstractNumId w:val="24"/>
  </w:num>
  <w:num w:numId="29" w16cid:durableId="37239540">
    <w:abstractNumId w:val="26"/>
  </w:num>
  <w:num w:numId="30" w16cid:durableId="1486318338">
    <w:abstractNumId w:val="4"/>
  </w:num>
  <w:num w:numId="31" w16cid:durableId="1278563430">
    <w:abstractNumId w:val="36"/>
  </w:num>
  <w:num w:numId="32" w16cid:durableId="224797137">
    <w:abstractNumId w:val="28"/>
  </w:num>
  <w:num w:numId="33" w16cid:durableId="24716553">
    <w:abstractNumId w:val="34"/>
  </w:num>
  <w:num w:numId="34" w16cid:durableId="485586229">
    <w:abstractNumId w:val="10"/>
  </w:num>
  <w:num w:numId="35" w16cid:durableId="1960186304">
    <w:abstractNumId w:val="23"/>
  </w:num>
  <w:num w:numId="36" w16cid:durableId="678510292">
    <w:abstractNumId w:val="12"/>
  </w:num>
  <w:num w:numId="37" w16cid:durableId="376321661">
    <w:abstractNumId w:val="3"/>
  </w:num>
  <w:num w:numId="38" w16cid:durableId="32316629">
    <w:abstractNumId w:val="25"/>
  </w:num>
  <w:num w:numId="39" w16cid:durableId="733240100">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BC"/>
    <w:rsid w:val="00010A98"/>
    <w:rsid w:val="000254FE"/>
    <w:rsid w:val="00030575"/>
    <w:rsid w:val="00080552"/>
    <w:rsid w:val="000B3E8A"/>
    <w:rsid w:val="000D203E"/>
    <w:rsid w:val="000E75AA"/>
    <w:rsid w:val="001126A5"/>
    <w:rsid w:val="001243FB"/>
    <w:rsid w:val="0012482E"/>
    <w:rsid w:val="001419EC"/>
    <w:rsid w:val="0015257E"/>
    <w:rsid w:val="00154FC7"/>
    <w:rsid w:val="001617F6"/>
    <w:rsid w:val="00175891"/>
    <w:rsid w:val="0017618F"/>
    <w:rsid w:val="00195971"/>
    <w:rsid w:val="001A418B"/>
    <w:rsid w:val="001B4E9E"/>
    <w:rsid w:val="001C3C91"/>
    <w:rsid w:val="001E164C"/>
    <w:rsid w:val="0021124D"/>
    <w:rsid w:val="0021412E"/>
    <w:rsid w:val="002314E6"/>
    <w:rsid w:val="00265EB6"/>
    <w:rsid w:val="0028773A"/>
    <w:rsid w:val="0029764B"/>
    <w:rsid w:val="002C7CBF"/>
    <w:rsid w:val="003157CC"/>
    <w:rsid w:val="00322562"/>
    <w:rsid w:val="00353BB5"/>
    <w:rsid w:val="00361FA0"/>
    <w:rsid w:val="00362BB1"/>
    <w:rsid w:val="00374907"/>
    <w:rsid w:val="003A445A"/>
    <w:rsid w:val="003C7C9D"/>
    <w:rsid w:val="003D147F"/>
    <w:rsid w:val="003D241E"/>
    <w:rsid w:val="003E3A6F"/>
    <w:rsid w:val="003F662C"/>
    <w:rsid w:val="004033D8"/>
    <w:rsid w:val="00406618"/>
    <w:rsid w:val="0041528B"/>
    <w:rsid w:val="00420B93"/>
    <w:rsid w:val="00442A2D"/>
    <w:rsid w:val="00472FE3"/>
    <w:rsid w:val="00473668"/>
    <w:rsid w:val="0047710B"/>
    <w:rsid w:val="00483C87"/>
    <w:rsid w:val="004C05EC"/>
    <w:rsid w:val="004C1FD4"/>
    <w:rsid w:val="004C5049"/>
    <w:rsid w:val="004D089F"/>
    <w:rsid w:val="004F2450"/>
    <w:rsid w:val="004F29BC"/>
    <w:rsid w:val="00510D30"/>
    <w:rsid w:val="00520338"/>
    <w:rsid w:val="00537CC7"/>
    <w:rsid w:val="0054004B"/>
    <w:rsid w:val="005716DD"/>
    <w:rsid w:val="00576935"/>
    <w:rsid w:val="005803FB"/>
    <w:rsid w:val="0058613A"/>
    <w:rsid w:val="0059215A"/>
    <w:rsid w:val="005A770E"/>
    <w:rsid w:val="005A776B"/>
    <w:rsid w:val="005A7DAC"/>
    <w:rsid w:val="005B51FC"/>
    <w:rsid w:val="005C0587"/>
    <w:rsid w:val="005C53C7"/>
    <w:rsid w:val="005D3BB9"/>
    <w:rsid w:val="005D726C"/>
    <w:rsid w:val="00616BD0"/>
    <w:rsid w:val="00617AFD"/>
    <w:rsid w:val="00644C2E"/>
    <w:rsid w:val="00654CB0"/>
    <w:rsid w:val="006727D0"/>
    <w:rsid w:val="00673A79"/>
    <w:rsid w:val="00677B70"/>
    <w:rsid w:val="006A5FBE"/>
    <w:rsid w:val="006E0626"/>
    <w:rsid w:val="006F1DAD"/>
    <w:rsid w:val="0070590B"/>
    <w:rsid w:val="007114D3"/>
    <w:rsid w:val="00730166"/>
    <w:rsid w:val="00735CC2"/>
    <w:rsid w:val="0073657C"/>
    <w:rsid w:val="00737931"/>
    <w:rsid w:val="00740D06"/>
    <w:rsid w:val="00743F7E"/>
    <w:rsid w:val="007546B7"/>
    <w:rsid w:val="00756784"/>
    <w:rsid w:val="0077050C"/>
    <w:rsid w:val="007A12A2"/>
    <w:rsid w:val="007A5A04"/>
    <w:rsid w:val="007E0D9B"/>
    <w:rsid w:val="007F1E88"/>
    <w:rsid w:val="007F3430"/>
    <w:rsid w:val="008337DB"/>
    <w:rsid w:val="0086A60E"/>
    <w:rsid w:val="00874C11"/>
    <w:rsid w:val="008902EA"/>
    <w:rsid w:val="008A6FD2"/>
    <w:rsid w:val="008A703B"/>
    <w:rsid w:val="008C4FB9"/>
    <w:rsid w:val="008E41CC"/>
    <w:rsid w:val="009019E6"/>
    <w:rsid w:val="00907E04"/>
    <w:rsid w:val="00907F4A"/>
    <w:rsid w:val="00910762"/>
    <w:rsid w:val="00911184"/>
    <w:rsid w:val="009159E6"/>
    <w:rsid w:val="00923A22"/>
    <w:rsid w:val="00934D96"/>
    <w:rsid w:val="00937F7A"/>
    <w:rsid w:val="009508FE"/>
    <w:rsid w:val="00976578"/>
    <w:rsid w:val="00986436"/>
    <w:rsid w:val="00995930"/>
    <w:rsid w:val="00996925"/>
    <w:rsid w:val="009A2D9B"/>
    <w:rsid w:val="009B1DE1"/>
    <w:rsid w:val="009B47C8"/>
    <w:rsid w:val="009B62A4"/>
    <w:rsid w:val="009C3B60"/>
    <w:rsid w:val="009D4A2A"/>
    <w:rsid w:val="009D6CDA"/>
    <w:rsid w:val="009E01B6"/>
    <w:rsid w:val="009E75E7"/>
    <w:rsid w:val="009F1773"/>
    <w:rsid w:val="009F3E2F"/>
    <w:rsid w:val="009F66A2"/>
    <w:rsid w:val="00A4592D"/>
    <w:rsid w:val="00A7259C"/>
    <w:rsid w:val="00A92D5F"/>
    <w:rsid w:val="00AA76EA"/>
    <w:rsid w:val="00AB4DB1"/>
    <w:rsid w:val="00AD407B"/>
    <w:rsid w:val="00AF1574"/>
    <w:rsid w:val="00AF68AC"/>
    <w:rsid w:val="00B17E79"/>
    <w:rsid w:val="00B215BD"/>
    <w:rsid w:val="00B217EF"/>
    <w:rsid w:val="00B21B3F"/>
    <w:rsid w:val="00B50387"/>
    <w:rsid w:val="00B828FF"/>
    <w:rsid w:val="00BA1F9E"/>
    <w:rsid w:val="00BA5184"/>
    <w:rsid w:val="00BD0961"/>
    <w:rsid w:val="00BD650A"/>
    <w:rsid w:val="00BE6B3A"/>
    <w:rsid w:val="00BF0B9C"/>
    <w:rsid w:val="00C1681E"/>
    <w:rsid w:val="00C204CD"/>
    <w:rsid w:val="00C2428C"/>
    <w:rsid w:val="00C378FE"/>
    <w:rsid w:val="00C56855"/>
    <w:rsid w:val="00C90696"/>
    <w:rsid w:val="00C9274B"/>
    <w:rsid w:val="00CA2AE1"/>
    <w:rsid w:val="00CB54CC"/>
    <w:rsid w:val="00CD7484"/>
    <w:rsid w:val="00D06683"/>
    <w:rsid w:val="00D11E13"/>
    <w:rsid w:val="00D169CC"/>
    <w:rsid w:val="00D16ED7"/>
    <w:rsid w:val="00D31115"/>
    <w:rsid w:val="00D5158C"/>
    <w:rsid w:val="00D52E06"/>
    <w:rsid w:val="00D97308"/>
    <w:rsid w:val="00DA0D9C"/>
    <w:rsid w:val="00DB2F8D"/>
    <w:rsid w:val="00DD68F0"/>
    <w:rsid w:val="00DF3324"/>
    <w:rsid w:val="00DF412E"/>
    <w:rsid w:val="00E27270"/>
    <w:rsid w:val="00E274F5"/>
    <w:rsid w:val="00E43D13"/>
    <w:rsid w:val="00E57523"/>
    <w:rsid w:val="00EB727A"/>
    <w:rsid w:val="00ED57C0"/>
    <w:rsid w:val="00EE0CA6"/>
    <w:rsid w:val="00EE47A7"/>
    <w:rsid w:val="00F23FE1"/>
    <w:rsid w:val="00F35E11"/>
    <w:rsid w:val="00F36F24"/>
    <w:rsid w:val="00F84E24"/>
    <w:rsid w:val="00FC490F"/>
    <w:rsid w:val="00FD4098"/>
    <w:rsid w:val="00FF09BA"/>
    <w:rsid w:val="01165AD9"/>
    <w:rsid w:val="01554F0B"/>
    <w:rsid w:val="01CB4BCE"/>
    <w:rsid w:val="01E7CE0D"/>
    <w:rsid w:val="020CBC03"/>
    <w:rsid w:val="02C3EECB"/>
    <w:rsid w:val="03A5F0B6"/>
    <w:rsid w:val="04382654"/>
    <w:rsid w:val="0635E66F"/>
    <w:rsid w:val="06DC2E5A"/>
    <w:rsid w:val="06FB9E2A"/>
    <w:rsid w:val="0776467E"/>
    <w:rsid w:val="080411C8"/>
    <w:rsid w:val="08812C63"/>
    <w:rsid w:val="08A927F8"/>
    <w:rsid w:val="08AEC029"/>
    <w:rsid w:val="09138FFD"/>
    <w:rsid w:val="092A7E3C"/>
    <w:rsid w:val="09320CFE"/>
    <w:rsid w:val="09E261FC"/>
    <w:rsid w:val="0A9441D5"/>
    <w:rsid w:val="0ADE0C4B"/>
    <w:rsid w:val="0B63C609"/>
    <w:rsid w:val="0BC1D27E"/>
    <w:rsid w:val="0C2DD81D"/>
    <w:rsid w:val="0CCDE1F0"/>
    <w:rsid w:val="0D2A82A4"/>
    <w:rsid w:val="0D38CE80"/>
    <w:rsid w:val="0D68A6D0"/>
    <w:rsid w:val="0F4308A6"/>
    <w:rsid w:val="0F70E522"/>
    <w:rsid w:val="0FE52F10"/>
    <w:rsid w:val="10478AEA"/>
    <w:rsid w:val="1122BA8A"/>
    <w:rsid w:val="1138CD73"/>
    <w:rsid w:val="114F4207"/>
    <w:rsid w:val="1160DD34"/>
    <w:rsid w:val="1197B235"/>
    <w:rsid w:val="11E411F3"/>
    <w:rsid w:val="12474B73"/>
    <w:rsid w:val="12690F69"/>
    <w:rsid w:val="1274D943"/>
    <w:rsid w:val="127B5EAF"/>
    <w:rsid w:val="129D4FA8"/>
    <w:rsid w:val="12C558A5"/>
    <w:rsid w:val="12E358AB"/>
    <w:rsid w:val="13C82284"/>
    <w:rsid w:val="13D51CFC"/>
    <w:rsid w:val="140F256D"/>
    <w:rsid w:val="150F264C"/>
    <w:rsid w:val="1515EF04"/>
    <w:rsid w:val="15C45EA7"/>
    <w:rsid w:val="16314453"/>
    <w:rsid w:val="16C3C1AA"/>
    <w:rsid w:val="17451C93"/>
    <w:rsid w:val="184134F0"/>
    <w:rsid w:val="18D0C2CF"/>
    <w:rsid w:val="193916F3"/>
    <w:rsid w:val="1967832C"/>
    <w:rsid w:val="1A08C0E2"/>
    <w:rsid w:val="1A09CEDC"/>
    <w:rsid w:val="1A559DA9"/>
    <w:rsid w:val="1BD00A06"/>
    <w:rsid w:val="1C0ABC1C"/>
    <w:rsid w:val="1C111C81"/>
    <w:rsid w:val="1C5DEC15"/>
    <w:rsid w:val="1D628C40"/>
    <w:rsid w:val="1D699650"/>
    <w:rsid w:val="1D7FD579"/>
    <w:rsid w:val="1DE9A689"/>
    <w:rsid w:val="1DECE7CB"/>
    <w:rsid w:val="1EB6920D"/>
    <w:rsid w:val="1F1EF294"/>
    <w:rsid w:val="1F86CB81"/>
    <w:rsid w:val="1F9DCE92"/>
    <w:rsid w:val="1FE40F54"/>
    <w:rsid w:val="2023C722"/>
    <w:rsid w:val="20B2D1CD"/>
    <w:rsid w:val="20D39253"/>
    <w:rsid w:val="21835A13"/>
    <w:rsid w:val="21CD7409"/>
    <w:rsid w:val="21D8327E"/>
    <w:rsid w:val="2357CE31"/>
    <w:rsid w:val="23F0C3CC"/>
    <w:rsid w:val="24192EDC"/>
    <w:rsid w:val="245090BC"/>
    <w:rsid w:val="249BDDC3"/>
    <w:rsid w:val="25137305"/>
    <w:rsid w:val="2522AB8D"/>
    <w:rsid w:val="258E2C58"/>
    <w:rsid w:val="2598C301"/>
    <w:rsid w:val="2698B99B"/>
    <w:rsid w:val="272AD119"/>
    <w:rsid w:val="294D1361"/>
    <w:rsid w:val="29F59E34"/>
    <w:rsid w:val="2A1E4C8F"/>
    <w:rsid w:val="2A599071"/>
    <w:rsid w:val="2A77F3BD"/>
    <w:rsid w:val="2B587850"/>
    <w:rsid w:val="2C3A90F9"/>
    <w:rsid w:val="2CB75343"/>
    <w:rsid w:val="2CCC9AE5"/>
    <w:rsid w:val="2D7DB823"/>
    <w:rsid w:val="2D81CA7D"/>
    <w:rsid w:val="2DEB086C"/>
    <w:rsid w:val="2E5936AF"/>
    <w:rsid w:val="2E7B62F6"/>
    <w:rsid w:val="2EFC98F6"/>
    <w:rsid w:val="2FAB9743"/>
    <w:rsid w:val="3083B3AB"/>
    <w:rsid w:val="310F988A"/>
    <w:rsid w:val="3126DFE4"/>
    <w:rsid w:val="328DBE76"/>
    <w:rsid w:val="331EA394"/>
    <w:rsid w:val="34210054"/>
    <w:rsid w:val="35049F1E"/>
    <w:rsid w:val="353D4F2E"/>
    <w:rsid w:val="357DBAAE"/>
    <w:rsid w:val="35B4B298"/>
    <w:rsid w:val="3701AB3A"/>
    <w:rsid w:val="3711245C"/>
    <w:rsid w:val="371A36D9"/>
    <w:rsid w:val="37EE38B0"/>
    <w:rsid w:val="3808D983"/>
    <w:rsid w:val="38747124"/>
    <w:rsid w:val="38AD848D"/>
    <w:rsid w:val="38D70A9A"/>
    <w:rsid w:val="3904D470"/>
    <w:rsid w:val="391EB416"/>
    <w:rsid w:val="39BBDA46"/>
    <w:rsid w:val="3AEAE331"/>
    <w:rsid w:val="3B3EB0C4"/>
    <w:rsid w:val="3C2A79F2"/>
    <w:rsid w:val="3CE19E2C"/>
    <w:rsid w:val="3CF5B83F"/>
    <w:rsid w:val="3D84FA95"/>
    <w:rsid w:val="3DB98BF6"/>
    <w:rsid w:val="3DC3F14E"/>
    <w:rsid w:val="3E20045F"/>
    <w:rsid w:val="3E530D5E"/>
    <w:rsid w:val="3F34B7A8"/>
    <w:rsid w:val="3FCBFA80"/>
    <w:rsid w:val="3FD9C0FD"/>
    <w:rsid w:val="401C6EE2"/>
    <w:rsid w:val="40E5AF11"/>
    <w:rsid w:val="4104F2F8"/>
    <w:rsid w:val="416D06AF"/>
    <w:rsid w:val="416F4069"/>
    <w:rsid w:val="41E1FD14"/>
    <w:rsid w:val="41EAE886"/>
    <w:rsid w:val="4228AC94"/>
    <w:rsid w:val="426F06E9"/>
    <w:rsid w:val="43309D39"/>
    <w:rsid w:val="43965390"/>
    <w:rsid w:val="43D471DB"/>
    <w:rsid w:val="43F31313"/>
    <w:rsid w:val="44573DBC"/>
    <w:rsid w:val="448C5550"/>
    <w:rsid w:val="481CC3DA"/>
    <w:rsid w:val="486C64A6"/>
    <w:rsid w:val="48BE4D71"/>
    <w:rsid w:val="4A22E543"/>
    <w:rsid w:val="4A3F1AF5"/>
    <w:rsid w:val="4A8AA13A"/>
    <w:rsid w:val="4B17E31A"/>
    <w:rsid w:val="4B2811C2"/>
    <w:rsid w:val="4B2E76DB"/>
    <w:rsid w:val="4B3E7FB9"/>
    <w:rsid w:val="4B93DED5"/>
    <w:rsid w:val="4BFF660A"/>
    <w:rsid w:val="4C6D893A"/>
    <w:rsid w:val="4CF6D342"/>
    <w:rsid w:val="4D353C53"/>
    <w:rsid w:val="4DBBA22A"/>
    <w:rsid w:val="4E3893E9"/>
    <w:rsid w:val="4E68B4E9"/>
    <w:rsid w:val="4E7C5D3C"/>
    <w:rsid w:val="4EA64975"/>
    <w:rsid w:val="4EFB2F9C"/>
    <w:rsid w:val="4F1B4664"/>
    <w:rsid w:val="4F87878B"/>
    <w:rsid w:val="4FB9CF68"/>
    <w:rsid w:val="4FB9D914"/>
    <w:rsid w:val="4FBB186B"/>
    <w:rsid w:val="50090E21"/>
    <w:rsid w:val="5049FC55"/>
    <w:rsid w:val="50630212"/>
    <w:rsid w:val="50673B6B"/>
    <w:rsid w:val="50982703"/>
    <w:rsid w:val="516BF00F"/>
    <w:rsid w:val="529C5C4F"/>
    <w:rsid w:val="52CDAF9A"/>
    <w:rsid w:val="53AA3CFB"/>
    <w:rsid w:val="54211D9A"/>
    <w:rsid w:val="54699BCE"/>
    <w:rsid w:val="549A74DB"/>
    <w:rsid w:val="55152C5D"/>
    <w:rsid w:val="553AB16E"/>
    <w:rsid w:val="554A72F5"/>
    <w:rsid w:val="565F9ACC"/>
    <w:rsid w:val="56B08A97"/>
    <w:rsid w:val="5720219D"/>
    <w:rsid w:val="573288A5"/>
    <w:rsid w:val="57518BB7"/>
    <w:rsid w:val="587D79C8"/>
    <w:rsid w:val="589A1DED"/>
    <w:rsid w:val="589B1C89"/>
    <w:rsid w:val="58B3CC6D"/>
    <w:rsid w:val="5A41AE19"/>
    <w:rsid w:val="5A48F60C"/>
    <w:rsid w:val="5AB92B7B"/>
    <w:rsid w:val="5AC89EBD"/>
    <w:rsid w:val="5AD68C9A"/>
    <w:rsid w:val="5ADD79F8"/>
    <w:rsid w:val="5BE0FB29"/>
    <w:rsid w:val="5CBC9CEF"/>
    <w:rsid w:val="5CDBC7BC"/>
    <w:rsid w:val="5D00B08C"/>
    <w:rsid w:val="5DA5A60C"/>
    <w:rsid w:val="5DD18381"/>
    <w:rsid w:val="5E5F5E76"/>
    <w:rsid w:val="5E9388BA"/>
    <w:rsid w:val="5EC3B461"/>
    <w:rsid w:val="5EDC1CAC"/>
    <w:rsid w:val="5FACD323"/>
    <w:rsid w:val="604555D3"/>
    <w:rsid w:val="60A6C750"/>
    <w:rsid w:val="6121267C"/>
    <w:rsid w:val="61668194"/>
    <w:rsid w:val="6183DBE2"/>
    <w:rsid w:val="61EE852B"/>
    <w:rsid w:val="6215777D"/>
    <w:rsid w:val="6267BC68"/>
    <w:rsid w:val="63BD10EB"/>
    <w:rsid w:val="63BD8EDF"/>
    <w:rsid w:val="63E2B408"/>
    <w:rsid w:val="63EBA99F"/>
    <w:rsid w:val="64330A6C"/>
    <w:rsid w:val="648A6A49"/>
    <w:rsid w:val="65262497"/>
    <w:rsid w:val="6594E86B"/>
    <w:rsid w:val="65BCB4A2"/>
    <w:rsid w:val="65C6EF15"/>
    <w:rsid w:val="66DAAB63"/>
    <w:rsid w:val="6785553C"/>
    <w:rsid w:val="67BED036"/>
    <w:rsid w:val="67E487E5"/>
    <w:rsid w:val="682181FB"/>
    <w:rsid w:val="6886B89D"/>
    <w:rsid w:val="68BC7D00"/>
    <w:rsid w:val="68C26F91"/>
    <w:rsid w:val="691FA01A"/>
    <w:rsid w:val="692587EE"/>
    <w:rsid w:val="6937B667"/>
    <w:rsid w:val="6975F039"/>
    <w:rsid w:val="697A0F18"/>
    <w:rsid w:val="697CC927"/>
    <w:rsid w:val="697E5B4D"/>
    <w:rsid w:val="699538F3"/>
    <w:rsid w:val="69AD131D"/>
    <w:rsid w:val="69D57A9D"/>
    <w:rsid w:val="69D9369F"/>
    <w:rsid w:val="6A00E183"/>
    <w:rsid w:val="6A43B6D2"/>
    <w:rsid w:val="6A680F67"/>
    <w:rsid w:val="6A6CEC4B"/>
    <w:rsid w:val="6ABD28AC"/>
    <w:rsid w:val="6ACEE6DC"/>
    <w:rsid w:val="6B2FE023"/>
    <w:rsid w:val="6B6238AB"/>
    <w:rsid w:val="6C888BA5"/>
    <w:rsid w:val="6CE2B7DD"/>
    <w:rsid w:val="6D369635"/>
    <w:rsid w:val="6D9E15D4"/>
    <w:rsid w:val="6DC70E31"/>
    <w:rsid w:val="6E3E541A"/>
    <w:rsid w:val="6EE96CC0"/>
    <w:rsid w:val="6F061444"/>
    <w:rsid w:val="6F2BE763"/>
    <w:rsid w:val="6F746608"/>
    <w:rsid w:val="6FAFB5EE"/>
    <w:rsid w:val="6FF839ED"/>
    <w:rsid w:val="6FF93F8A"/>
    <w:rsid w:val="702CE504"/>
    <w:rsid w:val="70CADEDF"/>
    <w:rsid w:val="70DE4DF9"/>
    <w:rsid w:val="71063F42"/>
    <w:rsid w:val="7133F058"/>
    <w:rsid w:val="713B326A"/>
    <w:rsid w:val="71D2CD96"/>
    <w:rsid w:val="724F4C9F"/>
    <w:rsid w:val="72C27CBE"/>
    <w:rsid w:val="73453625"/>
    <w:rsid w:val="734DB81B"/>
    <w:rsid w:val="740F3FB8"/>
    <w:rsid w:val="743AA6AA"/>
    <w:rsid w:val="74ADD77E"/>
    <w:rsid w:val="74B42D7F"/>
    <w:rsid w:val="7504547F"/>
    <w:rsid w:val="7522D9D6"/>
    <w:rsid w:val="75AE637B"/>
    <w:rsid w:val="761E2212"/>
    <w:rsid w:val="764C1D00"/>
    <w:rsid w:val="764FE4DF"/>
    <w:rsid w:val="766155F4"/>
    <w:rsid w:val="7683B908"/>
    <w:rsid w:val="76EC2803"/>
    <w:rsid w:val="775A0C10"/>
    <w:rsid w:val="77B21698"/>
    <w:rsid w:val="7858BE69"/>
    <w:rsid w:val="7991476E"/>
    <w:rsid w:val="7A00E9F7"/>
    <w:rsid w:val="7A606734"/>
    <w:rsid w:val="7B399246"/>
    <w:rsid w:val="7C0AE984"/>
    <w:rsid w:val="7C47E87A"/>
    <w:rsid w:val="7C9A93A2"/>
    <w:rsid w:val="7CB645CC"/>
    <w:rsid w:val="7D3145A1"/>
    <w:rsid w:val="7D5C0D33"/>
    <w:rsid w:val="7E6596F8"/>
    <w:rsid w:val="7F105799"/>
    <w:rsid w:val="7F39D7EB"/>
    <w:rsid w:val="7F88BDCD"/>
    <w:rsid w:val="7FAF5EAF"/>
    <w:rsid w:val="7FF3A43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19590"/>
  <w15:chartTrackingRefBased/>
  <w15:docId w15:val="{E62D2560-860B-4F7D-9A1D-4A6EABC1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29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F29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F29B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F29B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F29B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F29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29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29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29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29B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F29B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F29B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F29B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F29B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F29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29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29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29BC"/>
    <w:rPr>
      <w:rFonts w:eastAsiaTheme="majorEastAsia" w:cstheme="majorBidi"/>
      <w:color w:val="272727" w:themeColor="text1" w:themeTint="D8"/>
    </w:rPr>
  </w:style>
  <w:style w:type="paragraph" w:styleId="Titre">
    <w:name w:val="Title"/>
    <w:basedOn w:val="Normal"/>
    <w:next w:val="Normal"/>
    <w:link w:val="TitreCar"/>
    <w:uiPriority w:val="10"/>
    <w:qFormat/>
    <w:rsid w:val="004F29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29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29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29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29BC"/>
    <w:pPr>
      <w:spacing w:before="160"/>
      <w:jc w:val="center"/>
    </w:pPr>
    <w:rPr>
      <w:i/>
      <w:iCs/>
      <w:color w:val="404040" w:themeColor="text1" w:themeTint="BF"/>
    </w:rPr>
  </w:style>
  <w:style w:type="character" w:customStyle="1" w:styleId="CitationCar">
    <w:name w:val="Citation Car"/>
    <w:basedOn w:val="Policepardfaut"/>
    <w:link w:val="Citation"/>
    <w:uiPriority w:val="29"/>
    <w:rsid w:val="004F29BC"/>
    <w:rPr>
      <w:i/>
      <w:iCs/>
      <w:color w:val="404040" w:themeColor="text1" w:themeTint="BF"/>
    </w:rPr>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F29BC"/>
    <w:pPr>
      <w:ind w:left="720"/>
      <w:contextualSpacing/>
    </w:pPr>
  </w:style>
  <w:style w:type="character" w:styleId="Accentuationintense">
    <w:name w:val="Intense Emphasis"/>
    <w:basedOn w:val="Policepardfaut"/>
    <w:uiPriority w:val="21"/>
    <w:qFormat/>
    <w:rsid w:val="004F29BC"/>
    <w:rPr>
      <w:i/>
      <w:iCs/>
      <w:color w:val="2F5496" w:themeColor="accent1" w:themeShade="BF"/>
    </w:rPr>
  </w:style>
  <w:style w:type="paragraph" w:styleId="Citationintense">
    <w:name w:val="Intense Quote"/>
    <w:basedOn w:val="Normal"/>
    <w:next w:val="Normal"/>
    <w:link w:val="CitationintenseCar"/>
    <w:uiPriority w:val="30"/>
    <w:qFormat/>
    <w:rsid w:val="004F29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F29BC"/>
    <w:rPr>
      <w:i/>
      <w:iCs/>
      <w:color w:val="2F5496" w:themeColor="accent1" w:themeShade="BF"/>
    </w:rPr>
  </w:style>
  <w:style w:type="character" w:styleId="Rfrenceintense">
    <w:name w:val="Intense Reference"/>
    <w:basedOn w:val="Policepardfaut"/>
    <w:uiPriority w:val="32"/>
    <w:qFormat/>
    <w:rsid w:val="004F29BC"/>
    <w:rPr>
      <w:b/>
      <w:bCs/>
      <w:smallCaps/>
      <w:color w:val="2F5496" w:themeColor="accent1" w:themeShade="BF"/>
      <w:spacing w:val="5"/>
    </w:rPr>
  </w:style>
  <w:style w:type="paragraph" w:styleId="En-tte">
    <w:name w:val="header"/>
    <w:basedOn w:val="Normal"/>
    <w:link w:val="En-tteCar"/>
    <w:uiPriority w:val="99"/>
    <w:unhideWhenUsed/>
    <w:rsid w:val="004F29BC"/>
    <w:pPr>
      <w:tabs>
        <w:tab w:val="center" w:pos="4536"/>
        <w:tab w:val="right" w:pos="9072"/>
      </w:tabs>
      <w:spacing w:after="0" w:line="240" w:lineRule="auto"/>
    </w:pPr>
  </w:style>
  <w:style w:type="character" w:customStyle="1" w:styleId="En-tteCar">
    <w:name w:val="En-tête Car"/>
    <w:basedOn w:val="Policepardfaut"/>
    <w:link w:val="En-tte"/>
    <w:uiPriority w:val="99"/>
    <w:rsid w:val="004F29BC"/>
  </w:style>
  <w:style w:type="paragraph" w:styleId="Pieddepage">
    <w:name w:val="footer"/>
    <w:basedOn w:val="Normal"/>
    <w:link w:val="PieddepageCar"/>
    <w:uiPriority w:val="99"/>
    <w:unhideWhenUsed/>
    <w:rsid w:val="004F29B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29BC"/>
  </w:style>
  <w:style w:type="table" w:styleId="Grilledutableau">
    <w:name w:val="Table Grid"/>
    <w:basedOn w:val="TableauNormal"/>
    <w:uiPriority w:val="39"/>
    <w:rsid w:val="004F2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link w:val="ParagrapheCar"/>
    <w:qFormat/>
    <w:rsid w:val="004F29BC"/>
    <w:pPr>
      <w:jc w:val="both"/>
    </w:pPr>
    <w:rPr>
      <w:rFonts w:ascii="Verdana" w:hAnsi="Verdana" w:cs="Calibri"/>
      <w:kern w:val="0"/>
      <w:sz w:val="20"/>
      <w:szCs w:val="20"/>
      <w14:ligatures w14:val="none"/>
    </w:rPr>
  </w:style>
  <w:style w:type="character" w:customStyle="1" w:styleId="ParagrapheCar">
    <w:name w:val="Paragraphe Car"/>
    <w:basedOn w:val="Policepardfaut"/>
    <w:link w:val="Paragraphe"/>
    <w:rsid w:val="004F29BC"/>
    <w:rPr>
      <w:rFonts w:ascii="Verdana" w:hAnsi="Verdana" w:cs="Calibri"/>
      <w:kern w:val="0"/>
      <w:sz w:val="20"/>
      <w:szCs w:val="20"/>
      <w14:ligatures w14:val="none"/>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locked/>
    <w:rsid w:val="004F29BC"/>
  </w:style>
  <w:style w:type="paragraph" w:styleId="Sansinterligne">
    <w:name w:val="No Spacing"/>
    <w:link w:val="SansinterligneCar"/>
    <w:uiPriority w:val="1"/>
    <w:qFormat/>
    <w:rsid w:val="003D241E"/>
    <w:pPr>
      <w:spacing w:after="0" w:line="240" w:lineRule="auto"/>
    </w:pPr>
    <w:rPr>
      <w:kern w:val="0"/>
      <w14:ligatures w14:val="none"/>
    </w:rPr>
  </w:style>
  <w:style w:type="character" w:customStyle="1" w:styleId="SansinterligneCar">
    <w:name w:val="Sans interligne Car"/>
    <w:link w:val="Sansinterligne"/>
    <w:uiPriority w:val="1"/>
    <w:locked/>
    <w:rsid w:val="003D241E"/>
    <w:rPr>
      <w:kern w:val="0"/>
      <w14:ligatures w14:val="none"/>
    </w:rPr>
  </w:style>
  <w:style w:type="paragraph" w:customStyle="1" w:styleId="Titrepartie">
    <w:name w:val="Titre partie"/>
    <w:basedOn w:val="Paragraphedeliste"/>
    <w:link w:val="TitrepartieCar"/>
    <w:qFormat/>
    <w:rsid w:val="003D241E"/>
    <w:pPr>
      <w:numPr>
        <w:numId w:val="23"/>
      </w:numPr>
      <w:jc w:val="both"/>
    </w:pPr>
    <w:rPr>
      <w:rFonts w:ascii="Verdana" w:hAnsi="Verdana" w:cs="Calibri"/>
      <w:b/>
      <w:bCs/>
      <w:color w:val="0070C0"/>
      <w:kern w:val="0"/>
      <w:szCs w:val="20"/>
      <w14:ligatures w14:val="none"/>
    </w:rPr>
  </w:style>
  <w:style w:type="character" w:customStyle="1" w:styleId="TitrepartieCar">
    <w:name w:val="Titre partie Car"/>
    <w:basedOn w:val="Policepardfaut"/>
    <w:link w:val="Titrepartie"/>
    <w:rsid w:val="003D241E"/>
    <w:rPr>
      <w:rFonts w:ascii="Verdana" w:hAnsi="Verdana" w:cs="Calibri"/>
      <w:b/>
      <w:bCs/>
      <w:color w:val="0070C0"/>
      <w:kern w:val="0"/>
      <w:szCs w:val="20"/>
      <w14:ligatures w14:val="none"/>
    </w:rPr>
  </w:style>
  <w:style w:type="paragraph" w:customStyle="1" w:styleId="Sous-partie2">
    <w:name w:val="Sous-partie 2"/>
    <w:basedOn w:val="Paragraphedeliste"/>
    <w:qFormat/>
    <w:rsid w:val="003D241E"/>
    <w:pPr>
      <w:numPr>
        <w:ilvl w:val="1"/>
        <w:numId w:val="23"/>
      </w:numPr>
      <w:tabs>
        <w:tab w:val="num" w:pos="360"/>
      </w:tabs>
      <w:ind w:left="1080" w:firstLine="0"/>
      <w:jc w:val="both"/>
    </w:pPr>
    <w:rPr>
      <w:rFonts w:ascii="Verdana" w:hAnsi="Verdana" w:cs="Calibri"/>
      <w:color w:val="0070C0"/>
      <w:kern w:val="0"/>
      <w:sz w:val="20"/>
      <w:szCs w:val="20"/>
      <w14:ligatures w14:val="none"/>
    </w:rPr>
  </w:style>
  <w:style w:type="paragraph" w:styleId="Corpsdetexte">
    <w:name w:val="Body Text"/>
    <w:basedOn w:val="Normal"/>
    <w:link w:val="CorpsdetexteCar"/>
    <w:uiPriority w:val="99"/>
    <w:unhideWhenUsed/>
    <w:rsid w:val="00154FC7"/>
    <w:pPr>
      <w:spacing w:after="120"/>
    </w:pPr>
    <w:rPr>
      <w:kern w:val="0"/>
      <w14:ligatures w14:val="none"/>
    </w:rPr>
  </w:style>
  <w:style w:type="character" w:customStyle="1" w:styleId="CorpsdetexteCar">
    <w:name w:val="Corps de texte Car"/>
    <w:basedOn w:val="Policepardfaut"/>
    <w:link w:val="Corpsdetexte"/>
    <w:uiPriority w:val="99"/>
    <w:rsid w:val="00154FC7"/>
    <w:rPr>
      <w:kern w:val="0"/>
      <w14:ligatures w14:val="none"/>
    </w:rPr>
  </w:style>
  <w:style w:type="paragraph" w:customStyle="1" w:styleId="Default">
    <w:name w:val="Default"/>
    <w:rsid w:val="00154FC7"/>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Commentaire">
    <w:name w:val="annotation text"/>
    <w:basedOn w:val="Normal"/>
    <w:link w:val="CommentaireCar"/>
    <w:uiPriority w:val="99"/>
    <w:semiHidden/>
    <w:unhideWhenUsed/>
    <w:rsid w:val="00BD0961"/>
    <w:pPr>
      <w:spacing w:line="240" w:lineRule="auto"/>
    </w:pPr>
    <w:rPr>
      <w:sz w:val="20"/>
      <w:szCs w:val="20"/>
    </w:rPr>
  </w:style>
  <w:style w:type="character" w:customStyle="1" w:styleId="CommentaireCar">
    <w:name w:val="Commentaire Car"/>
    <w:basedOn w:val="Policepardfaut"/>
    <w:link w:val="Commentaire"/>
    <w:uiPriority w:val="99"/>
    <w:semiHidden/>
    <w:rsid w:val="00BD0961"/>
    <w:rPr>
      <w:sz w:val="20"/>
      <w:szCs w:val="20"/>
    </w:rPr>
  </w:style>
  <w:style w:type="paragraph" w:styleId="Objetducommentaire">
    <w:name w:val="annotation subject"/>
    <w:basedOn w:val="Commentaire"/>
    <w:next w:val="Commentaire"/>
    <w:link w:val="ObjetducommentaireCar"/>
    <w:uiPriority w:val="99"/>
    <w:semiHidden/>
    <w:unhideWhenUsed/>
    <w:rsid w:val="00BD0961"/>
    <w:rPr>
      <w:b/>
      <w:bCs/>
      <w:kern w:val="0"/>
      <w14:ligatures w14:val="none"/>
    </w:rPr>
  </w:style>
  <w:style w:type="character" w:customStyle="1" w:styleId="ObjetducommentaireCar">
    <w:name w:val="Objet du commentaire Car"/>
    <w:basedOn w:val="CommentaireCar"/>
    <w:link w:val="Objetducommentaire"/>
    <w:uiPriority w:val="99"/>
    <w:semiHidden/>
    <w:rsid w:val="00BD0961"/>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4756</Words>
  <Characters>26164</Characters>
  <Application>Microsoft Office Word</Application>
  <DocSecurity>0</DocSecurity>
  <Lines>218</Lines>
  <Paragraphs>61</Paragraphs>
  <ScaleCrop>false</ScaleCrop>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LAW</dc:creator>
  <cp:keywords/>
  <dc:description/>
  <cp:lastModifiedBy>Shirley LAW</cp:lastModifiedBy>
  <cp:revision>2</cp:revision>
  <dcterms:created xsi:type="dcterms:W3CDTF">2025-11-11T13:48:00Z</dcterms:created>
  <dcterms:modified xsi:type="dcterms:W3CDTF">2025-11-11T13:48:00Z</dcterms:modified>
</cp:coreProperties>
</file>