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C3AB" w14:textId="77777777" w:rsidR="001F07E3" w:rsidRPr="008871B7" w:rsidRDefault="001F07E3" w:rsidP="00F52B26">
      <w:pPr>
        <w:ind w:left="-426"/>
        <w:jc w:val="both"/>
        <w:rPr>
          <w:rFonts w:ascii="Verdana" w:hAnsi="Verdana"/>
          <w:i/>
          <w:iCs/>
          <w:color w:val="595959" w:themeColor="text1" w:themeTint="A6"/>
          <w:sz w:val="2"/>
          <w:szCs w:val="2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7043"/>
        <w:gridCol w:w="1565"/>
      </w:tblGrid>
      <w:tr w:rsidR="00C502D9" w:rsidRPr="008871B7" w14:paraId="32DD6C5D" w14:textId="77777777" w:rsidTr="00EB7D1A">
        <w:trPr>
          <w:tblHeader/>
        </w:trPr>
        <w:tc>
          <w:tcPr>
            <w:tcW w:w="1321" w:type="dxa"/>
          </w:tcPr>
          <w:p w14:paraId="09CEDFE2" w14:textId="77777777" w:rsidR="00C502D9" w:rsidRPr="008871B7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608" w:type="dxa"/>
            <w:gridSpan w:val="2"/>
          </w:tcPr>
          <w:p w14:paraId="606F8F68" w14:textId="77777777" w:rsidR="00C502D9" w:rsidRPr="008871B7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8871B7" w14:paraId="22D00959" w14:textId="77777777" w:rsidTr="00CD485A">
        <w:tc>
          <w:tcPr>
            <w:tcW w:w="9929" w:type="dxa"/>
            <w:gridSpan w:val="3"/>
            <w:shd w:val="clear" w:color="auto" w:fill="E7E6E6" w:themeFill="background2"/>
          </w:tcPr>
          <w:p w14:paraId="335A1B24" w14:textId="2889A602" w:rsidR="004474FF" w:rsidRPr="008871B7" w:rsidRDefault="00FA1B9F" w:rsidP="007C75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</w:rPr>
              <w:t>JOUR 1</w:t>
            </w:r>
          </w:p>
        </w:tc>
      </w:tr>
      <w:tr w:rsidR="00C502D9" w:rsidRPr="008871B7" w14:paraId="7803BE0D" w14:textId="77777777" w:rsidTr="00F2298E">
        <w:tc>
          <w:tcPr>
            <w:tcW w:w="9929" w:type="dxa"/>
            <w:gridSpan w:val="3"/>
            <w:shd w:val="clear" w:color="auto" w:fill="002060"/>
          </w:tcPr>
          <w:p w14:paraId="220369EF" w14:textId="77777777" w:rsidR="00C502D9" w:rsidRPr="008871B7" w:rsidRDefault="00C502D9" w:rsidP="008871B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sz w:val="20"/>
                <w:szCs w:val="20"/>
              </w:rPr>
              <w:t>Ouverture du Comité des OPL</w:t>
            </w:r>
          </w:p>
        </w:tc>
      </w:tr>
      <w:tr w:rsidR="000818E0" w:rsidRPr="008871B7" w14:paraId="237C06EB" w14:textId="77777777" w:rsidTr="00EB7D1A">
        <w:tc>
          <w:tcPr>
            <w:tcW w:w="1321" w:type="dxa"/>
            <w:vAlign w:val="center"/>
          </w:tcPr>
          <w:p w14:paraId="429EFCD2" w14:textId="22555C97" w:rsidR="000818E0" w:rsidRPr="008871B7" w:rsidRDefault="006C51DC" w:rsidP="008871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9h</w:t>
            </w:r>
            <w:r w:rsidR="00D10D9E" w:rsidRPr="008871B7">
              <w:rPr>
                <w:rFonts w:ascii="Verdana" w:hAnsi="Verdana"/>
                <w:sz w:val="20"/>
                <w:szCs w:val="20"/>
              </w:rPr>
              <w:t>15</w:t>
            </w:r>
            <w:r w:rsidRPr="008871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B589E" w:rsidRPr="008871B7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EF1BA6" w:rsidRPr="008871B7">
              <w:rPr>
                <w:rFonts w:ascii="Verdana" w:hAnsi="Verdana"/>
                <w:sz w:val="20"/>
                <w:szCs w:val="20"/>
              </w:rPr>
              <w:t>10h</w:t>
            </w:r>
          </w:p>
        </w:tc>
        <w:tc>
          <w:tcPr>
            <w:tcW w:w="8608" w:type="dxa"/>
            <w:gridSpan w:val="2"/>
          </w:tcPr>
          <w:p w14:paraId="6855E71E" w14:textId="77777777" w:rsidR="000818E0" w:rsidRPr="008871B7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Allocution d’accueil du Secrétaire général de la COI</w:t>
            </w:r>
          </w:p>
          <w:p w14:paraId="42905A24" w14:textId="313BFD98" w:rsidR="000818E0" w:rsidRPr="008871B7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 xml:space="preserve">Allocution d’ouverture </w:t>
            </w:r>
            <w:r w:rsidR="006A3295" w:rsidRPr="008871B7">
              <w:rPr>
                <w:rFonts w:ascii="Verdana" w:hAnsi="Verdana"/>
                <w:sz w:val="20"/>
                <w:szCs w:val="20"/>
              </w:rPr>
              <w:t>d</w:t>
            </w:r>
            <w:r w:rsidR="00C34DCA" w:rsidRPr="008871B7">
              <w:rPr>
                <w:rFonts w:ascii="Verdana" w:hAnsi="Verdana"/>
                <w:sz w:val="20"/>
                <w:szCs w:val="20"/>
              </w:rPr>
              <w:t>e la</w:t>
            </w:r>
            <w:r w:rsidR="006A3295" w:rsidRPr="008871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871B7" w:rsidRPr="008871B7">
              <w:rPr>
                <w:rFonts w:ascii="Verdana" w:hAnsi="Verdana"/>
                <w:sz w:val="20"/>
                <w:szCs w:val="20"/>
              </w:rPr>
              <w:t>P</w:t>
            </w:r>
            <w:r w:rsidR="006A3295" w:rsidRPr="008871B7">
              <w:rPr>
                <w:rFonts w:ascii="Verdana" w:hAnsi="Verdana"/>
                <w:sz w:val="20"/>
                <w:szCs w:val="20"/>
              </w:rPr>
              <w:t>résident</w:t>
            </w:r>
            <w:r w:rsidR="00C34DCA" w:rsidRPr="008871B7">
              <w:rPr>
                <w:rFonts w:ascii="Verdana" w:hAnsi="Verdana"/>
                <w:sz w:val="20"/>
                <w:szCs w:val="20"/>
              </w:rPr>
              <w:t>e</w:t>
            </w:r>
            <w:r w:rsidRPr="008871B7">
              <w:rPr>
                <w:rFonts w:ascii="Verdana" w:hAnsi="Verdana"/>
                <w:sz w:val="20"/>
                <w:szCs w:val="20"/>
              </w:rPr>
              <w:t xml:space="preserve"> du Comité des OPL</w:t>
            </w:r>
          </w:p>
          <w:p w14:paraId="36DEF4AA" w14:textId="77777777" w:rsidR="000818E0" w:rsidRPr="008871B7" w:rsidRDefault="000818E0" w:rsidP="00C502D9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 xml:space="preserve">Interventions des OPL : </w:t>
            </w:r>
          </w:p>
          <w:p w14:paraId="225CF294" w14:textId="51D66549" w:rsidR="000818E0" w:rsidRPr="008871B7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 xml:space="preserve">Union des Comores </w:t>
            </w:r>
          </w:p>
          <w:p w14:paraId="62D2E2EB" w14:textId="77777777" w:rsidR="000818E0" w:rsidRPr="008871B7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France / Réunion</w:t>
            </w:r>
          </w:p>
          <w:p w14:paraId="143958BD" w14:textId="77777777" w:rsidR="00FE0163" w:rsidRPr="008871B7" w:rsidRDefault="000818E0" w:rsidP="006F57A8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Madagascar</w:t>
            </w:r>
          </w:p>
          <w:p w14:paraId="058F9C02" w14:textId="5F9FE5A2" w:rsidR="000818E0" w:rsidRPr="008871B7" w:rsidRDefault="000818E0" w:rsidP="006F57A8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Maurice</w:t>
            </w:r>
          </w:p>
          <w:p w14:paraId="70D77502" w14:textId="77777777" w:rsidR="000818E0" w:rsidRPr="008871B7" w:rsidRDefault="000818E0" w:rsidP="00C502D9">
            <w:pPr>
              <w:pStyle w:val="Paragraphedeliste"/>
              <w:numPr>
                <w:ilvl w:val="1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Seychelles</w:t>
            </w:r>
          </w:p>
          <w:p w14:paraId="176A72DA" w14:textId="1ABC9660" w:rsidR="00244BB6" w:rsidRPr="008871B7" w:rsidRDefault="005A7BB1" w:rsidP="005A7BB1">
            <w:pPr>
              <w:pStyle w:val="Paragraphedeliste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Lecture et adoption de l’ordre du jour du Comité des OPL n°0</w:t>
            </w:r>
            <w:r w:rsidR="00C34DCA" w:rsidRPr="008871B7">
              <w:rPr>
                <w:rFonts w:ascii="Verdana" w:hAnsi="Verdana"/>
                <w:sz w:val="20"/>
                <w:szCs w:val="20"/>
              </w:rPr>
              <w:t>2</w:t>
            </w:r>
            <w:r w:rsidRPr="008871B7">
              <w:rPr>
                <w:rFonts w:ascii="Verdana" w:hAnsi="Verdana"/>
                <w:sz w:val="20"/>
                <w:szCs w:val="20"/>
              </w:rPr>
              <w:t>-25</w:t>
            </w:r>
          </w:p>
          <w:p w14:paraId="7160A3E2" w14:textId="3EDAF435" w:rsidR="00EE6F05" w:rsidRPr="008871B7" w:rsidRDefault="00EE6F05" w:rsidP="00EE6F05">
            <w:pPr>
              <w:pStyle w:val="Paragraphedeliste"/>
              <w:ind w:left="1440"/>
              <w:rPr>
                <w:rFonts w:ascii="Verdana" w:hAnsi="Verdana"/>
                <w:sz w:val="20"/>
                <w:szCs w:val="20"/>
              </w:rPr>
            </w:pPr>
          </w:p>
        </w:tc>
      </w:tr>
      <w:tr w:rsidR="00012F75" w:rsidRPr="008871B7" w14:paraId="2ACDA150" w14:textId="77777777" w:rsidTr="00EB7D1A">
        <w:tc>
          <w:tcPr>
            <w:tcW w:w="1321" w:type="dxa"/>
            <w:shd w:val="clear" w:color="auto" w:fill="FFF2CC" w:themeFill="accent4" w:themeFillTint="33"/>
            <w:vAlign w:val="center"/>
          </w:tcPr>
          <w:p w14:paraId="1906466A" w14:textId="28535F4F" w:rsidR="00012F75" w:rsidRPr="008871B7" w:rsidRDefault="00EF1BA6" w:rsidP="008871B7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sz w:val="20"/>
                <w:szCs w:val="20"/>
              </w:rPr>
              <w:t>10h – 10h20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3BB12D1" w14:textId="3123313A" w:rsidR="00012F75" w:rsidRPr="008871B7" w:rsidRDefault="00EF1BA6" w:rsidP="008871B7">
            <w:pPr>
              <w:tabs>
                <w:tab w:val="left" w:pos="622"/>
              </w:tabs>
              <w:ind w:left="-21" w:right="1462"/>
              <w:jc w:val="center"/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Pause</w:t>
            </w:r>
            <w:r w:rsidR="00012F75" w:rsidRPr="008871B7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-café</w:t>
            </w:r>
          </w:p>
        </w:tc>
      </w:tr>
      <w:tr w:rsidR="00260C2E" w:rsidRPr="008871B7" w14:paraId="0A45175A" w14:textId="77777777" w:rsidTr="009D606B">
        <w:tc>
          <w:tcPr>
            <w:tcW w:w="1321" w:type="dxa"/>
            <w:vAlign w:val="center"/>
          </w:tcPr>
          <w:p w14:paraId="43F7BA3E" w14:textId="42DDAC08" w:rsidR="00260C2E" w:rsidRPr="008871B7" w:rsidRDefault="00260C2E" w:rsidP="008871B7">
            <w:pPr>
              <w:jc w:val="center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10h20-12h30</w:t>
            </w:r>
          </w:p>
        </w:tc>
        <w:tc>
          <w:tcPr>
            <w:tcW w:w="8608" w:type="dxa"/>
            <w:gridSpan w:val="2"/>
            <w:shd w:val="clear" w:color="auto" w:fill="C45911" w:themeFill="accent2" w:themeFillShade="BF"/>
          </w:tcPr>
          <w:p w14:paraId="6003BBB6" w14:textId="32973087" w:rsidR="00260C2E" w:rsidRPr="008871B7" w:rsidRDefault="00260C2E" w:rsidP="00A4485F">
            <w:pPr>
              <w:tabs>
                <w:tab w:val="left" w:pos="622"/>
              </w:tabs>
              <w:ind w:left="-21"/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2F2F2" w:themeColor="background1" w:themeShade="F2"/>
                <w:sz w:val="20"/>
                <w:szCs w:val="20"/>
              </w:rPr>
              <w:t>Point 1 | Affaires institutionnelles</w:t>
            </w:r>
          </w:p>
        </w:tc>
      </w:tr>
      <w:tr w:rsidR="00D70A41" w:rsidRPr="008871B7" w14:paraId="4066FD0A" w14:textId="77777777" w:rsidTr="006950F6">
        <w:tc>
          <w:tcPr>
            <w:tcW w:w="1321" w:type="dxa"/>
            <w:vAlign w:val="center"/>
          </w:tcPr>
          <w:p w14:paraId="00613E18" w14:textId="77777777" w:rsidR="00D70A41" w:rsidRPr="008871B7" w:rsidRDefault="00D70A41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D97DA10" w14:textId="0F28136F" w:rsidR="00D70A41" w:rsidRPr="008871B7" w:rsidRDefault="00D70A41" w:rsidP="001924F1">
            <w:pPr>
              <w:pStyle w:val="Paragraphedeliste"/>
              <w:numPr>
                <w:ilvl w:val="1"/>
                <w:numId w:val="19"/>
              </w:numPr>
              <w:tabs>
                <w:tab w:val="left" w:pos="0"/>
              </w:tabs>
              <w:ind w:left="556" w:hanging="556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Tableau de suivi des décisions des instances</w:t>
            </w:r>
          </w:p>
        </w:tc>
        <w:tc>
          <w:tcPr>
            <w:tcW w:w="1565" w:type="dxa"/>
            <w:vAlign w:val="center"/>
          </w:tcPr>
          <w:p w14:paraId="35956C42" w14:textId="7E096214" w:rsidR="00D70A41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36332A" w:rsidRPr="008871B7" w14:paraId="0E51B392" w14:textId="77777777" w:rsidTr="006950F6">
        <w:tc>
          <w:tcPr>
            <w:tcW w:w="1321" w:type="dxa"/>
            <w:vAlign w:val="center"/>
          </w:tcPr>
          <w:p w14:paraId="70D63447" w14:textId="34522BBD" w:rsidR="006950F6" w:rsidRPr="008871B7" w:rsidRDefault="006950F6" w:rsidP="001D50D8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4A0696C" w14:textId="527C93BD" w:rsidR="006950F6" w:rsidRPr="008871B7" w:rsidRDefault="00D70A41" w:rsidP="001924F1">
            <w:pPr>
              <w:pStyle w:val="Paragraphedeliste"/>
              <w:numPr>
                <w:ilvl w:val="1"/>
                <w:numId w:val="19"/>
              </w:numPr>
              <w:tabs>
                <w:tab w:val="left" w:pos="0"/>
              </w:tabs>
              <w:ind w:left="556" w:hanging="556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Plan d’actions prioritaires du PDS 2023-33</w:t>
            </w:r>
          </w:p>
        </w:tc>
        <w:tc>
          <w:tcPr>
            <w:tcW w:w="1565" w:type="dxa"/>
            <w:vAlign w:val="center"/>
          </w:tcPr>
          <w:p w14:paraId="78F94825" w14:textId="54D887E4" w:rsidR="006950F6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D70A41" w:rsidRPr="008871B7" w14:paraId="370EBA84" w14:textId="77777777" w:rsidTr="006950F6">
        <w:tc>
          <w:tcPr>
            <w:tcW w:w="1321" w:type="dxa"/>
          </w:tcPr>
          <w:p w14:paraId="7645C7D8" w14:textId="77777777" w:rsidR="00D70A41" w:rsidRPr="008871B7" w:rsidRDefault="00D70A41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E109AD5" w14:textId="36818D09" w:rsidR="00D70A41" w:rsidRPr="008871B7" w:rsidRDefault="00D70A41" w:rsidP="00D70A41">
            <w:pPr>
              <w:pStyle w:val="Paragraphedeliste"/>
              <w:numPr>
                <w:ilvl w:val="1"/>
                <w:numId w:val="19"/>
              </w:numPr>
              <w:tabs>
                <w:tab w:val="left" w:pos="552"/>
              </w:tabs>
              <w:ind w:left="552" w:hanging="55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Mobilisation des ressources | Réponse aux appels à propositions</w:t>
            </w:r>
          </w:p>
        </w:tc>
        <w:tc>
          <w:tcPr>
            <w:tcW w:w="1565" w:type="dxa"/>
          </w:tcPr>
          <w:p w14:paraId="0E10D6D7" w14:textId="5AFDB8ED" w:rsidR="00D70A41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36332A" w:rsidRPr="008871B7" w14:paraId="6F6CE42E" w14:textId="77777777" w:rsidTr="006950F6">
        <w:tc>
          <w:tcPr>
            <w:tcW w:w="1321" w:type="dxa"/>
          </w:tcPr>
          <w:p w14:paraId="6F62B2E4" w14:textId="77777777" w:rsidR="006950F6" w:rsidRPr="008871B7" w:rsidRDefault="006950F6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3875C047" w14:textId="103C972D" w:rsidR="006950F6" w:rsidRPr="008871B7" w:rsidRDefault="00D70A41" w:rsidP="00D70A41">
            <w:pPr>
              <w:pStyle w:val="Paragraphedeliste"/>
              <w:numPr>
                <w:ilvl w:val="1"/>
                <w:numId w:val="19"/>
              </w:numPr>
              <w:tabs>
                <w:tab w:val="left" w:pos="552"/>
              </w:tabs>
              <w:ind w:left="552" w:hanging="55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COI Horizon 2030 – modernisation institutionnelle et accréditations aux 9 piliers de l’Union européenne</w:t>
            </w:r>
          </w:p>
        </w:tc>
        <w:tc>
          <w:tcPr>
            <w:tcW w:w="1565" w:type="dxa"/>
          </w:tcPr>
          <w:p w14:paraId="185E298E" w14:textId="5108E6AF" w:rsidR="006950F6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D70A41" w:rsidRPr="008871B7" w14:paraId="576FA631" w14:textId="77777777" w:rsidTr="006950F6">
        <w:tc>
          <w:tcPr>
            <w:tcW w:w="1321" w:type="dxa"/>
          </w:tcPr>
          <w:p w14:paraId="268A55C8" w14:textId="77777777" w:rsidR="00D70A41" w:rsidRPr="008871B7" w:rsidRDefault="00D70A41" w:rsidP="00CA7692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409A76F" w14:textId="0382EE9E" w:rsidR="00D70A41" w:rsidRPr="008871B7" w:rsidRDefault="00D70A41" w:rsidP="001924F1">
            <w:pPr>
              <w:pStyle w:val="Paragraphedeliste"/>
              <w:numPr>
                <w:ilvl w:val="1"/>
                <w:numId w:val="19"/>
              </w:numPr>
              <w:tabs>
                <w:tab w:val="left" w:pos="556"/>
                <w:tab w:val="left" w:pos="622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Partenariats</w:t>
            </w:r>
          </w:p>
        </w:tc>
        <w:tc>
          <w:tcPr>
            <w:tcW w:w="1565" w:type="dxa"/>
          </w:tcPr>
          <w:p w14:paraId="29E3DC7F" w14:textId="77777777" w:rsidR="00D70A41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  <w:p w14:paraId="216915A2" w14:textId="303D8F1E" w:rsidR="00AA1790" w:rsidRPr="008871B7" w:rsidRDefault="00AA1790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70A41" w:rsidRPr="008871B7" w14:paraId="3C3FCA70" w14:textId="77777777" w:rsidTr="00D70A41">
        <w:tc>
          <w:tcPr>
            <w:tcW w:w="1321" w:type="dxa"/>
            <w:shd w:val="clear" w:color="auto" w:fill="FFF2CC" w:themeFill="accent4" w:themeFillTint="33"/>
          </w:tcPr>
          <w:p w14:paraId="31D723BF" w14:textId="6BCB89E4" w:rsidR="00D70A41" w:rsidRPr="008871B7" w:rsidRDefault="00D70A41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12h30 – 13h30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231D186" w14:textId="4A12C93A" w:rsidR="00D70A41" w:rsidRPr="008871B7" w:rsidRDefault="00D70A41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Déjeuner</w:t>
            </w:r>
          </w:p>
        </w:tc>
      </w:tr>
      <w:tr w:rsidR="000F7DAA" w:rsidRPr="008871B7" w14:paraId="2E7D3D5A" w14:textId="77777777" w:rsidTr="009D606B">
        <w:tc>
          <w:tcPr>
            <w:tcW w:w="1321" w:type="dxa"/>
            <w:vMerge w:val="restart"/>
            <w:vAlign w:val="center"/>
          </w:tcPr>
          <w:p w14:paraId="335DEE74" w14:textId="40E39333" w:rsidR="000F7DAA" w:rsidRPr="008871B7" w:rsidRDefault="000F7DAA" w:rsidP="008871B7">
            <w:pPr>
              <w:jc w:val="center"/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13h30 – 15h30</w:t>
            </w:r>
          </w:p>
        </w:tc>
        <w:tc>
          <w:tcPr>
            <w:tcW w:w="8608" w:type="dxa"/>
            <w:gridSpan w:val="2"/>
            <w:shd w:val="clear" w:color="auto" w:fill="C45911" w:themeFill="accent2" w:themeFillShade="BF"/>
          </w:tcPr>
          <w:p w14:paraId="35919E93" w14:textId="433A0277" w:rsidR="000F7DAA" w:rsidRPr="008871B7" w:rsidRDefault="000F7DAA" w:rsidP="00D10D9E">
            <w:pPr>
              <w:rPr>
                <w:rFonts w:ascii="Verdana" w:eastAsia="Times New Roman" w:hAnsi="Verdan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2F2F2" w:themeColor="background1" w:themeShade="F2"/>
                <w:sz w:val="20"/>
                <w:szCs w:val="20"/>
              </w:rPr>
              <w:t xml:space="preserve">Point 2 | Domaines d’intervention </w:t>
            </w:r>
          </w:p>
        </w:tc>
      </w:tr>
      <w:tr w:rsidR="000F7DAA" w:rsidRPr="008871B7" w14:paraId="52EBEF5F" w14:textId="77777777" w:rsidTr="00D005FA">
        <w:tc>
          <w:tcPr>
            <w:tcW w:w="1321" w:type="dxa"/>
            <w:vMerge/>
            <w:vAlign w:val="center"/>
          </w:tcPr>
          <w:p w14:paraId="69305698" w14:textId="401C39FE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  <w:gridSpan w:val="2"/>
          </w:tcPr>
          <w:p w14:paraId="16804BE3" w14:textId="6ACF173B" w:rsidR="000F7DAA" w:rsidRPr="008871B7" w:rsidRDefault="000F7DAA" w:rsidP="008A6EE5">
            <w:pPr>
              <w:spacing w:after="80"/>
              <w:contextualSpacing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DI-1 – Transition écologique et énergétique, tourisme et migrations</w:t>
            </w:r>
          </w:p>
        </w:tc>
      </w:tr>
      <w:tr w:rsidR="000F7DAA" w:rsidRPr="008871B7" w14:paraId="482BC96F" w14:textId="77777777" w:rsidTr="006950F6">
        <w:tc>
          <w:tcPr>
            <w:tcW w:w="1321" w:type="dxa"/>
            <w:vMerge/>
            <w:vAlign w:val="center"/>
          </w:tcPr>
          <w:p w14:paraId="460D80D4" w14:textId="0AB5737E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0F142321" w14:textId="2CFDA4CC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481"/>
                <w:tab w:val="left" w:pos="622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Projet </w:t>
            </w:r>
            <w:proofErr w:type="spellStart"/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ExPLOI</w:t>
            </w:r>
            <w:proofErr w:type="spellEnd"/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 – campagne océanographique</w:t>
            </w:r>
          </w:p>
        </w:tc>
        <w:tc>
          <w:tcPr>
            <w:tcW w:w="1565" w:type="dxa"/>
            <w:vAlign w:val="center"/>
          </w:tcPr>
          <w:p w14:paraId="617B0997" w14:textId="54662B1D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  <w:r w:rsidR="0017028D"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7DAA" w:rsidRPr="008871B7" w14:paraId="75C2E840" w14:textId="77777777" w:rsidTr="006950F6">
        <w:tc>
          <w:tcPr>
            <w:tcW w:w="1321" w:type="dxa"/>
            <w:vMerge/>
          </w:tcPr>
          <w:p w14:paraId="4A316197" w14:textId="36533015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379CD32" w14:textId="2AC593A3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481"/>
                <w:tab w:val="left" w:pos="622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RECOS – résilience côtière</w:t>
            </w:r>
          </w:p>
        </w:tc>
        <w:tc>
          <w:tcPr>
            <w:tcW w:w="1565" w:type="dxa"/>
          </w:tcPr>
          <w:p w14:paraId="52C1F438" w14:textId="13D36BAE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631CD4A0" w14:textId="77777777" w:rsidTr="006950F6">
        <w:tc>
          <w:tcPr>
            <w:tcW w:w="1321" w:type="dxa"/>
            <w:vMerge/>
            <w:vAlign w:val="center"/>
          </w:tcPr>
          <w:p w14:paraId="1D80895B" w14:textId="54372ED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67223695" w14:textId="390CF722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TWENex – bilan et clôture du projet</w:t>
            </w:r>
          </w:p>
        </w:tc>
        <w:tc>
          <w:tcPr>
            <w:tcW w:w="1565" w:type="dxa"/>
          </w:tcPr>
          <w:p w14:paraId="392BDF28" w14:textId="0D95FB7E" w:rsidR="000F7DAA" w:rsidRPr="008871B7" w:rsidRDefault="00CD2DCB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0F7DAA" w:rsidRPr="008871B7" w14:paraId="263BBB2F" w14:textId="77777777" w:rsidTr="00123D2D">
        <w:tc>
          <w:tcPr>
            <w:tcW w:w="1321" w:type="dxa"/>
            <w:vMerge/>
            <w:vAlign w:val="center"/>
          </w:tcPr>
          <w:p w14:paraId="0A0F19F0" w14:textId="1C99E331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8608" w:type="dxa"/>
            <w:gridSpan w:val="2"/>
          </w:tcPr>
          <w:p w14:paraId="7402B08B" w14:textId="45D94D47" w:rsidR="000F7DAA" w:rsidRPr="008871B7" w:rsidRDefault="000F7DAA" w:rsidP="008871B7">
            <w:pPr>
              <w:ind w:right="-98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DI-2 – economie, intérêts insulaires, connectivité et securité maritime</w:t>
            </w:r>
          </w:p>
        </w:tc>
      </w:tr>
      <w:tr w:rsidR="000F7DAA" w:rsidRPr="008871B7" w14:paraId="7A150E3D" w14:textId="77777777" w:rsidTr="006950F6">
        <w:tc>
          <w:tcPr>
            <w:tcW w:w="1321" w:type="dxa"/>
            <w:vMerge/>
            <w:vAlign w:val="center"/>
          </w:tcPr>
          <w:p w14:paraId="1981BF6F" w14:textId="7777777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199CA09" w14:textId="49262ABE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tabs>
                <w:tab w:val="left" w:pos="232"/>
                <w:tab w:val="left" w:pos="522"/>
              </w:tabs>
              <w:ind w:left="522" w:hanging="522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Sécurité maritime </w:t>
            </w:r>
            <w:r w:rsidR="0017028D" w:rsidRPr="008871B7">
              <w:rPr>
                <w:rFonts w:ascii="Verdana" w:eastAsia="Times New Roman" w:hAnsi="Verdana"/>
                <w:sz w:val="20"/>
                <w:szCs w:val="20"/>
              </w:rPr>
              <w:t>et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 Institut de formation maritime</w:t>
            </w:r>
          </w:p>
        </w:tc>
        <w:tc>
          <w:tcPr>
            <w:tcW w:w="1565" w:type="dxa"/>
            <w:vMerge w:val="restart"/>
            <w:vAlign w:val="center"/>
          </w:tcPr>
          <w:p w14:paraId="2A2C21AF" w14:textId="05307D24" w:rsidR="00AA1790" w:rsidRPr="0034487B" w:rsidRDefault="0034487B" w:rsidP="008871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487B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0F7DAA" w:rsidRPr="008871B7" w14:paraId="6A6BAD62" w14:textId="77777777" w:rsidTr="003E3E97">
        <w:tc>
          <w:tcPr>
            <w:tcW w:w="1321" w:type="dxa"/>
            <w:vMerge/>
            <w:vAlign w:val="center"/>
          </w:tcPr>
          <w:p w14:paraId="449F1637" w14:textId="77777777" w:rsidR="000F7DAA" w:rsidRPr="008871B7" w:rsidRDefault="000F7DA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43" w:type="dxa"/>
          </w:tcPr>
          <w:p w14:paraId="26241D77" w14:textId="40001521" w:rsidR="000F7DAA" w:rsidRPr="008871B7" w:rsidRDefault="000F7DAA" w:rsidP="00A726D3">
            <w:pPr>
              <w:pStyle w:val="Paragraphedeliste"/>
              <w:numPr>
                <w:ilvl w:val="1"/>
                <w:numId w:val="21"/>
              </w:numPr>
              <w:ind w:left="556" w:hanging="556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Coopération économique </w:t>
            </w:r>
          </w:p>
        </w:tc>
        <w:tc>
          <w:tcPr>
            <w:tcW w:w="1565" w:type="dxa"/>
            <w:vMerge/>
            <w:vAlign w:val="center"/>
          </w:tcPr>
          <w:p w14:paraId="3E01E99B" w14:textId="3041BCB8" w:rsidR="000F7DAA" w:rsidRPr="008871B7" w:rsidRDefault="000F7DAA" w:rsidP="003E3E97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286307" w:rsidRPr="008871B7" w14:paraId="4848CF62" w14:textId="77777777" w:rsidTr="007E2794">
        <w:tc>
          <w:tcPr>
            <w:tcW w:w="1321" w:type="dxa"/>
            <w:shd w:val="clear" w:color="auto" w:fill="FFF2CC" w:themeFill="accent4" w:themeFillTint="33"/>
            <w:vAlign w:val="center"/>
          </w:tcPr>
          <w:p w14:paraId="3391007F" w14:textId="53F0D4F8" w:rsidR="00286307" w:rsidRPr="008871B7" w:rsidRDefault="00591A01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15h</w:t>
            </w:r>
            <w:r w:rsidR="00AF30DC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 xml:space="preserve"> – 15h</w:t>
            </w:r>
            <w:r w:rsidR="00AF30DC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7D127614" w14:textId="09D703AA" w:rsidR="00286307" w:rsidRPr="008871B7" w:rsidRDefault="00286307" w:rsidP="008871B7">
            <w:pPr>
              <w:ind w:right="1462"/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0F7DAA" w:rsidRPr="008871B7" w14:paraId="58133AA7" w14:textId="77777777" w:rsidTr="000F7DAA">
        <w:tc>
          <w:tcPr>
            <w:tcW w:w="1321" w:type="dxa"/>
            <w:vAlign w:val="center"/>
          </w:tcPr>
          <w:p w14:paraId="76D16EF5" w14:textId="77777777" w:rsidR="000F7DAA" w:rsidRPr="008871B7" w:rsidRDefault="000F7DAA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30B31870" w14:textId="2544BBE3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i/>
                <w:iCs/>
                <w:sz w:val="18"/>
                <w:szCs w:val="18"/>
              </w:rPr>
              <w:t>Suite DI-2</w:t>
            </w:r>
          </w:p>
        </w:tc>
        <w:tc>
          <w:tcPr>
            <w:tcW w:w="1565" w:type="dxa"/>
            <w:vMerge w:val="restart"/>
          </w:tcPr>
          <w:p w14:paraId="65246242" w14:textId="77777777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B9AAE07" w14:textId="4E6DCB7D" w:rsidR="000F7DAA" w:rsidRPr="008871B7" w:rsidRDefault="000F7DAA" w:rsidP="008871B7">
            <w:pPr>
              <w:spacing w:after="80"/>
              <w:contextualSpacing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0F7DAA" w:rsidRPr="008871B7" w14:paraId="60D11B29" w14:textId="77777777" w:rsidTr="000F7DAA">
        <w:tc>
          <w:tcPr>
            <w:tcW w:w="1321" w:type="dxa"/>
            <w:vAlign w:val="center"/>
          </w:tcPr>
          <w:p w14:paraId="50AD43D2" w14:textId="77777777" w:rsidR="000F7DAA" w:rsidRPr="008871B7" w:rsidRDefault="000F7DAA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220FAFB9" w14:textId="3E3B9F61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Economie bleue et circulaire</w:t>
            </w:r>
          </w:p>
        </w:tc>
        <w:tc>
          <w:tcPr>
            <w:tcW w:w="1565" w:type="dxa"/>
            <w:vMerge/>
          </w:tcPr>
          <w:p w14:paraId="4ED51D47" w14:textId="77777777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F7DAA" w:rsidRPr="008871B7" w14:paraId="19FCFEBA" w14:textId="77777777" w:rsidTr="000F7DAA">
        <w:tc>
          <w:tcPr>
            <w:tcW w:w="1321" w:type="dxa"/>
            <w:vAlign w:val="center"/>
          </w:tcPr>
          <w:p w14:paraId="53C73CB0" w14:textId="77777777" w:rsidR="000F7DAA" w:rsidRPr="008871B7" w:rsidRDefault="000F7DAA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1D701A9C" w14:textId="28670E20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Axe transversal Jeunesse </w:t>
            </w:r>
          </w:p>
        </w:tc>
        <w:tc>
          <w:tcPr>
            <w:tcW w:w="1565" w:type="dxa"/>
            <w:vMerge/>
          </w:tcPr>
          <w:p w14:paraId="70B99102" w14:textId="77777777" w:rsidR="000F7DAA" w:rsidRPr="008871B7" w:rsidRDefault="000F7DAA" w:rsidP="00CD6702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D57941" w:rsidRPr="008871B7" w14:paraId="74A0DBDE" w14:textId="77777777" w:rsidTr="00952BCF">
        <w:tc>
          <w:tcPr>
            <w:tcW w:w="1321" w:type="dxa"/>
            <w:vAlign w:val="center"/>
          </w:tcPr>
          <w:p w14:paraId="332384D8" w14:textId="45024A53" w:rsidR="00D57941" w:rsidRPr="008871B7" w:rsidRDefault="00D57941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15h</w:t>
            </w:r>
            <w:r w:rsidR="00AF30DC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45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 xml:space="preserve"> – 1</w:t>
            </w:r>
            <w:r w:rsidR="00457F5E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7h</w:t>
            </w:r>
          </w:p>
        </w:tc>
        <w:tc>
          <w:tcPr>
            <w:tcW w:w="8608" w:type="dxa"/>
            <w:gridSpan w:val="2"/>
          </w:tcPr>
          <w:p w14:paraId="43DF9D43" w14:textId="683FB738" w:rsidR="00D57941" w:rsidRPr="008871B7" w:rsidRDefault="00D57941" w:rsidP="008871B7">
            <w:pPr>
              <w:spacing w:after="80"/>
              <w:contextualSpacing/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DI-3 – Gouvernance et diplomatie parlementaire, agriculture durable et Pêches</w:t>
            </w:r>
          </w:p>
        </w:tc>
      </w:tr>
      <w:tr w:rsidR="0036332A" w:rsidRPr="008871B7" w14:paraId="3EEC0F8F" w14:textId="77777777" w:rsidTr="006950F6">
        <w:tc>
          <w:tcPr>
            <w:tcW w:w="1321" w:type="dxa"/>
            <w:vAlign w:val="center"/>
          </w:tcPr>
          <w:p w14:paraId="0E6AE956" w14:textId="77777777" w:rsidR="00D57941" w:rsidRPr="008871B7" w:rsidRDefault="00D57941" w:rsidP="00032B3E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36864B01" w14:textId="5CF83AAC" w:rsidR="00D57941" w:rsidRPr="008871B7" w:rsidRDefault="00D57941" w:rsidP="00C33545">
            <w:pPr>
              <w:pStyle w:val="Paragraphedeliste"/>
              <w:numPr>
                <w:ilvl w:val="1"/>
                <w:numId w:val="21"/>
              </w:num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Projet GPS </w:t>
            </w:r>
            <w:r w:rsidR="00BD19C3"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– état d’avancement, extension et pérennisation de l’Unité de gouvernance</w:t>
            </w:r>
          </w:p>
        </w:tc>
        <w:tc>
          <w:tcPr>
            <w:tcW w:w="1565" w:type="dxa"/>
            <w:vAlign w:val="center"/>
          </w:tcPr>
          <w:p w14:paraId="45B4AA0A" w14:textId="7C2E094F" w:rsidR="00D57941" w:rsidRPr="008871B7" w:rsidRDefault="00D57941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95D00" w:rsidRPr="008871B7" w14:paraId="05C50D31" w14:textId="77777777" w:rsidTr="007E2794">
        <w:tc>
          <w:tcPr>
            <w:tcW w:w="9929" w:type="dxa"/>
            <w:gridSpan w:val="3"/>
            <w:shd w:val="clear" w:color="auto" w:fill="FFF2CC" w:themeFill="accent4" w:themeFillTint="33"/>
            <w:vAlign w:val="center"/>
          </w:tcPr>
          <w:p w14:paraId="27EBC761" w14:textId="77777777" w:rsidR="00D151E5" w:rsidRPr="008871B7" w:rsidRDefault="00D151E5" w:rsidP="00032B3E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</w:p>
          <w:p w14:paraId="67EFE4BD" w14:textId="0402B1CD" w:rsidR="00195D00" w:rsidRPr="008871B7" w:rsidRDefault="00195D00" w:rsidP="008871B7">
            <w:pPr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>FIN DE LA 1ere JOURNEE</w:t>
            </w:r>
          </w:p>
          <w:p w14:paraId="4378A0FE" w14:textId="17580CB2" w:rsidR="00D151E5" w:rsidRPr="008871B7" w:rsidRDefault="00D151E5" w:rsidP="00032B3E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C60B82" w14:textId="77777777" w:rsidR="00D151E5" w:rsidRPr="008871B7" w:rsidRDefault="00D151E5">
      <w:r w:rsidRPr="008871B7">
        <w:br w:type="page"/>
      </w:r>
    </w:p>
    <w:p w14:paraId="3454AC94" w14:textId="77777777" w:rsidR="00733305" w:rsidRPr="008871B7" w:rsidRDefault="00733305"/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043"/>
        <w:gridCol w:w="1565"/>
      </w:tblGrid>
      <w:tr w:rsidR="00195D00" w:rsidRPr="008871B7" w14:paraId="733739DB" w14:textId="77777777" w:rsidTr="000F7DAA">
        <w:trPr>
          <w:trHeight w:val="265"/>
        </w:trPr>
        <w:tc>
          <w:tcPr>
            <w:tcW w:w="9929" w:type="dxa"/>
            <w:gridSpan w:val="3"/>
            <w:shd w:val="clear" w:color="auto" w:fill="E7E6E6" w:themeFill="background2"/>
            <w:vAlign w:val="center"/>
          </w:tcPr>
          <w:p w14:paraId="10CBBDA6" w14:textId="04B9F967" w:rsidR="00195D00" w:rsidRPr="008871B7" w:rsidRDefault="00FA1B9F" w:rsidP="007C75C5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</w:rPr>
              <w:t>JOUR 2</w:t>
            </w:r>
          </w:p>
        </w:tc>
      </w:tr>
      <w:tr w:rsidR="000F7DAA" w:rsidRPr="008871B7" w14:paraId="07CF28A0" w14:textId="77777777" w:rsidTr="000F7DA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090232B2" w14:textId="6BAA53A6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color w:val="000000" w:themeColor="text1"/>
              </w:rPr>
              <w:t>9h</w:t>
            </w:r>
            <w:r w:rsidR="00733305" w:rsidRPr="008871B7">
              <w:rPr>
                <w:rFonts w:ascii="Verdana" w:hAnsi="Verdana"/>
                <w:color w:val="000000" w:themeColor="text1"/>
              </w:rPr>
              <w:t>15</w:t>
            </w:r>
            <w:r w:rsidRPr="008871B7">
              <w:rPr>
                <w:rFonts w:ascii="Verdana" w:hAnsi="Verdana"/>
                <w:color w:val="000000" w:themeColor="text1"/>
              </w:rPr>
              <w:t xml:space="preserve"> – 10h</w:t>
            </w:r>
            <w:r w:rsidR="00733305" w:rsidRPr="008871B7">
              <w:rPr>
                <w:rFonts w:ascii="Verdana" w:hAnsi="Verdana"/>
                <w:color w:val="000000" w:themeColor="text1"/>
              </w:rPr>
              <w:t>30</w:t>
            </w:r>
          </w:p>
        </w:tc>
        <w:tc>
          <w:tcPr>
            <w:tcW w:w="7043" w:type="dxa"/>
          </w:tcPr>
          <w:p w14:paraId="243CA21F" w14:textId="77777777" w:rsidR="000F7DAA" w:rsidRPr="008871B7" w:rsidRDefault="000F7DAA" w:rsidP="001418CB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Reprise des travaux</w:t>
            </w:r>
          </w:p>
          <w:p w14:paraId="345F8246" w14:textId="5D30C8C8" w:rsidR="000F7DAA" w:rsidRPr="008871B7" w:rsidRDefault="000F7DAA" w:rsidP="001418CB">
            <w:pPr>
              <w:spacing w:after="80"/>
              <w:contextualSpacing/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  <w:t>S</w:t>
            </w:r>
            <w:r w:rsidRPr="008871B7">
              <w:rPr>
                <w:rFonts w:ascii="Verdana" w:hAnsi="Verdana"/>
                <w:b/>
                <w:i/>
                <w:iCs/>
                <w:sz w:val="18"/>
                <w:szCs w:val="18"/>
              </w:rPr>
              <w:t>uite</w:t>
            </w:r>
            <w:r w:rsidRPr="008871B7">
              <w:rPr>
                <w:rFonts w:ascii="Verdana" w:hAnsi="Verdana"/>
                <w:b/>
                <w:i/>
                <w:iCs/>
                <w:caps/>
                <w:sz w:val="18"/>
                <w:szCs w:val="18"/>
              </w:rPr>
              <w:t xml:space="preserve"> DI-3</w:t>
            </w:r>
          </w:p>
        </w:tc>
        <w:tc>
          <w:tcPr>
            <w:tcW w:w="1565" w:type="dxa"/>
          </w:tcPr>
          <w:p w14:paraId="4F158654" w14:textId="77777777" w:rsidR="000F7DAA" w:rsidRPr="008871B7" w:rsidRDefault="000F7DAA" w:rsidP="001418CB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F7DAA" w:rsidRPr="008871B7" w14:paraId="7D64955E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132589D1" w14:textId="7777777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2224C89B" w14:textId="27BF2A28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ECOFISH et Plan régional de surveillance des pêches – fin du programme, suivi de la conférence ministérielle, institutionnalisation et programme SWIO</w:t>
            </w:r>
          </w:p>
        </w:tc>
        <w:tc>
          <w:tcPr>
            <w:tcW w:w="1565" w:type="dxa"/>
            <w:vMerge w:val="restart"/>
          </w:tcPr>
          <w:p w14:paraId="61922BE1" w14:textId="77777777" w:rsidR="000F7DAA" w:rsidRPr="008871B7" w:rsidRDefault="000F7DAA" w:rsidP="000F7DAA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012A3784" w14:textId="77777777" w:rsidR="000F7DAA" w:rsidRPr="008871B7" w:rsidRDefault="000F7DAA" w:rsidP="000F7DAA">
            <w:pPr>
              <w:spacing w:after="80"/>
              <w:contextualSpacing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7830A631" w14:textId="3FAA3E70" w:rsidR="000F7DAA" w:rsidRPr="008871B7" w:rsidRDefault="000F7DAA" w:rsidP="008871B7">
            <w:pPr>
              <w:spacing w:after="80"/>
              <w:contextualSpacing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6E9C48EC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4979428C" w14:textId="7777777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71D4EE0A" w14:textId="1B5E5AB6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spacing w:after="80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Sécurité alimentaire – suivi des recommandations de la conférence ministérielle et du Sommet, état d’avancement</w:t>
            </w:r>
          </w:p>
        </w:tc>
        <w:tc>
          <w:tcPr>
            <w:tcW w:w="1565" w:type="dxa"/>
            <w:vMerge/>
          </w:tcPr>
          <w:p w14:paraId="4BFAC675" w14:textId="361229A8" w:rsidR="000F7DAA" w:rsidRPr="008871B7" w:rsidRDefault="000F7DAA" w:rsidP="000F7DAA">
            <w:pPr>
              <w:spacing w:after="80"/>
              <w:contextualSpacing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0F7DAA" w:rsidRPr="008871B7" w14:paraId="38B3A15A" w14:textId="77777777" w:rsidTr="000F7DAA">
        <w:trPr>
          <w:trHeight w:val="265"/>
        </w:trPr>
        <w:tc>
          <w:tcPr>
            <w:tcW w:w="1321" w:type="dxa"/>
            <w:shd w:val="clear" w:color="auto" w:fill="FFF2CC" w:themeFill="accent4" w:themeFillTint="33"/>
          </w:tcPr>
          <w:p w14:paraId="1DED4B21" w14:textId="377C7E02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</w:rPr>
              <w:t>10h15 – 10h45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36805CF" w14:textId="0D37871F" w:rsidR="000F7DAA" w:rsidRPr="008871B7" w:rsidRDefault="000F7DAA" w:rsidP="008871B7">
            <w:pPr>
              <w:spacing w:after="80"/>
              <w:ind w:right="1462"/>
              <w:contextualSpacing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0F7DAA" w:rsidRPr="008871B7" w14:paraId="0EB8698A" w14:textId="77777777" w:rsidTr="000F7DA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17A3B946" w14:textId="6AF1711C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color w:val="000000" w:themeColor="text1"/>
              </w:rPr>
              <w:t>10h45 – 12h15</w:t>
            </w:r>
          </w:p>
        </w:tc>
        <w:tc>
          <w:tcPr>
            <w:tcW w:w="8608" w:type="dxa"/>
            <w:gridSpan w:val="2"/>
          </w:tcPr>
          <w:p w14:paraId="7AFB1DF0" w14:textId="18010143" w:rsidR="000F7DAA" w:rsidRPr="008871B7" w:rsidRDefault="000F7DAA" w:rsidP="000F7DAA">
            <w:pPr>
              <w:spacing w:after="80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DI-4 – Environnement durable et climat</w:t>
            </w:r>
          </w:p>
        </w:tc>
      </w:tr>
      <w:tr w:rsidR="000F7DAA" w:rsidRPr="008871B7" w14:paraId="7310E3A8" w14:textId="77777777" w:rsidTr="000F7DAA">
        <w:trPr>
          <w:trHeight w:val="265"/>
        </w:trPr>
        <w:tc>
          <w:tcPr>
            <w:tcW w:w="1321" w:type="dxa"/>
            <w:vMerge/>
          </w:tcPr>
          <w:p w14:paraId="6A696205" w14:textId="2F7B1D0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67E258BE" w14:textId="1544A23E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ind w:left="693" w:hanging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 xml:space="preserve">Financement climat </w:t>
            </w:r>
          </w:p>
        </w:tc>
        <w:tc>
          <w:tcPr>
            <w:tcW w:w="1565" w:type="dxa"/>
            <w:vMerge w:val="restart"/>
            <w:vAlign w:val="center"/>
          </w:tcPr>
          <w:p w14:paraId="717365AF" w14:textId="3172C9E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77235C27" w14:textId="77777777" w:rsidTr="000F7DAA">
        <w:trPr>
          <w:trHeight w:val="265"/>
        </w:trPr>
        <w:tc>
          <w:tcPr>
            <w:tcW w:w="1321" w:type="dxa"/>
            <w:vMerge/>
          </w:tcPr>
          <w:p w14:paraId="439E6CD5" w14:textId="759306B8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2FC2051E" w14:textId="73277942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ind w:left="693" w:hanging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Environnement et changement climatique</w:t>
            </w:r>
          </w:p>
        </w:tc>
        <w:tc>
          <w:tcPr>
            <w:tcW w:w="1565" w:type="dxa"/>
            <w:vMerge/>
          </w:tcPr>
          <w:p w14:paraId="414B0C4A" w14:textId="0FC5351A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  <w:tr w:rsidR="000F7DAA" w:rsidRPr="008871B7" w14:paraId="5B9BE991" w14:textId="77777777" w:rsidTr="000F7DAA">
        <w:trPr>
          <w:trHeight w:val="265"/>
        </w:trPr>
        <w:tc>
          <w:tcPr>
            <w:tcW w:w="1321" w:type="dxa"/>
            <w:vMerge/>
          </w:tcPr>
          <w:p w14:paraId="3344C9F7" w14:textId="77777777" w:rsidR="000F7DAA" w:rsidRPr="008871B7" w:rsidRDefault="000F7DAA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7104E766" w14:textId="67791F62" w:rsidR="000F7DAA" w:rsidRPr="008871B7" w:rsidRDefault="000F7DAA" w:rsidP="000F7DAA">
            <w:pPr>
              <w:pStyle w:val="Paragraphedeliste"/>
              <w:numPr>
                <w:ilvl w:val="1"/>
                <w:numId w:val="21"/>
              </w:numPr>
              <w:ind w:left="693" w:hanging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Réduction des risques de catastrophes</w:t>
            </w:r>
          </w:p>
        </w:tc>
        <w:tc>
          <w:tcPr>
            <w:tcW w:w="1565" w:type="dxa"/>
            <w:vMerge/>
          </w:tcPr>
          <w:p w14:paraId="642E345E" w14:textId="77777777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  <w:tr w:rsidR="000F7DAA" w:rsidRPr="008871B7" w14:paraId="6D19C440" w14:textId="77777777" w:rsidTr="000F7DA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201E16D4" w14:textId="1133F083" w:rsidR="000F7DAA" w:rsidRPr="008871B7" w:rsidRDefault="000F7DA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</w:rPr>
              <w:t>12h15 – 13h30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3D5E7E22" w14:textId="14AA6263" w:rsidR="000F7DAA" w:rsidRPr="008871B7" w:rsidRDefault="000F7DAA" w:rsidP="000F7DAA">
            <w:pPr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Déjeuner</w:t>
            </w:r>
          </w:p>
        </w:tc>
      </w:tr>
      <w:tr w:rsidR="001B5F90" w:rsidRPr="008871B7" w14:paraId="47264214" w14:textId="77777777" w:rsidTr="000F7DAA">
        <w:trPr>
          <w:trHeight w:val="265"/>
        </w:trPr>
        <w:tc>
          <w:tcPr>
            <w:tcW w:w="1321" w:type="dxa"/>
            <w:vMerge w:val="restart"/>
          </w:tcPr>
          <w:p w14:paraId="2CEC39B1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  <w:p w14:paraId="7E2051F1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  <w:p w14:paraId="1A5ECA23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  <w:p w14:paraId="6FEFF349" w14:textId="1119692D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8871B7">
              <w:rPr>
                <w:rFonts w:ascii="Verdana" w:hAnsi="Verdana"/>
                <w:color w:val="000000" w:themeColor="text1"/>
              </w:rPr>
              <w:t>13h30 – 15h</w:t>
            </w:r>
          </w:p>
        </w:tc>
        <w:tc>
          <w:tcPr>
            <w:tcW w:w="8608" w:type="dxa"/>
            <w:gridSpan w:val="2"/>
          </w:tcPr>
          <w:p w14:paraId="5392F0A1" w14:textId="5EB7EBD6" w:rsidR="001B5F90" w:rsidRPr="008871B7" w:rsidRDefault="001B5F90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caps/>
                <w:sz w:val="18"/>
                <w:szCs w:val="18"/>
              </w:rPr>
              <w:t>DI-5 – Education et formation, Culture, santé, genre et entrepreneuriat</w:t>
            </w:r>
          </w:p>
        </w:tc>
      </w:tr>
      <w:tr w:rsidR="001B5F90" w:rsidRPr="008871B7" w14:paraId="078AB2ED" w14:textId="77777777" w:rsidTr="000F7DAA">
        <w:trPr>
          <w:trHeight w:val="265"/>
        </w:trPr>
        <w:tc>
          <w:tcPr>
            <w:tcW w:w="1321" w:type="dxa"/>
            <w:vMerge/>
          </w:tcPr>
          <w:p w14:paraId="1B2F5940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027FAE1E" w14:textId="1E312358" w:rsidR="001B5F90" w:rsidRPr="008871B7" w:rsidRDefault="001B5F90" w:rsidP="000F7DAA">
            <w:pPr>
              <w:pStyle w:val="Paragraphedeliste"/>
              <w:numPr>
                <w:ilvl w:val="1"/>
                <w:numId w:val="21"/>
              </w:numPr>
              <w:ind w:left="693" w:hanging="667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Santé</w:t>
            </w:r>
          </w:p>
        </w:tc>
        <w:tc>
          <w:tcPr>
            <w:tcW w:w="1565" w:type="dxa"/>
            <w:vMerge w:val="restart"/>
            <w:vAlign w:val="center"/>
          </w:tcPr>
          <w:p w14:paraId="77475B69" w14:textId="5E25A8D4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B5F90" w:rsidRPr="008871B7" w14:paraId="23D48E03" w14:textId="77777777" w:rsidTr="000F7DAA">
        <w:trPr>
          <w:trHeight w:val="265"/>
        </w:trPr>
        <w:tc>
          <w:tcPr>
            <w:tcW w:w="1321" w:type="dxa"/>
            <w:vMerge/>
          </w:tcPr>
          <w:p w14:paraId="6DDEC970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16E2CA4C" w14:textId="5AE4327D" w:rsidR="001B5F90" w:rsidRPr="008871B7" w:rsidRDefault="001B5F90" w:rsidP="000F7DAA">
            <w:pPr>
              <w:pStyle w:val="Paragraphedeliste"/>
              <w:numPr>
                <w:ilvl w:val="1"/>
                <w:numId w:val="21"/>
              </w:numPr>
              <w:ind w:left="693" w:hanging="667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Recherche et innovation</w:t>
            </w:r>
          </w:p>
        </w:tc>
        <w:tc>
          <w:tcPr>
            <w:tcW w:w="1565" w:type="dxa"/>
            <w:vMerge/>
          </w:tcPr>
          <w:p w14:paraId="15777BC9" w14:textId="77777777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  <w:tr w:rsidR="001B5F90" w:rsidRPr="008871B7" w14:paraId="5CB71F6E" w14:textId="77777777" w:rsidTr="000F7DAA">
        <w:trPr>
          <w:trHeight w:val="265"/>
        </w:trPr>
        <w:tc>
          <w:tcPr>
            <w:tcW w:w="1321" w:type="dxa"/>
            <w:vMerge/>
          </w:tcPr>
          <w:p w14:paraId="184576A0" w14:textId="77777777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3BE48F46" w14:textId="0772C88F" w:rsidR="001B5F90" w:rsidRPr="008871B7" w:rsidRDefault="001B5F90" w:rsidP="000F7DAA">
            <w:pPr>
              <w:pStyle w:val="Paragraphedeliste"/>
              <w:numPr>
                <w:ilvl w:val="1"/>
                <w:numId w:val="21"/>
              </w:numPr>
              <w:ind w:left="693" w:hanging="667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Formation professionnelle</w:t>
            </w:r>
          </w:p>
        </w:tc>
        <w:tc>
          <w:tcPr>
            <w:tcW w:w="1565" w:type="dxa"/>
          </w:tcPr>
          <w:p w14:paraId="4A593E48" w14:textId="1495ABE2" w:rsidR="001B5F90" w:rsidRPr="008871B7" w:rsidRDefault="001B5F90" w:rsidP="008871B7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Décision</w:t>
            </w:r>
          </w:p>
        </w:tc>
      </w:tr>
      <w:tr w:rsidR="001B5F90" w:rsidRPr="008871B7" w14:paraId="30BFBB21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1BF23AEF" w14:textId="64F59721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608" w:type="dxa"/>
            <w:gridSpan w:val="2"/>
            <w:shd w:val="clear" w:color="auto" w:fill="C45911" w:themeFill="accent2" w:themeFillShade="BF"/>
          </w:tcPr>
          <w:p w14:paraId="622B433F" w14:textId="69B6F381" w:rsidR="001B5F90" w:rsidRPr="008871B7" w:rsidRDefault="001B5F90" w:rsidP="000F7DAA">
            <w:pP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Point 3 | Administration et finances</w:t>
            </w:r>
          </w:p>
        </w:tc>
      </w:tr>
      <w:tr w:rsidR="001B5F90" w:rsidRPr="008871B7" w14:paraId="668250C0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2A2B7C25" w14:textId="77777777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</w:rPr>
            </w:pPr>
          </w:p>
        </w:tc>
        <w:tc>
          <w:tcPr>
            <w:tcW w:w="7043" w:type="dxa"/>
          </w:tcPr>
          <w:p w14:paraId="614664FE" w14:textId="0D9BA7D3" w:rsidR="001B5F90" w:rsidRPr="008871B7" w:rsidRDefault="001B5F90" w:rsidP="000F7DA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 xml:space="preserve">Administration des Ressources Humaines </w:t>
            </w:r>
          </w:p>
        </w:tc>
        <w:tc>
          <w:tcPr>
            <w:tcW w:w="1565" w:type="dxa"/>
            <w:vAlign w:val="center"/>
          </w:tcPr>
          <w:p w14:paraId="7F61D055" w14:textId="0809DFEA" w:rsidR="001B5F90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34487B" w:rsidRPr="008871B7" w14:paraId="2310C622" w14:textId="77777777" w:rsidTr="00735909">
        <w:trPr>
          <w:trHeight w:val="265"/>
        </w:trPr>
        <w:tc>
          <w:tcPr>
            <w:tcW w:w="1321" w:type="dxa"/>
            <w:shd w:val="clear" w:color="auto" w:fill="FFF2CC" w:themeFill="accent4" w:themeFillTint="33"/>
          </w:tcPr>
          <w:p w14:paraId="1E8FB4A1" w14:textId="78C1B699" w:rsidR="0034487B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</w:rPr>
              <w:t>15h – 15h15</w:t>
            </w:r>
          </w:p>
        </w:tc>
        <w:tc>
          <w:tcPr>
            <w:tcW w:w="8608" w:type="dxa"/>
            <w:gridSpan w:val="2"/>
            <w:shd w:val="clear" w:color="auto" w:fill="FFF2CC" w:themeFill="accent4" w:themeFillTint="33"/>
          </w:tcPr>
          <w:p w14:paraId="545A30D9" w14:textId="65828EB5" w:rsidR="0034487B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i/>
                <w:iCs/>
                <w:color w:val="000000" w:themeColor="text1"/>
                <w:sz w:val="20"/>
                <w:szCs w:val="20"/>
              </w:rPr>
              <w:t>Pause-café</w:t>
            </w:r>
          </w:p>
        </w:tc>
      </w:tr>
      <w:tr w:rsidR="001B5F90" w:rsidRPr="008871B7" w14:paraId="68FBADAC" w14:textId="77777777" w:rsidTr="000F7DAA">
        <w:trPr>
          <w:trHeight w:val="265"/>
        </w:trPr>
        <w:tc>
          <w:tcPr>
            <w:tcW w:w="1321" w:type="dxa"/>
            <w:vMerge w:val="restart"/>
            <w:vAlign w:val="center"/>
          </w:tcPr>
          <w:p w14:paraId="17AC2419" w14:textId="437B8873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</w:rPr>
            </w:pPr>
            <w:r w:rsidRPr="008871B7">
              <w:rPr>
                <w:rFonts w:ascii="Verdana" w:eastAsia="Times New Roman" w:hAnsi="Verdana"/>
                <w:color w:val="000000" w:themeColor="text1"/>
              </w:rPr>
              <w:t>15h15 – 17h</w:t>
            </w:r>
          </w:p>
        </w:tc>
        <w:tc>
          <w:tcPr>
            <w:tcW w:w="7043" w:type="dxa"/>
          </w:tcPr>
          <w:p w14:paraId="41F19339" w14:textId="41135CB3" w:rsidR="001B5F90" w:rsidRPr="008871B7" w:rsidRDefault="001B5F90" w:rsidP="000F7DA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Cadre de mise à disposition, postes d’assistant chargé de mission et directeur</w:t>
            </w:r>
          </w:p>
        </w:tc>
        <w:tc>
          <w:tcPr>
            <w:tcW w:w="1565" w:type="dxa"/>
          </w:tcPr>
          <w:p w14:paraId="6BA9B7C3" w14:textId="3B7A9D77" w:rsidR="001B5F90" w:rsidRPr="008871B7" w:rsidRDefault="0034487B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B5F90" w:rsidRPr="008871B7" w14:paraId="513E0F56" w14:textId="77777777" w:rsidTr="000F7DAA">
        <w:trPr>
          <w:trHeight w:val="265"/>
        </w:trPr>
        <w:tc>
          <w:tcPr>
            <w:tcW w:w="1321" w:type="dxa"/>
            <w:vMerge/>
            <w:vAlign w:val="center"/>
          </w:tcPr>
          <w:p w14:paraId="096EF56E" w14:textId="77777777" w:rsidR="001B5F90" w:rsidRPr="008871B7" w:rsidRDefault="001B5F90" w:rsidP="000F7DAA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043" w:type="dxa"/>
          </w:tcPr>
          <w:p w14:paraId="00CA2101" w14:textId="46066FA4" w:rsidR="001B5F90" w:rsidRPr="008871B7" w:rsidRDefault="001B5F90" w:rsidP="000F7DAA">
            <w:pPr>
              <w:pStyle w:val="Paragraphedeliste"/>
              <w:numPr>
                <w:ilvl w:val="1"/>
                <w:numId w:val="15"/>
              </w:numPr>
              <w:ind w:left="598" w:hanging="598"/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Révision du Statut du personnel et de ses directives d’application (incluant la directive de mise à disposition)</w:t>
            </w:r>
          </w:p>
        </w:tc>
        <w:tc>
          <w:tcPr>
            <w:tcW w:w="1565" w:type="dxa"/>
          </w:tcPr>
          <w:p w14:paraId="6560E500" w14:textId="1F10C449" w:rsidR="001B5F90" w:rsidRPr="008871B7" w:rsidRDefault="001B5F90" w:rsidP="008871B7">
            <w:pPr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0F7DAA" w:rsidRPr="008871B7" w14:paraId="2A954B61" w14:textId="77777777" w:rsidTr="000F7DAA">
        <w:trPr>
          <w:trHeight w:val="265"/>
        </w:trPr>
        <w:tc>
          <w:tcPr>
            <w:tcW w:w="9929" w:type="dxa"/>
            <w:gridSpan w:val="3"/>
            <w:shd w:val="clear" w:color="auto" w:fill="FFF2CC" w:themeFill="accent4" w:themeFillTint="33"/>
            <w:vAlign w:val="center"/>
          </w:tcPr>
          <w:p w14:paraId="16F41494" w14:textId="77777777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  <w:p w14:paraId="10FBCE3B" w14:textId="77777777" w:rsidR="000F7DAA" w:rsidRPr="008871B7" w:rsidRDefault="000F7DAA" w:rsidP="008871B7">
            <w:pPr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>FIN DE LA 2</w:t>
            </w: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 JOURNEE</w:t>
            </w:r>
          </w:p>
          <w:p w14:paraId="2A8E27B0" w14:textId="2CC62578" w:rsidR="000F7DAA" w:rsidRPr="008871B7" w:rsidRDefault="000F7DAA" w:rsidP="000F7DAA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11B72E6D" w14:textId="6A7778EB" w:rsidR="00460EE0" w:rsidRPr="008871B7" w:rsidRDefault="00460EE0">
      <w:pPr>
        <w:rPr>
          <w:sz w:val="8"/>
          <w:szCs w:val="8"/>
        </w:rPr>
      </w:pPr>
    </w:p>
    <w:p w14:paraId="18899589" w14:textId="77777777" w:rsidR="00733305" w:rsidRPr="008871B7" w:rsidRDefault="00733305">
      <w:pPr>
        <w:rPr>
          <w:sz w:val="8"/>
          <w:szCs w:val="8"/>
        </w:rPr>
      </w:pPr>
    </w:p>
    <w:p w14:paraId="65E37AB7" w14:textId="62E79B9D" w:rsidR="00733305" w:rsidRPr="008871B7" w:rsidRDefault="00733305">
      <w:pPr>
        <w:rPr>
          <w:sz w:val="8"/>
          <w:szCs w:val="8"/>
        </w:rPr>
      </w:pPr>
      <w:r w:rsidRPr="008871B7">
        <w:rPr>
          <w:sz w:val="8"/>
          <w:szCs w:val="8"/>
        </w:rPr>
        <w:br w:type="page"/>
      </w:r>
    </w:p>
    <w:p w14:paraId="6A49CDC5" w14:textId="77777777" w:rsidR="00733305" w:rsidRDefault="00733305">
      <w:pPr>
        <w:rPr>
          <w:sz w:val="8"/>
          <w:szCs w:val="8"/>
        </w:rPr>
      </w:pPr>
    </w:p>
    <w:p w14:paraId="6689E20E" w14:textId="77777777" w:rsidR="008871B7" w:rsidRPr="008871B7" w:rsidRDefault="008871B7">
      <w:pPr>
        <w:rPr>
          <w:sz w:val="8"/>
          <w:szCs w:val="8"/>
        </w:rPr>
      </w:pPr>
    </w:p>
    <w:tbl>
      <w:tblPr>
        <w:tblStyle w:val="Grilledutableau"/>
        <w:tblW w:w="9929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1"/>
        <w:gridCol w:w="5738"/>
        <w:gridCol w:w="30"/>
        <w:gridCol w:w="2840"/>
      </w:tblGrid>
      <w:tr w:rsidR="004456F3" w:rsidRPr="008871B7" w14:paraId="27155073" w14:textId="77777777" w:rsidTr="00CD485A">
        <w:trPr>
          <w:trHeight w:val="265"/>
        </w:trPr>
        <w:tc>
          <w:tcPr>
            <w:tcW w:w="9929" w:type="dxa"/>
            <w:gridSpan w:val="4"/>
            <w:shd w:val="clear" w:color="auto" w:fill="E7E6E6" w:themeFill="background2"/>
            <w:vAlign w:val="center"/>
          </w:tcPr>
          <w:p w14:paraId="622B02BF" w14:textId="05CFD34F" w:rsidR="00222237" w:rsidRPr="008871B7" w:rsidRDefault="00FA1B9F" w:rsidP="007C75C5">
            <w:pPr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b/>
                <w:bCs/>
                <w:color w:val="000000" w:themeColor="text1"/>
              </w:rPr>
              <w:t>JOUR 3</w:t>
            </w:r>
          </w:p>
        </w:tc>
      </w:tr>
      <w:tr w:rsidR="004456F3" w:rsidRPr="008871B7" w14:paraId="442CD697" w14:textId="77777777" w:rsidTr="00C04D66">
        <w:trPr>
          <w:trHeight w:val="265"/>
        </w:trPr>
        <w:tc>
          <w:tcPr>
            <w:tcW w:w="1321" w:type="dxa"/>
            <w:vMerge w:val="restart"/>
            <w:vAlign w:val="center"/>
          </w:tcPr>
          <w:p w14:paraId="669D8C4D" w14:textId="77777777" w:rsidR="00CD485A" w:rsidRPr="008871B7" w:rsidRDefault="00633CF9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9h30 </w:t>
            </w:r>
            <w:r w:rsidR="00CD485A"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– </w:t>
            </w:r>
            <w:r w:rsidR="00733305"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12h30</w:t>
            </w:r>
          </w:p>
          <w:p w14:paraId="69B18A3F" w14:textId="77777777" w:rsidR="00733305" w:rsidRPr="008871B7" w:rsidRDefault="00733305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544DC9F2" w14:textId="642C814D" w:rsidR="00733305" w:rsidRPr="008871B7" w:rsidRDefault="00733305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pause</w:t>
            </w:r>
            <w:proofErr w:type="gramEnd"/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-café disponible en salle)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15F71D54" w14:textId="3711BFA9" w:rsidR="00CD485A" w:rsidRPr="008871B7" w:rsidRDefault="00CD485A" w:rsidP="001F07E3">
            <w:pP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Point </w:t>
            </w:r>
            <w:r w:rsidR="00C10D1B"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| </w:t>
            </w:r>
            <w:r w:rsidR="00C10D1B"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suite</w:t>
            </w: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B5F90" w:rsidRPr="008871B7" w14:paraId="0F65F2CA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26075DE9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03AA7A9B" w14:textId="321C1D6F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 xml:space="preserve">Rapport du Comité d’audit </w:t>
            </w:r>
          </w:p>
        </w:tc>
        <w:tc>
          <w:tcPr>
            <w:tcW w:w="2870" w:type="dxa"/>
            <w:gridSpan w:val="2"/>
            <w:vMerge w:val="restart"/>
            <w:vAlign w:val="center"/>
          </w:tcPr>
          <w:p w14:paraId="3E2E404F" w14:textId="26B8694A" w:rsidR="001B5F90" w:rsidRPr="008871B7" w:rsidRDefault="001B5F90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1B5F90" w:rsidRPr="008871B7" w14:paraId="24B282C0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053FE6A0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7F7F3215" w14:textId="39FEDCC7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ind w:left="693" w:hanging="708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Rapport du Comité budgétaire sur le budget triennal 2026-2028</w:t>
            </w:r>
            <w:r w:rsidR="0071691F">
              <w:rPr>
                <w:rFonts w:ascii="Verdana" w:hAnsi="Verdana"/>
                <w:bCs/>
                <w:sz w:val="20"/>
                <w:szCs w:val="20"/>
              </w:rPr>
              <w:t xml:space="preserve"> et exécution du budget 2025 au 30/09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4DB1450B" w14:textId="66F549A3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71691F" w:rsidRPr="008871B7" w14:paraId="6B8F8116" w14:textId="77777777" w:rsidTr="0071691F">
        <w:trPr>
          <w:trHeight w:val="489"/>
        </w:trPr>
        <w:tc>
          <w:tcPr>
            <w:tcW w:w="1321" w:type="dxa"/>
            <w:vMerge/>
            <w:vAlign w:val="center"/>
          </w:tcPr>
          <w:p w14:paraId="6B4250D8" w14:textId="77777777" w:rsidR="0071691F" w:rsidRPr="008871B7" w:rsidRDefault="0071691F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6A2450FF" w14:textId="3F40504E" w:rsidR="0071691F" w:rsidRPr="008871B7" w:rsidRDefault="0071691F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Situation de l’exécution financière des projets au 30 septembre 2025</w:t>
            </w:r>
          </w:p>
        </w:tc>
        <w:tc>
          <w:tcPr>
            <w:tcW w:w="2870" w:type="dxa"/>
            <w:gridSpan w:val="2"/>
            <w:vMerge w:val="restart"/>
            <w:vAlign w:val="center"/>
          </w:tcPr>
          <w:p w14:paraId="0E444173" w14:textId="45162EB0" w:rsidR="0071691F" w:rsidRPr="008871B7" w:rsidRDefault="0071691F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Information</w:t>
            </w:r>
          </w:p>
        </w:tc>
      </w:tr>
      <w:tr w:rsidR="001B5F90" w:rsidRPr="008871B7" w14:paraId="76CB7616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0FDCD8B8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2672CA16" w14:textId="606F9D65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bCs/>
                <w:sz w:val="20"/>
                <w:szCs w:val="20"/>
              </w:rPr>
              <w:t>Point de situation sur les Inéligibilités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1CBF6D29" w14:textId="77777777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1B5F90" w:rsidRPr="008871B7" w14:paraId="06F35D5E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5CC5A1AD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24D85080" w14:textId="2B2E86F1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  <w:tab w:val="left" w:pos="4982"/>
                <w:tab w:val="left" w:pos="5124"/>
                <w:tab w:val="left" w:pos="5676"/>
              </w:tabs>
              <w:ind w:left="693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Situation des marchés au 30 septembre 2025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1995127F" w14:textId="77777777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1B5F90" w:rsidRPr="008871B7" w14:paraId="6795C71C" w14:textId="77777777" w:rsidTr="00B4708D">
        <w:trPr>
          <w:trHeight w:val="265"/>
        </w:trPr>
        <w:tc>
          <w:tcPr>
            <w:tcW w:w="1321" w:type="dxa"/>
            <w:vMerge/>
            <w:vAlign w:val="center"/>
          </w:tcPr>
          <w:p w14:paraId="1D3CFEEC" w14:textId="77777777" w:rsidR="001B5F90" w:rsidRPr="008871B7" w:rsidRDefault="001B5F90" w:rsidP="001B5F90">
            <w:pPr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738" w:type="dxa"/>
          </w:tcPr>
          <w:p w14:paraId="480C6C91" w14:textId="78C982F1" w:rsidR="001B5F90" w:rsidRPr="008871B7" w:rsidRDefault="001B5F90" w:rsidP="001B5F90">
            <w:pPr>
              <w:pStyle w:val="Paragraphedeliste"/>
              <w:numPr>
                <w:ilvl w:val="1"/>
                <w:numId w:val="15"/>
              </w:numPr>
              <w:tabs>
                <w:tab w:val="left" w:pos="693"/>
              </w:tabs>
              <w:rPr>
                <w:rFonts w:ascii="Verdana" w:hAnsi="Verdana"/>
                <w:bCs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Unité communication</w:t>
            </w:r>
          </w:p>
        </w:tc>
        <w:tc>
          <w:tcPr>
            <w:tcW w:w="2870" w:type="dxa"/>
            <w:gridSpan w:val="2"/>
            <w:vMerge/>
            <w:vAlign w:val="center"/>
          </w:tcPr>
          <w:p w14:paraId="1FADBF6F" w14:textId="77777777" w:rsidR="001B5F90" w:rsidRPr="008871B7" w:rsidRDefault="001B5F90" w:rsidP="001B5F9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4456F3" w:rsidRPr="008871B7" w14:paraId="38BF091E" w14:textId="77777777" w:rsidTr="00EB7D1A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10544A6A" w14:textId="28599F8C" w:rsidR="001F07E3" w:rsidRPr="008871B7" w:rsidRDefault="00CD485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30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 xml:space="preserve"> – 1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608" w:type="dxa"/>
            <w:gridSpan w:val="3"/>
            <w:shd w:val="clear" w:color="auto" w:fill="FFF2CC" w:themeFill="accent4" w:themeFillTint="33"/>
          </w:tcPr>
          <w:p w14:paraId="73B9C4C7" w14:textId="50A28B6E" w:rsidR="001F07E3" w:rsidRPr="008871B7" w:rsidRDefault="003E2AB0" w:rsidP="008871B7">
            <w:pPr>
              <w:ind w:right="2737"/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Déjeuner</w:t>
            </w:r>
          </w:p>
        </w:tc>
      </w:tr>
      <w:tr w:rsidR="00733305" w:rsidRPr="008871B7" w14:paraId="26846653" w14:textId="77777777" w:rsidTr="00AF4353">
        <w:trPr>
          <w:trHeight w:val="265"/>
        </w:trPr>
        <w:tc>
          <w:tcPr>
            <w:tcW w:w="1321" w:type="dxa"/>
            <w:vMerge w:val="restart"/>
            <w:vAlign w:val="center"/>
          </w:tcPr>
          <w:p w14:paraId="774EF8A8" w14:textId="7E131FCF" w:rsidR="00733305" w:rsidRPr="008871B7" w:rsidRDefault="00733305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13h45 – 15h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242B2703" w14:textId="2B3D8C79" w:rsidR="00733305" w:rsidRPr="008871B7" w:rsidRDefault="00733305" w:rsidP="001F07E3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POINT 4 | préparation des prochaines instances</w:t>
            </w:r>
          </w:p>
        </w:tc>
      </w:tr>
      <w:tr w:rsidR="00733305" w:rsidRPr="008871B7" w14:paraId="22E69C41" w14:textId="77777777" w:rsidTr="002D502F">
        <w:trPr>
          <w:trHeight w:val="265"/>
        </w:trPr>
        <w:tc>
          <w:tcPr>
            <w:tcW w:w="1321" w:type="dxa"/>
            <w:vMerge/>
            <w:vAlign w:val="center"/>
          </w:tcPr>
          <w:p w14:paraId="2D3C1200" w14:textId="76D254FB" w:rsidR="00733305" w:rsidRPr="008871B7" w:rsidRDefault="00733305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768" w:type="dxa"/>
            <w:gridSpan w:val="2"/>
          </w:tcPr>
          <w:p w14:paraId="0455C81D" w14:textId="263B4132" w:rsidR="00733305" w:rsidRPr="005E150B" w:rsidRDefault="00733305" w:rsidP="005E150B">
            <w:pPr>
              <w:pStyle w:val="Paragraphedeliste"/>
              <w:numPr>
                <w:ilvl w:val="1"/>
                <w:numId w:val="22"/>
              </w:numPr>
              <w:tabs>
                <w:tab w:val="left" w:pos="835"/>
              </w:tabs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Adoption des recommandations du Ve Sommet des chefs d’Etat et de gouvernement par les instances de la COI</w:t>
            </w:r>
          </w:p>
        </w:tc>
        <w:tc>
          <w:tcPr>
            <w:tcW w:w="2840" w:type="dxa"/>
          </w:tcPr>
          <w:p w14:paraId="748B6675" w14:textId="3669D069" w:rsidR="00733305" w:rsidRPr="008871B7" w:rsidRDefault="00733305" w:rsidP="008871B7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color w:val="000000" w:themeColor="text1"/>
                <w:sz w:val="20"/>
                <w:szCs w:val="20"/>
              </w:rPr>
              <w:t>Décision</w:t>
            </w:r>
          </w:p>
        </w:tc>
      </w:tr>
      <w:tr w:rsidR="004456F3" w:rsidRPr="008871B7" w14:paraId="7A413C5F" w14:textId="77777777" w:rsidTr="003E2AB0">
        <w:trPr>
          <w:trHeight w:val="265"/>
        </w:trPr>
        <w:tc>
          <w:tcPr>
            <w:tcW w:w="1321" w:type="dxa"/>
            <w:shd w:val="clear" w:color="auto" w:fill="FFF2CC" w:themeFill="accent4" w:themeFillTint="33"/>
            <w:vAlign w:val="center"/>
          </w:tcPr>
          <w:p w14:paraId="2A8C4580" w14:textId="259C2423" w:rsidR="00E91058" w:rsidRPr="008871B7" w:rsidRDefault="00CD485A" w:rsidP="008871B7">
            <w:pPr>
              <w:jc w:val="center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15h – 15h</w:t>
            </w:r>
            <w:r w:rsidR="00733305" w:rsidRPr="008871B7"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768" w:type="dxa"/>
            <w:gridSpan w:val="2"/>
            <w:shd w:val="clear" w:color="auto" w:fill="FFF2CC" w:themeFill="accent4" w:themeFillTint="33"/>
          </w:tcPr>
          <w:p w14:paraId="62530555" w14:textId="3525E1B3" w:rsidR="00E91058" w:rsidRPr="008871B7" w:rsidRDefault="00E91058" w:rsidP="008871B7">
            <w:pPr>
              <w:tabs>
                <w:tab w:val="left" w:pos="598"/>
              </w:tabs>
              <w:ind w:left="557" w:hanging="557"/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color w:val="000000" w:themeColor="text1"/>
                <w:sz w:val="20"/>
                <w:szCs w:val="20"/>
              </w:rPr>
              <w:t>Pause-café</w:t>
            </w:r>
          </w:p>
        </w:tc>
        <w:tc>
          <w:tcPr>
            <w:tcW w:w="2840" w:type="dxa"/>
            <w:shd w:val="clear" w:color="auto" w:fill="FFF2CC" w:themeFill="accent4" w:themeFillTint="33"/>
          </w:tcPr>
          <w:p w14:paraId="260072CF" w14:textId="77777777" w:rsidR="00E91058" w:rsidRPr="008871B7" w:rsidRDefault="00E91058" w:rsidP="001F07E3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4456F3" w:rsidRPr="008871B7" w14:paraId="0DB4D031" w14:textId="77777777" w:rsidTr="00D151E5">
        <w:trPr>
          <w:trHeight w:val="265"/>
        </w:trPr>
        <w:tc>
          <w:tcPr>
            <w:tcW w:w="1321" w:type="dxa"/>
            <w:vMerge w:val="restart"/>
          </w:tcPr>
          <w:p w14:paraId="39439453" w14:textId="4E1A6D9B" w:rsidR="00CD485A" w:rsidRPr="008871B7" w:rsidRDefault="00CD485A" w:rsidP="008871B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15h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>30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 – 16h15</w:t>
            </w:r>
          </w:p>
        </w:tc>
        <w:tc>
          <w:tcPr>
            <w:tcW w:w="8608" w:type="dxa"/>
            <w:gridSpan w:val="3"/>
            <w:shd w:val="clear" w:color="auto" w:fill="C45911" w:themeFill="accent2" w:themeFillShade="BF"/>
          </w:tcPr>
          <w:p w14:paraId="0F99789D" w14:textId="09505DA8" w:rsidR="00CD485A" w:rsidRPr="008871B7" w:rsidRDefault="00CD485A" w:rsidP="001F07E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71B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Clôture</w:t>
            </w:r>
          </w:p>
        </w:tc>
      </w:tr>
      <w:tr w:rsidR="004456F3" w:rsidRPr="008871B7" w14:paraId="7551AB08" w14:textId="77777777" w:rsidTr="00EB7D1A">
        <w:trPr>
          <w:trHeight w:val="265"/>
        </w:trPr>
        <w:tc>
          <w:tcPr>
            <w:tcW w:w="1321" w:type="dxa"/>
            <w:vMerge/>
            <w:vAlign w:val="center"/>
          </w:tcPr>
          <w:p w14:paraId="5A4BAE11" w14:textId="5A335169" w:rsidR="00CD485A" w:rsidRPr="008871B7" w:rsidRDefault="00CD485A" w:rsidP="001F07E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</w:tcPr>
          <w:p w14:paraId="5134E568" w14:textId="10E99099" w:rsidR="00CD485A" w:rsidRPr="008871B7" w:rsidRDefault="00CD485A" w:rsidP="001F07E3">
            <w:pPr>
              <w:rPr>
                <w:rFonts w:ascii="Verdana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Lecture et approbation 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 xml:space="preserve">/ signature 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>du relevé des décisions</w:t>
            </w:r>
          </w:p>
        </w:tc>
      </w:tr>
      <w:tr w:rsidR="004456F3" w:rsidRPr="008871B7" w14:paraId="1C773927" w14:textId="77777777" w:rsidTr="00EB7D1A">
        <w:trPr>
          <w:trHeight w:val="265"/>
        </w:trPr>
        <w:tc>
          <w:tcPr>
            <w:tcW w:w="1321" w:type="dxa"/>
            <w:vMerge/>
          </w:tcPr>
          <w:p w14:paraId="197B3AB3" w14:textId="77777777" w:rsidR="00CD485A" w:rsidRPr="008871B7" w:rsidRDefault="00CD485A" w:rsidP="001F07E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8608" w:type="dxa"/>
            <w:gridSpan w:val="3"/>
          </w:tcPr>
          <w:p w14:paraId="1A0066DF" w14:textId="18C90AB4" w:rsidR="00CD485A" w:rsidRPr="008871B7" w:rsidRDefault="00CD485A" w:rsidP="00AF4353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8871B7">
              <w:rPr>
                <w:rFonts w:ascii="Verdana" w:eastAsia="Times New Roman" w:hAnsi="Verdana"/>
                <w:sz w:val="20"/>
                <w:szCs w:val="20"/>
              </w:rPr>
              <w:t>Mot de clôture par l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 xml:space="preserve">a 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>président</w:t>
            </w:r>
            <w:r w:rsidR="00733305" w:rsidRPr="008871B7">
              <w:rPr>
                <w:rFonts w:ascii="Verdana" w:eastAsia="Times New Roman" w:hAnsi="Verdana"/>
                <w:sz w:val="20"/>
                <w:szCs w:val="20"/>
              </w:rPr>
              <w:t>e</w:t>
            </w:r>
            <w:r w:rsidRPr="008871B7">
              <w:rPr>
                <w:rFonts w:ascii="Verdana" w:eastAsia="Times New Roman" w:hAnsi="Verdana"/>
                <w:sz w:val="20"/>
                <w:szCs w:val="20"/>
              </w:rPr>
              <w:t xml:space="preserve"> du Comité des OPL</w:t>
            </w:r>
          </w:p>
        </w:tc>
      </w:tr>
      <w:tr w:rsidR="004456F3" w:rsidRPr="008871B7" w14:paraId="25F9D045" w14:textId="77777777" w:rsidTr="00D626BB">
        <w:tc>
          <w:tcPr>
            <w:tcW w:w="9929" w:type="dxa"/>
            <w:gridSpan w:val="4"/>
            <w:shd w:val="clear" w:color="auto" w:fill="FBE4D5" w:themeFill="accent2" w:themeFillTint="33"/>
            <w:vAlign w:val="center"/>
          </w:tcPr>
          <w:p w14:paraId="154C2A27" w14:textId="52B228B9" w:rsidR="00CD485A" w:rsidRPr="008871B7" w:rsidRDefault="00CD485A" w:rsidP="008871B7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871B7">
              <w:rPr>
                <w:rFonts w:ascii="Verdana" w:hAnsi="Verdana"/>
                <w:b/>
                <w:bCs/>
                <w:i/>
                <w:iCs/>
              </w:rPr>
              <w:t>Fin du COPL</w:t>
            </w:r>
          </w:p>
        </w:tc>
      </w:tr>
    </w:tbl>
    <w:p w14:paraId="2A03140C" w14:textId="77777777" w:rsidR="003862FB" w:rsidRPr="008871B7" w:rsidRDefault="003862FB" w:rsidP="00A42650"/>
    <w:sectPr w:rsidR="003862FB" w:rsidRPr="008871B7" w:rsidSect="008871B7">
      <w:headerReference w:type="default" r:id="rId8"/>
      <w:footerReference w:type="default" r:id="rId9"/>
      <w:pgSz w:w="11906" w:h="16838" w:code="9"/>
      <w:pgMar w:top="1418" w:right="1134" w:bottom="567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5EC6" w14:textId="77777777" w:rsidR="00D23834" w:rsidRDefault="00D23834" w:rsidP="000D0326">
      <w:pPr>
        <w:spacing w:after="0" w:line="240" w:lineRule="auto"/>
      </w:pPr>
      <w:r>
        <w:separator/>
      </w:r>
    </w:p>
  </w:endnote>
  <w:endnote w:type="continuationSeparator" w:id="0">
    <w:p w14:paraId="178BC911" w14:textId="77777777" w:rsidR="00D23834" w:rsidRDefault="00D23834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0F4E" w14:textId="77777777" w:rsidR="00D23834" w:rsidRDefault="00D23834" w:rsidP="000D0326">
      <w:pPr>
        <w:spacing w:after="0" w:line="240" w:lineRule="auto"/>
      </w:pPr>
      <w:r>
        <w:separator/>
      </w:r>
    </w:p>
  </w:footnote>
  <w:footnote w:type="continuationSeparator" w:id="0">
    <w:p w14:paraId="71D5C8DA" w14:textId="77777777" w:rsidR="00D23834" w:rsidRDefault="00D23834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71A6" w14:textId="790B46EE" w:rsidR="00581C7B" w:rsidRDefault="00581C7B" w:rsidP="00581C7B">
    <w:pPr>
      <w:pStyle w:val="En-tte"/>
    </w:pPr>
    <w:r>
      <w:rPr>
        <w:noProof/>
      </w:rPr>
      <w:drawing>
        <wp:inline distT="0" distB="0" distL="0" distR="0" wp14:anchorId="40AD154B" wp14:editId="1E9BAC49">
          <wp:extent cx="1265862" cy="576000"/>
          <wp:effectExtent l="0" t="0" r="0" b="0"/>
          <wp:docPr id="92412590" name="Image 92412590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2590" name="Image 92412590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D29E3" w14:textId="77777777" w:rsidR="00581C7B" w:rsidRPr="00D70A41" w:rsidRDefault="00581C7B" w:rsidP="00581C7B">
    <w:pPr>
      <w:spacing w:after="100"/>
      <w:jc w:val="center"/>
      <w:rPr>
        <w:rFonts w:ascii="Verdana" w:hAnsi="Verdana"/>
        <w:b/>
        <w:bCs/>
        <w:sz w:val="20"/>
        <w:szCs w:val="20"/>
      </w:rPr>
    </w:pPr>
    <w:r w:rsidRPr="00D70A41">
      <w:rPr>
        <w:rFonts w:ascii="Verdana" w:hAnsi="Verdana"/>
        <w:b/>
        <w:bCs/>
        <w:sz w:val="20"/>
        <w:szCs w:val="20"/>
      </w:rPr>
      <w:t>Comité des Officiers permanents de liaison n°02/25 de la COI</w:t>
    </w:r>
  </w:p>
  <w:p w14:paraId="034EC232" w14:textId="6AEC6928" w:rsidR="000D0326" w:rsidRDefault="00581C7B" w:rsidP="001328D2">
    <w:pPr>
      <w:pBdr>
        <w:bottom w:val="single" w:sz="4" w:space="1" w:color="0070C0"/>
      </w:pBdr>
      <w:spacing w:after="100"/>
      <w:jc w:val="center"/>
    </w:pPr>
    <w:r w:rsidRPr="00D70A41">
      <w:rPr>
        <w:rFonts w:ascii="Verdana" w:hAnsi="Verdana"/>
        <w:sz w:val="20"/>
        <w:szCs w:val="20"/>
      </w:rPr>
      <w:t xml:space="preserve">Projet d’ordre du jour | </w:t>
    </w:r>
    <w:r w:rsidR="009204D3">
      <w:rPr>
        <w:rFonts w:ascii="Verdana" w:hAnsi="Verdana"/>
        <w:sz w:val="20"/>
        <w:szCs w:val="20"/>
      </w:rPr>
      <w:t xml:space="preserve">11 au 13 </w:t>
    </w:r>
    <w:r w:rsidRPr="00D70A41">
      <w:rPr>
        <w:rFonts w:ascii="Verdana" w:hAnsi="Verdana"/>
        <w:sz w:val="20"/>
        <w:szCs w:val="20"/>
      </w:rPr>
      <w:t xml:space="preserve">novembre 2025 | </w:t>
    </w:r>
    <w:proofErr w:type="spellStart"/>
    <w:r w:rsidRPr="00D70A41">
      <w:rPr>
        <w:rFonts w:ascii="Verdana" w:hAnsi="Verdana"/>
        <w:sz w:val="20"/>
        <w:szCs w:val="20"/>
      </w:rPr>
      <w:t>Ebène</w:t>
    </w:r>
    <w:proofErr w:type="spellEnd"/>
    <w:r w:rsidRPr="00D70A41">
      <w:rPr>
        <w:rFonts w:ascii="Verdana" w:hAnsi="Verdana"/>
        <w:sz w:val="20"/>
        <w:szCs w:val="20"/>
      </w:rPr>
      <w:t xml:space="preserve"> - Maurice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2DD"/>
    <w:multiLevelType w:val="multilevel"/>
    <w:tmpl w:val="A0E0549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B4559F"/>
    <w:multiLevelType w:val="multilevel"/>
    <w:tmpl w:val="F154EA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400FA"/>
    <w:multiLevelType w:val="multilevel"/>
    <w:tmpl w:val="61BA83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7C33BB"/>
    <w:multiLevelType w:val="multilevel"/>
    <w:tmpl w:val="A956B5BE"/>
    <w:lvl w:ilvl="0">
      <w:start w:val="2"/>
      <w:numFmt w:val="decimal"/>
      <w:lvlText w:val="%1.0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0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4" w15:restartNumberingAfterBreak="0">
    <w:nsid w:val="4A2C2D50"/>
    <w:multiLevelType w:val="multilevel"/>
    <w:tmpl w:val="72FE14E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7BBC35DB"/>
    <w:multiLevelType w:val="multilevel"/>
    <w:tmpl w:val="7EE0F37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99458373">
    <w:abstractNumId w:val="0"/>
  </w:num>
  <w:num w:numId="2" w16cid:durableId="1223129960">
    <w:abstractNumId w:val="5"/>
  </w:num>
  <w:num w:numId="3" w16cid:durableId="1924339999">
    <w:abstractNumId w:val="17"/>
  </w:num>
  <w:num w:numId="4" w16cid:durableId="2007048449">
    <w:abstractNumId w:val="12"/>
  </w:num>
  <w:num w:numId="5" w16cid:durableId="1626934956">
    <w:abstractNumId w:val="16"/>
  </w:num>
  <w:num w:numId="6" w16cid:durableId="451947700">
    <w:abstractNumId w:val="18"/>
  </w:num>
  <w:num w:numId="7" w16cid:durableId="1529104683">
    <w:abstractNumId w:val="4"/>
  </w:num>
  <w:num w:numId="8" w16cid:durableId="829953092">
    <w:abstractNumId w:val="10"/>
  </w:num>
  <w:num w:numId="9" w16cid:durableId="564416428">
    <w:abstractNumId w:val="15"/>
  </w:num>
  <w:num w:numId="10" w16cid:durableId="413282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9008697">
    <w:abstractNumId w:val="8"/>
  </w:num>
  <w:num w:numId="12" w16cid:durableId="721371988">
    <w:abstractNumId w:val="6"/>
  </w:num>
  <w:num w:numId="13" w16cid:durableId="669218435">
    <w:abstractNumId w:val="19"/>
  </w:num>
  <w:num w:numId="14" w16cid:durableId="1063454692">
    <w:abstractNumId w:val="11"/>
  </w:num>
  <w:num w:numId="15" w16cid:durableId="185557919">
    <w:abstractNumId w:val="13"/>
  </w:num>
  <w:num w:numId="16" w16cid:durableId="1698658892">
    <w:abstractNumId w:val="3"/>
  </w:num>
  <w:num w:numId="17" w16cid:durableId="1861894089">
    <w:abstractNumId w:val="9"/>
  </w:num>
  <w:num w:numId="18" w16cid:durableId="1115060905">
    <w:abstractNumId w:val="14"/>
  </w:num>
  <w:num w:numId="19" w16cid:durableId="964460064">
    <w:abstractNumId w:val="7"/>
  </w:num>
  <w:num w:numId="20" w16cid:durableId="1182432262">
    <w:abstractNumId w:val="2"/>
  </w:num>
  <w:num w:numId="21" w16cid:durableId="555631979">
    <w:abstractNumId w:val="1"/>
  </w:num>
  <w:num w:numId="22" w16cid:durableId="1039742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07B6C"/>
    <w:rsid w:val="000115ED"/>
    <w:rsid w:val="00012F75"/>
    <w:rsid w:val="00013582"/>
    <w:rsid w:val="00014578"/>
    <w:rsid w:val="0001470F"/>
    <w:rsid w:val="0001753A"/>
    <w:rsid w:val="0002214A"/>
    <w:rsid w:val="00022954"/>
    <w:rsid w:val="000268C2"/>
    <w:rsid w:val="00027593"/>
    <w:rsid w:val="00030671"/>
    <w:rsid w:val="000319D6"/>
    <w:rsid w:val="00032B3E"/>
    <w:rsid w:val="00042320"/>
    <w:rsid w:val="0004588E"/>
    <w:rsid w:val="0005010D"/>
    <w:rsid w:val="00055CCC"/>
    <w:rsid w:val="00055F99"/>
    <w:rsid w:val="00056F68"/>
    <w:rsid w:val="00057688"/>
    <w:rsid w:val="00060D68"/>
    <w:rsid w:val="00065423"/>
    <w:rsid w:val="0006619B"/>
    <w:rsid w:val="00067552"/>
    <w:rsid w:val="0007159E"/>
    <w:rsid w:val="00072971"/>
    <w:rsid w:val="00073AA5"/>
    <w:rsid w:val="000818E0"/>
    <w:rsid w:val="000831DA"/>
    <w:rsid w:val="000934C2"/>
    <w:rsid w:val="000A0443"/>
    <w:rsid w:val="000B0EE5"/>
    <w:rsid w:val="000B2A78"/>
    <w:rsid w:val="000C3128"/>
    <w:rsid w:val="000C49C0"/>
    <w:rsid w:val="000C49F9"/>
    <w:rsid w:val="000C5404"/>
    <w:rsid w:val="000C5914"/>
    <w:rsid w:val="000C7C62"/>
    <w:rsid w:val="000D0326"/>
    <w:rsid w:val="000D28CE"/>
    <w:rsid w:val="000D45CE"/>
    <w:rsid w:val="000D4B75"/>
    <w:rsid w:val="000E56E3"/>
    <w:rsid w:val="000F09CB"/>
    <w:rsid w:val="000F7DAA"/>
    <w:rsid w:val="001006BE"/>
    <w:rsid w:val="00101F1F"/>
    <w:rsid w:val="001023A5"/>
    <w:rsid w:val="0010327B"/>
    <w:rsid w:val="00103C7A"/>
    <w:rsid w:val="00103CFF"/>
    <w:rsid w:val="00104B57"/>
    <w:rsid w:val="00106181"/>
    <w:rsid w:val="0010654F"/>
    <w:rsid w:val="00114646"/>
    <w:rsid w:val="00115CFC"/>
    <w:rsid w:val="0012142F"/>
    <w:rsid w:val="0012537E"/>
    <w:rsid w:val="001300EE"/>
    <w:rsid w:val="001328D2"/>
    <w:rsid w:val="001418CB"/>
    <w:rsid w:val="00144857"/>
    <w:rsid w:val="00152FD3"/>
    <w:rsid w:val="001564A8"/>
    <w:rsid w:val="00165B3F"/>
    <w:rsid w:val="00167803"/>
    <w:rsid w:val="0017028D"/>
    <w:rsid w:val="001749E8"/>
    <w:rsid w:val="0018216D"/>
    <w:rsid w:val="00185076"/>
    <w:rsid w:val="00185CE6"/>
    <w:rsid w:val="00186F5E"/>
    <w:rsid w:val="001924F1"/>
    <w:rsid w:val="0019376C"/>
    <w:rsid w:val="00195D00"/>
    <w:rsid w:val="001A6581"/>
    <w:rsid w:val="001B3C29"/>
    <w:rsid w:val="001B5F90"/>
    <w:rsid w:val="001B6749"/>
    <w:rsid w:val="001B6851"/>
    <w:rsid w:val="001C1C31"/>
    <w:rsid w:val="001C3F3A"/>
    <w:rsid w:val="001C6EA1"/>
    <w:rsid w:val="001D040B"/>
    <w:rsid w:val="001D4A75"/>
    <w:rsid w:val="001D50D8"/>
    <w:rsid w:val="001D72AB"/>
    <w:rsid w:val="001E5B81"/>
    <w:rsid w:val="001E70C6"/>
    <w:rsid w:val="001F07E3"/>
    <w:rsid w:val="001F1CD2"/>
    <w:rsid w:val="00203753"/>
    <w:rsid w:val="002107D6"/>
    <w:rsid w:val="0021622B"/>
    <w:rsid w:val="00222237"/>
    <w:rsid w:val="0022510F"/>
    <w:rsid w:val="00227D1F"/>
    <w:rsid w:val="002337D6"/>
    <w:rsid w:val="0023451A"/>
    <w:rsid w:val="002378F1"/>
    <w:rsid w:val="00237973"/>
    <w:rsid w:val="00244BB6"/>
    <w:rsid w:val="002470EB"/>
    <w:rsid w:val="00247B01"/>
    <w:rsid w:val="00251201"/>
    <w:rsid w:val="00252966"/>
    <w:rsid w:val="00253DE2"/>
    <w:rsid w:val="00255367"/>
    <w:rsid w:val="00260C2E"/>
    <w:rsid w:val="002625FF"/>
    <w:rsid w:val="00262692"/>
    <w:rsid w:val="00265665"/>
    <w:rsid w:val="0026732E"/>
    <w:rsid w:val="00270005"/>
    <w:rsid w:val="0027408E"/>
    <w:rsid w:val="00281799"/>
    <w:rsid w:val="002824B9"/>
    <w:rsid w:val="002828AF"/>
    <w:rsid w:val="00286307"/>
    <w:rsid w:val="002A0368"/>
    <w:rsid w:val="002A4DBB"/>
    <w:rsid w:val="002A6D8C"/>
    <w:rsid w:val="002B2431"/>
    <w:rsid w:val="002B24FC"/>
    <w:rsid w:val="002B2A20"/>
    <w:rsid w:val="002B6796"/>
    <w:rsid w:val="002B7C8A"/>
    <w:rsid w:val="002C1A93"/>
    <w:rsid w:val="002C4D13"/>
    <w:rsid w:val="002C7E87"/>
    <w:rsid w:val="002D46F4"/>
    <w:rsid w:val="002D502F"/>
    <w:rsid w:val="002D507B"/>
    <w:rsid w:val="002E0816"/>
    <w:rsid w:val="002E16CA"/>
    <w:rsid w:val="002E26F8"/>
    <w:rsid w:val="002E3F58"/>
    <w:rsid w:val="002E419D"/>
    <w:rsid w:val="002F6315"/>
    <w:rsid w:val="002F71AD"/>
    <w:rsid w:val="0030207E"/>
    <w:rsid w:val="00320156"/>
    <w:rsid w:val="003222A9"/>
    <w:rsid w:val="00322C4B"/>
    <w:rsid w:val="00332230"/>
    <w:rsid w:val="00340432"/>
    <w:rsid w:val="003426CB"/>
    <w:rsid w:val="003443AC"/>
    <w:rsid w:val="0034487B"/>
    <w:rsid w:val="003509E9"/>
    <w:rsid w:val="00351A33"/>
    <w:rsid w:val="00351ADB"/>
    <w:rsid w:val="003531CC"/>
    <w:rsid w:val="00356CF2"/>
    <w:rsid w:val="003605B2"/>
    <w:rsid w:val="00362020"/>
    <w:rsid w:val="0036332A"/>
    <w:rsid w:val="0036362A"/>
    <w:rsid w:val="003641C8"/>
    <w:rsid w:val="00365B98"/>
    <w:rsid w:val="00370155"/>
    <w:rsid w:val="00375B82"/>
    <w:rsid w:val="003772F8"/>
    <w:rsid w:val="00381BC8"/>
    <w:rsid w:val="00384C5B"/>
    <w:rsid w:val="003862FB"/>
    <w:rsid w:val="003871D2"/>
    <w:rsid w:val="003A360E"/>
    <w:rsid w:val="003A4209"/>
    <w:rsid w:val="003A4699"/>
    <w:rsid w:val="003B0E64"/>
    <w:rsid w:val="003B32DA"/>
    <w:rsid w:val="003C40C3"/>
    <w:rsid w:val="003C6A5F"/>
    <w:rsid w:val="003C6DFC"/>
    <w:rsid w:val="003D4D8C"/>
    <w:rsid w:val="003E12E4"/>
    <w:rsid w:val="003E2AB0"/>
    <w:rsid w:val="003E3E97"/>
    <w:rsid w:val="003E4DF9"/>
    <w:rsid w:val="003E5D2F"/>
    <w:rsid w:val="0040491A"/>
    <w:rsid w:val="00404EF2"/>
    <w:rsid w:val="0040550A"/>
    <w:rsid w:val="00415BE1"/>
    <w:rsid w:val="004160A1"/>
    <w:rsid w:val="004218EC"/>
    <w:rsid w:val="00436DBD"/>
    <w:rsid w:val="004456F3"/>
    <w:rsid w:val="00446B50"/>
    <w:rsid w:val="004474FF"/>
    <w:rsid w:val="004512A1"/>
    <w:rsid w:val="0045256C"/>
    <w:rsid w:val="0045705A"/>
    <w:rsid w:val="00457785"/>
    <w:rsid w:val="00457F5E"/>
    <w:rsid w:val="0046094C"/>
    <w:rsid w:val="00460EE0"/>
    <w:rsid w:val="00462281"/>
    <w:rsid w:val="00463336"/>
    <w:rsid w:val="00471383"/>
    <w:rsid w:val="00473407"/>
    <w:rsid w:val="004817A5"/>
    <w:rsid w:val="00486748"/>
    <w:rsid w:val="00490582"/>
    <w:rsid w:val="004921E1"/>
    <w:rsid w:val="00496A22"/>
    <w:rsid w:val="00497DF0"/>
    <w:rsid w:val="004A06CF"/>
    <w:rsid w:val="004A1FF1"/>
    <w:rsid w:val="004A339A"/>
    <w:rsid w:val="004A76AD"/>
    <w:rsid w:val="004B1332"/>
    <w:rsid w:val="004B34DE"/>
    <w:rsid w:val="004B78D5"/>
    <w:rsid w:val="004D0B06"/>
    <w:rsid w:val="004D62E1"/>
    <w:rsid w:val="004E19E4"/>
    <w:rsid w:val="004E1C36"/>
    <w:rsid w:val="004E4A4B"/>
    <w:rsid w:val="004E5984"/>
    <w:rsid w:val="004F41D9"/>
    <w:rsid w:val="00500A5C"/>
    <w:rsid w:val="00512B7E"/>
    <w:rsid w:val="0051669F"/>
    <w:rsid w:val="00520B48"/>
    <w:rsid w:val="005270B9"/>
    <w:rsid w:val="0053152A"/>
    <w:rsid w:val="00531B22"/>
    <w:rsid w:val="00532F23"/>
    <w:rsid w:val="005347C1"/>
    <w:rsid w:val="00534D81"/>
    <w:rsid w:val="005365C5"/>
    <w:rsid w:val="00536919"/>
    <w:rsid w:val="00540FCD"/>
    <w:rsid w:val="00541D03"/>
    <w:rsid w:val="005452DC"/>
    <w:rsid w:val="005475C0"/>
    <w:rsid w:val="005500F9"/>
    <w:rsid w:val="00550C06"/>
    <w:rsid w:val="005551DA"/>
    <w:rsid w:val="00556571"/>
    <w:rsid w:val="00561D58"/>
    <w:rsid w:val="00562793"/>
    <w:rsid w:val="005628D0"/>
    <w:rsid w:val="005712E9"/>
    <w:rsid w:val="005751B3"/>
    <w:rsid w:val="00576C7B"/>
    <w:rsid w:val="00577153"/>
    <w:rsid w:val="00577ECD"/>
    <w:rsid w:val="00581C7B"/>
    <w:rsid w:val="005876D7"/>
    <w:rsid w:val="00587E44"/>
    <w:rsid w:val="00591A01"/>
    <w:rsid w:val="005934CC"/>
    <w:rsid w:val="00593BA3"/>
    <w:rsid w:val="00594617"/>
    <w:rsid w:val="005A1CC6"/>
    <w:rsid w:val="005A2FF5"/>
    <w:rsid w:val="005A58BC"/>
    <w:rsid w:val="005A5F96"/>
    <w:rsid w:val="005A7BB1"/>
    <w:rsid w:val="005B7EC0"/>
    <w:rsid w:val="005C5639"/>
    <w:rsid w:val="005D2A94"/>
    <w:rsid w:val="005D5C0E"/>
    <w:rsid w:val="005D7295"/>
    <w:rsid w:val="005E10D2"/>
    <w:rsid w:val="005E150B"/>
    <w:rsid w:val="005E5771"/>
    <w:rsid w:val="005E690F"/>
    <w:rsid w:val="005E74DB"/>
    <w:rsid w:val="005F0C98"/>
    <w:rsid w:val="005F0E2C"/>
    <w:rsid w:val="005F2598"/>
    <w:rsid w:val="005F3E86"/>
    <w:rsid w:val="005F5924"/>
    <w:rsid w:val="006049B6"/>
    <w:rsid w:val="00604E01"/>
    <w:rsid w:val="006056FD"/>
    <w:rsid w:val="006104B0"/>
    <w:rsid w:val="00614125"/>
    <w:rsid w:val="00615018"/>
    <w:rsid w:val="0062047D"/>
    <w:rsid w:val="00633CF9"/>
    <w:rsid w:val="00642775"/>
    <w:rsid w:val="00642A73"/>
    <w:rsid w:val="006432D6"/>
    <w:rsid w:val="00645D73"/>
    <w:rsid w:val="00650CB9"/>
    <w:rsid w:val="006562A6"/>
    <w:rsid w:val="0066242F"/>
    <w:rsid w:val="006626A0"/>
    <w:rsid w:val="00666215"/>
    <w:rsid w:val="0067039D"/>
    <w:rsid w:val="0067411A"/>
    <w:rsid w:val="006833A3"/>
    <w:rsid w:val="00683CBF"/>
    <w:rsid w:val="006845A4"/>
    <w:rsid w:val="006848F1"/>
    <w:rsid w:val="00690836"/>
    <w:rsid w:val="006950F6"/>
    <w:rsid w:val="006A1628"/>
    <w:rsid w:val="006A3295"/>
    <w:rsid w:val="006B1F47"/>
    <w:rsid w:val="006B60A9"/>
    <w:rsid w:val="006C06E9"/>
    <w:rsid w:val="006C1918"/>
    <w:rsid w:val="006C497D"/>
    <w:rsid w:val="006C51DC"/>
    <w:rsid w:val="006D2D2E"/>
    <w:rsid w:val="006F0433"/>
    <w:rsid w:val="006F3908"/>
    <w:rsid w:val="006F4B0C"/>
    <w:rsid w:val="00700B1D"/>
    <w:rsid w:val="00704644"/>
    <w:rsid w:val="00704941"/>
    <w:rsid w:val="00705651"/>
    <w:rsid w:val="00706242"/>
    <w:rsid w:val="00712167"/>
    <w:rsid w:val="00714CF4"/>
    <w:rsid w:val="0071691F"/>
    <w:rsid w:val="00724484"/>
    <w:rsid w:val="00733305"/>
    <w:rsid w:val="0073777A"/>
    <w:rsid w:val="0074080B"/>
    <w:rsid w:val="00743926"/>
    <w:rsid w:val="00753063"/>
    <w:rsid w:val="00760AAD"/>
    <w:rsid w:val="00774BC7"/>
    <w:rsid w:val="00775710"/>
    <w:rsid w:val="0078071C"/>
    <w:rsid w:val="00783302"/>
    <w:rsid w:val="00786469"/>
    <w:rsid w:val="00787138"/>
    <w:rsid w:val="007934A2"/>
    <w:rsid w:val="00796BF8"/>
    <w:rsid w:val="007A27D9"/>
    <w:rsid w:val="007A3869"/>
    <w:rsid w:val="007B030B"/>
    <w:rsid w:val="007B0953"/>
    <w:rsid w:val="007B44B3"/>
    <w:rsid w:val="007C75C5"/>
    <w:rsid w:val="007D440E"/>
    <w:rsid w:val="007E0137"/>
    <w:rsid w:val="007E0682"/>
    <w:rsid w:val="007E186C"/>
    <w:rsid w:val="007E2794"/>
    <w:rsid w:val="007F1FD6"/>
    <w:rsid w:val="007F30E9"/>
    <w:rsid w:val="007F3207"/>
    <w:rsid w:val="007F5AAD"/>
    <w:rsid w:val="007F7BA3"/>
    <w:rsid w:val="00800DAE"/>
    <w:rsid w:val="008103D2"/>
    <w:rsid w:val="008109E3"/>
    <w:rsid w:val="00810F02"/>
    <w:rsid w:val="00815F46"/>
    <w:rsid w:val="00823E66"/>
    <w:rsid w:val="00833309"/>
    <w:rsid w:val="0083383B"/>
    <w:rsid w:val="00833ACC"/>
    <w:rsid w:val="00841B17"/>
    <w:rsid w:val="00850BC3"/>
    <w:rsid w:val="008522A6"/>
    <w:rsid w:val="00856B1B"/>
    <w:rsid w:val="008740E9"/>
    <w:rsid w:val="00874E76"/>
    <w:rsid w:val="0087532E"/>
    <w:rsid w:val="00882862"/>
    <w:rsid w:val="008841FC"/>
    <w:rsid w:val="00885082"/>
    <w:rsid w:val="00886E66"/>
    <w:rsid w:val="008871B7"/>
    <w:rsid w:val="00887DC2"/>
    <w:rsid w:val="008908F6"/>
    <w:rsid w:val="00896021"/>
    <w:rsid w:val="0089732E"/>
    <w:rsid w:val="008A5405"/>
    <w:rsid w:val="008A6EE5"/>
    <w:rsid w:val="008B1E90"/>
    <w:rsid w:val="008B4E21"/>
    <w:rsid w:val="008C10B6"/>
    <w:rsid w:val="008C4849"/>
    <w:rsid w:val="008C520C"/>
    <w:rsid w:val="008C5E47"/>
    <w:rsid w:val="008C6C0E"/>
    <w:rsid w:val="008D6706"/>
    <w:rsid w:val="008E0CA0"/>
    <w:rsid w:val="008E23B1"/>
    <w:rsid w:val="00900172"/>
    <w:rsid w:val="009023F8"/>
    <w:rsid w:val="0090339B"/>
    <w:rsid w:val="00903858"/>
    <w:rsid w:val="00903A29"/>
    <w:rsid w:val="00906518"/>
    <w:rsid w:val="00914FE1"/>
    <w:rsid w:val="00915FA4"/>
    <w:rsid w:val="0091601B"/>
    <w:rsid w:val="009204D3"/>
    <w:rsid w:val="00920E3E"/>
    <w:rsid w:val="00923D0E"/>
    <w:rsid w:val="00925B0F"/>
    <w:rsid w:val="00930148"/>
    <w:rsid w:val="00932CEE"/>
    <w:rsid w:val="00936959"/>
    <w:rsid w:val="00946B78"/>
    <w:rsid w:val="00950DEF"/>
    <w:rsid w:val="00951F21"/>
    <w:rsid w:val="00952E9F"/>
    <w:rsid w:val="00965DDD"/>
    <w:rsid w:val="00966FC3"/>
    <w:rsid w:val="009673E5"/>
    <w:rsid w:val="0097405F"/>
    <w:rsid w:val="009757B3"/>
    <w:rsid w:val="00975A5B"/>
    <w:rsid w:val="00977B25"/>
    <w:rsid w:val="00980A56"/>
    <w:rsid w:val="00982F7F"/>
    <w:rsid w:val="00983D27"/>
    <w:rsid w:val="00984DF2"/>
    <w:rsid w:val="0099374A"/>
    <w:rsid w:val="00993EBE"/>
    <w:rsid w:val="0099569D"/>
    <w:rsid w:val="00996BE3"/>
    <w:rsid w:val="009A73D5"/>
    <w:rsid w:val="009A79D8"/>
    <w:rsid w:val="009B18C7"/>
    <w:rsid w:val="009C3B7D"/>
    <w:rsid w:val="009D256A"/>
    <w:rsid w:val="009D606B"/>
    <w:rsid w:val="009D60BC"/>
    <w:rsid w:val="009D6548"/>
    <w:rsid w:val="009D784F"/>
    <w:rsid w:val="009E5DD1"/>
    <w:rsid w:val="009F23D4"/>
    <w:rsid w:val="009F5FE8"/>
    <w:rsid w:val="00A03961"/>
    <w:rsid w:val="00A051D6"/>
    <w:rsid w:val="00A11DEB"/>
    <w:rsid w:val="00A151DE"/>
    <w:rsid w:val="00A202B2"/>
    <w:rsid w:val="00A20B49"/>
    <w:rsid w:val="00A22C49"/>
    <w:rsid w:val="00A23A26"/>
    <w:rsid w:val="00A313D3"/>
    <w:rsid w:val="00A33A82"/>
    <w:rsid w:val="00A33DCF"/>
    <w:rsid w:val="00A40DE2"/>
    <w:rsid w:val="00A42650"/>
    <w:rsid w:val="00A42E55"/>
    <w:rsid w:val="00A44027"/>
    <w:rsid w:val="00A446DA"/>
    <w:rsid w:val="00A4485F"/>
    <w:rsid w:val="00A45184"/>
    <w:rsid w:val="00A6027F"/>
    <w:rsid w:val="00A66233"/>
    <w:rsid w:val="00A664E2"/>
    <w:rsid w:val="00A67C73"/>
    <w:rsid w:val="00A726D3"/>
    <w:rsid w:val="00A7616E"/>
    <w:rsid w:val="00A766E8"/>
    <w:rsid w:val="00A8086A"/>
    <w:rsid w:val="00A85889"/>
    <w:rsid w:val="00A91AB2"/>
    <w:rsid w:val="00AA1790"/>
    <w:rsid w:val="00AA6DAC"/>
    <w:rsid w:val="00AA75A5"/>
    <w:rsid w:val="00AC2A59"/>
    <w:rsid w:val="00AC2D79"/>
    <w:rsid w:val="00AC3D54"/>
    <w:rsid w:val="00AC60F7"/>
    <w:rsid w:val="00AD11B3"/>
    <w:rsid w:val="00AD407B"/>
    <w:rsid w:val="00AD5CC7"/>
    <w:rsid w:val="00AF0E52"/>
    <w:rsid w:val="00AF30DC"/>
    <w:rsid w:val="00AF4353"/>
    <w:rsid w:val="00AF4A84"/>
    <w:rsid w:val="00B0521C"/>
    <w:rsid w:val="00B11C29"/>
    <w:rsid w:val="00B14563"/>
    <w:rsid w:val="00B162E7"/>
    <w:rsid w:val="00B167BD"/>
    <w:rsid w:val="00B170F5"/>
    <w:rsid w:val="00B17277"/>
    <w:rsid w:val="00B17604"/>
    <w:rsid w:val="00B200E2"/>
    <w:rsid w:val="00B214BE"/>
    <w:rsid w:val="00B21CF6"/>
    <w:rsid w:val="00B24389"/>
    <w:rsid w:val="00B26549"/>
    <w:rsid w:val="00B27A31"/>
    <w:rsid w:val="00B328ED"/>
    <w:rsid w:val="00B37F81"/>
    <w:rsid w:val="00B40F75"/>
    <w:rsid w:val="00B41536"/>
    <w:rsid w:val="00B4598C"/>
    <w:rsid w:val="00B4708D"/>
    <w:rsid w:val="00B50B47"/>
    <w:rsid w:val="00B57D1B"/>
    <w:rsid w:val="00B668E0"/>
    <w:rsid w:val="00B74E9D"/>
    <w:rsid w:val="00B8285A"/>
    <w:rsid w:val="00B94230"/>
    <w:rsid w:val="00BB0CAF"/>
    <w:rsid w:val="00BB2FDB"/>
    <w:rsid w:val="00BB52D0"/>
    <w:rsid w:val="00BB6E7D"/>
    <w:rsid w:val="00BC6C0B"/>
    <w:rsid w:val="00BD19C3"/>
    <w:rsid w:val="00BD3695"/>
    <w:rsid w:val="00BE1417"/>
    <w:rsid w:val="00BF38BE"/>
    <w:rsid w:val="00BF3D18"/>
    <w:rsid w:val="00C04D66"/>
    <w:rsid w:val="00C10C1F"/>
    <w:rsid w:val="00C10D1B"/>
    <w:rsid w:val="00C132BF"/>
    <w:rsid w:val="00C21239"/>
    <w:rsid w:val="00C24247"/>
    <w:rsid w:val="00C2715C"/>
    <w:rsid w:val="00C3032B"/>
    <w:rsid w:val="00C33545"/>
    <w:rsid w:val="00C34291"/>
    <w:rsid w:val="00C34DCA"/>
    <w:rsid w:val="00C429B3"/>
    <w:rsid w:val="00C4401D"/>
    <w:rsid w:val="00C502D9"/>
    <w:rsid w:val="00C53548"/>
    <w:rsid w:val="00C54A94"/>
    <w:rsid w:val="00C603E6"/>
    <w:rsid w:val="00C61493"/>
    <w:rsid w:val="00C61C1E"/>
    <w:rsid w:val="00C62E44"/>
    <w:rsid w:val="00C6443B"/>
    <w:rsid w:val="00C7286B"/>
    <w:rsid w:val="00C74102"/>
    <w:rsid w:val="00C75528"/>
    <w:rsid w:val="00C772D5"/>
    <w:rsid w:val="00C819FF"/>
    <w:rsid w:val="00C84DF6"/>
    <w:rsid w:val="00C86473"/>
    <w:rsid w:val="00C94446"/>
    <w:rsid w:val="00CA196D"/>
    <w:rsid w:val="00CA341F"/>
    <w:rsid w:val="00CA751C"/>
    <w:rsid w:val="00CA7692"/>
    <w:rsid w:val="00CB327E"/>
    <w:rsid w:val="00CB3ADE"/>
    <w:rsid w:val="00CB3E71"/>
    <w:rsid w:val="00CB596B"/>
    <w:rsid w:val="00CB68E2"/>
    <w:rsid w:val="00CB6E3A"/>
    <w:rsid w:val="00CC0C52"/>
    <w:rsid w:val="00CC1A0F"/>
    <w:rsid w:val="00CC231D"/>
    <w:rsid w:val="00CC2A20"/>
    <w:rsid w:val="00CC464A"/>
    <w:rsid w:val="00CC4D0A"/>
    <w:rsid w:val="00CD0AA9"/>
    <w:rsid w:val="00CD24F7"/>
    <w:rsid w:val="00CD2DCB"/>
    <w:rsid w:val="00CD37A2"/>
    <w:rsid w:val="00CD485A"/>
    <w:rsid w:val="00CD61F9"/>
    <w:rsid w:val="00CD6702"/>
    <w:rsid w:val="00CE08EB"/>
    <w:rsid w:val="00CF28E4"/>
    <w:rsid w:val="00CF33D8"/>
    <w:rsid w:val="00CF474D"/>
    <w:rsid w:val="00CF4AFA"/>
    <w:rsid w:val="00D004A2"/>
    <w:rsid w:val="00D0182F"/>
    <w:rsid w:val="00D072EE"/>
    <w:rsid w:val="00D07524"/>
    <w:rsid w:val="00D07852"/>
    <w:rsid w:val="00D10D9E"/>
    <w:rsid w:val="00D114A6"/>
    <w:rsid w:val="00D151E5"/>
    <w:rsid w:val="00D22C9B"/>
    <w:rsid w:val="00D23834"/>
    <w:rsid w:val="00D257BB"/>
    <w:rsid w:val="00D27CBB"/>
    <w:rsid w:val="00D361EF"/>
    <w:rsid w:val="00D40BB6"/>
    <w:rsid w:val="00D44BFA"/>
    <w:rsid w:val="00D45C89"/>
    <w:rsid w:val="00D47C1B"/>
    <w:rsid w:val="00D5010C"/>
    <w:rsid w:val="00D52E60"/>
    <w:rsid w:val="00D56237"/>
    <w:rsid w:val="00D57941"/>
    <w:rsid w:val="00D60A48"/>
    <w:rsid w:val="00D61641"/>
    <w:rsid w:val="00D61F56"/>
    <w:rsid w:val="00D63A3C"/>
    <w:rsid w:val="00D70A41"/>
    <w:rsid w:val="00D7259E"/>
    <w:rsid w:val="00D80591"/>
    <w:rsid w:val="00D8450C"/>
    <w:rsid w:val="00D90784"/>
    <w:rsid w:val="00D95780"/>
    <w:rsid w:val="00D95B9B"/>
    <w:rsid w:val="00DA135E"/>
    <w:rsid w:val="00DA2063"/>
    <w:rsid w:val="00DA566C"/>
    <w:rsid w:val="00DA5F0C"/>
    <w:rsid w:val="00DB1020"/>
    <w:rsid w:val="00DC03C6"/>
    <w:rsid w:val="00DC7F1E"/>
    <w:rsid w:val="00DE5C62"/>
    <w:rsid w:val="00DE6FAF"/>
    <w:rsid w:val="00DE7060"/>
    <w:rsid w:val="00DF7EBE"/>
    <w:rsid w:val="00E0662B"/>
    <w:rsid w:val="00E17975"/>
    <w:rsid w:val="00E33687"/>
    <w:rsid w:val="00E33FAF"/>
    <w:rsid w:val="00E37D3B"/>
    <w:rsid w:val="00E41E26"/>
    <w:rsid w:val="00E41EC2"/>
    <w:rsid w:val="00E47F60"/>
    <w:rsid w:val="00E57175"/>
    <w:rsid w:val="00E60609"/>
    <w:rsid w:val="00E60701"/>
    <w:rsid w:val="00E6094F"/>
    <w:rsid w:val="00E60A7D"/>
    <w:rsid w:val="00E65573"/>
    <w:rsid w:val="00E6730A"/>
    <w:rsid w:val="00E7156C"/>
    <w:rsid w:val="00E73F15"/>
    <w:rsid w:val="00E832D7"/>
    <w:rsid w:val="00E91058"/>
    <w:rsid w:val="00E94051"/>
    <w:rsid w:val="00EA0289"/>
    <w:rsid w:val="00EA6683"/>
    <w:rsid w:val="00EB1E0F"/>
    <w:rsid w:val="00EB38B7"/>
    <w:rsid w:val="00EB7D1A"/>
    <w:rsid w:val="00EC2430"/>
    <w:rsid w:val="00ED1B37"/>
    <w:rsid w:val="00ED2A27"/>
    <w:rsid w:val="00EE0233"/>
    <w:rsid w:val="00EE6F05"/>
    <w:rsid w:val="00EF1600"/>
    <w:rsid w:val="00EF1BA6"/>
    <w:rsid w:val="00EF6265"/>
    <w:rsid w:val="00F0181F"/>
    <w:rsid w:val="00F0638E"/>
    <w:rsid w:val="00F101EC"/>
    <w:rsid w:val="00F11827"/>
    <w:rsid w:val="00F144D0"/>
    <w:rsid w:val="00F1547D"/>
    <w:rsid w:val="00F17A77"/>
    <w:rsid w:val="00F17FF6"/>
    <w:rsid w:val="00F20183"/>
    <w:rsid w:val="00F2051A"/>
    <w:rsid w:val="00F20C7E"/>
    <w:rsid w:val="00F2298E"/>
    <w:rsid w:val="00F2504D"/>
    <w:rsid w:val="00F36181"/>
    <w:rsid w:val="00F36982"/>
    <w:rsid w:val="00F376E6"/>
    <w:rsid w:val="00F4763F"/>
    <w:rsid w:val="00F52B26"/>
    <w:rsid w:val="00F6247D"/>
    <w:rsid w:val="00F641B8"/>
    <w:rsid w:val="00F703D6"/>
    <w:rsid w:val="00F715EA"/>
    <w:rsid w:val="00F75C41"/>
    <w:rsid w:val="00F803EE"/>
    <w:rsid w:val="00F8096D"/>
    <w:rsid w:val="00F81AC9"/>
    <w:rsid w:val="00F82DBF"/>
    <w:rsid w:val="00F846DC"/>
    <w:rsid w:val="00F8475B"/>
    <w:rsid w:val="00F854C0"/>
    <w:rsid w:val="00F85593"/>
    <w:rsid w:val="00F85687"/>
    <w:rsid w:val="00F95640"/>
    <w:rsid w:val="00F95E50"/>
    <w:rsid w:val="00F96293"/>
    <w:rsid w:val="00FA1B9F"/>
    <w:rsid w:val="00FB137B"/>
    <w:rsid w:val="00FB1D58"/>
    <w:rsid w:val="00FB3623"/>
    <w:rsid w:val="00FB3D00"/>
    <w:rsid w:val="00FB4B82"/>
    <w:rsid w:val="00FB589E"/>
    <w:rsid w:val="00FC1200"/>
    <w:rsid w:val="00FC3FBA"/>
    <w:rsid w:val="00FC4675"/>
    <w:rsid w:val="00FC5864"/>
    <w:rsid w:val="00FD0C3A"/>
    <w:rsid w:val="00FD3CCB"/>
    <w:rsid w:val="00FD5357"/>
    <w:rsid w:val="00FD70E2"/>
    <w:rsid w:val="00FE0163"/>
    <w:rsid w:val="00FE0ABD"/>
    <w:rsid w:val="00FE68D6"/>
    <w:rsid w:val="00FE699F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A8588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45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451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451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5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EC1D1-A8C7-CB4B-BDF6-2E2A46FC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Shirley LAW</cp:lastModifiedBy>
  <cp:revision>8</cp:revision>
  <cp:lastPrinted>2025-10-31T10:48:00Z</cp:lastPrinted>
  <dcterms:created xsi:type="dcterms:W3CDTF">2025-10-16T05:47:00Z</dcterms:created>
  <dcterms:modified xsi:type="dcterms:W3CDTF">2025-11-11T13:43:00Z</dcterms:modified>
</cp:coreProperties>
</file>