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067" w:type="dxa"/>
        <w:tblLook w:val="04A0" w:firstRow="1" w:lastRow="0" w:firstColumn="1" w:lastColumn="0" w:noHBand="0" w:noVBand="1"/>
      </w:tblPr>
      <w:tblGrid>
        <w:gridCol w:w="7225"/>
        <w:gridCol w:w="1842"/>
      </w:tblGrid>
      <w:tr w:rsidR="00EC22CC" w:rsidRPr="00F7050A" w14:paraId="51109D41" w14:textId="77777777" w:rsidTr="00462F07">
        <w:tc>
          <w:tcPr>
            <w:tcW w:w="9067" w:type="dxa"/>
            <w:gridSpan w:val="2"/>
          </w:tcPr>
          <w:p w14:paraId="6FC76F95" w14:textId="3F8A5F0B" w:rsidR="00EC22CC" w:rsidRPr="00890675" w:rsidRDefault="00283EED" w:rsidP="00854EEA">
            <w:pPr>
              <w:jc w:val="center"/>
              <w:rPr>
                <w:rFonts w:ascii="Verdana" w:hAnsi="Verdana"/>
                <w:b/>
                <w:bCs/>
                <w:sz w:val="20"/>
                <w:szCs w:val="20"/>
              </w:rPr>
            </w:pPr>
            <w:r w:rsidRPr="006E41C2">
              <w:rPr>
                <w:rFonts w:ascii="Verdana" w:eastAsia="Times New Roman" w:hAnsi="Verdana"/>
                <w:b/>
                <w:bCs/>
                <w:sz w:val="20"/>
                <w:szCs w:val="20"/>
              </w:rPr>
              <w:t>Inéligibilités</w:t>
            </w:r>
          </w:p>
        </w:tc>
      </w:tr>
      <w:tr w:rsidR="001D531C" w:rsidRPr="00F7050A" w14:paraId="7F1B63D2" w14:textId="77777777" w:rsidTr="00462F07">
        <w:tc>
          <w:tcPr>
            <w:tcW w:w="7225" w:type="dxa"/>
          </w:tcPr>
          <w:p w14:paraId="056D9B10" w14:textId="76E32B9A" w:rsidR="001D531C" w:rsidRPr="00890675" w:rsidRDefault="001D531C" w:rsidP="001D531C">
            <w:pPr>
              <w:rPr>
                <w:rFonts w:ascii="Verdana" w:hAnsi="Verdana"/>
                <w:sz w:val="20"/>
                <w:szCs w:val="20"/>
              </w:rPr>
            </w:pPr>
            <w:r w:rsidRPr="006E41C2">
              <w:rPr>
                <w:rFonts w:ascii="Verdana" w:hAnsi="Verdana"/>
                <w:sz w:val="20"/>
                <w:szCs w:val="20"/>
              </w:rPr>
              <w:t>Comité des OPL n°0</w:t>
            </w:r>
            <w:r w:rsidR="00406B0B">
              <w:rPr>
                <w:rFonts w:ascii="Verdana" w:hAnsi="Verdana"/>
                <w:sz w:val="20"/>
                <w:szCs w:val="20"/>
              </w:rPr>
              <w:t>2</w:t>
            </w:r>
            <w:r w:rsidRPr="006E41C2">
              <w:rPr>
                <w:rFonts w:ascii="Verdana" w:hAnsi="Verdana"/>
                <w:sz w:val="20"/>
                <w:szCs w:val="20"/>
              </w:rPr>
              <w:t>/2</w:t>
            </w:r>
            <w:r w:rsidR="00A4557F">
              <w:rPr>
                <w:rFonts w:ascii="Verdana" w:hAnsi="Verdana"/>
                <w:sz w:val="20"/>
                <w:szCs w:val="20"/>
              </w:rPr>
              <w:t>5</w:t>
            </w:r>
            <w:r w:rsidRPr="006E41C2">
              <w:rPr>
                <w:rFonts w:ascii="Verdana" w:hAnsi="Verdana"/>
                <w:sz w:val="20"/>
                <w:szCs w:val="20"/>
              </w:rPr>
              <w:t xml:space="preserve"> | </w:t>
            </w:r>
            <w:r w:rsidR="00406B0B">
              <w:rPr>
                <w:rFonts w:ascii="Verdana" w:hAnsi="Verdana"/>
                <w:sz w:val="20"/>
                <w:szCs w:val="20"/>
              </w:rPr>
              <w:t>13 – 15 novembre</w:t>
            </w:r>
            <w:r w:rsidR="00A4557F">
              <w:rPr>
                <w:rFonts w:ascii="Verdana" w:hAnsi="Verdana"/>
                <w:sz w:val="20"/>
                <w:szCs w:val="20"/>
              </w:rPr>
              <w:t xml:space="preserve"> 2025</w:t>
            </w:r>
          </w:p>
        </w:tc>
        <w:tc>
          <w:tcPr>
            <w:tcW w:w="1842" w:type="dxa"/>
          </w:tcPr>
          <w:p w14:paraId="58E25D1F" w14:textId="7113BAC5" w:rsidR="001D531C" w:rsidRPr="00890675" w:rsidRDefault="001D531C" w:rsidP="001D531C">
            <w:pPr>
              <w:jc w:val="center"/>
              <w:rPr>
                <w:rFonts w:ascii="Verdana" w:hAnsi="Verdana"/>
                <w:sz w:val="20"/>
                <w:szCs w:val="20"/>
              </w:rPr>
            </w:pPr>
            <w:r w:rsidRPr="00890675">
              <w:rPr>
                <w:rFonts w:ascii="Verdana" w:hAnsi="Verdana"/>
                <w:sz w:val="20"/>
                <w:szCs w:val="20"/>
              </w:rPr>
              <w:t xml:space="preserve">Point </w:t>
            </w:r>
            <w:r w:rsidR="00050526">
              <w:rPr>
                <w:rFonts w:ascii="Verdana" w:hAnsi="Verdana"/>
                <w:sz w:val="20"/>
                <w:szCs w:val="20"/>
              </w:rPr>
              <w:t>3.</w:t>
            </w:r>
            <w:r w:rsidR="00A05615">
              <w:rPr>
                <w:rFonts w:ascii="Verdana" w:hAnsi="Verdana"/>
                <w:sz w:val="20"/>
                <w:szCs w:val="20"/>
              </w:rPr>
              <w:t>7</w:t>
            </w:r>
          </w:p>
        </w:tc>
      </w:tr>
      <w:tr w:rsidR="001D531C" w:rsidRPr="00F7050A" w14:paraId="537D1DE5" w14:textId="77777777" w:rsidTr="00462F07">
        <w:tc>
          <w:tcPr>
            <w:tcW w:w="7225" w:type="dxa"/>
          </w:tcPr>
          <w:p w14:paraId="43DEF09E" w14:textId="1CF76C24" w:rsidR="001D531C" w:rsidRPr="00890675" w:rsidRDefault="001D531C" w:rsidP="001D531C">
            <w:pPr>
              <w:rPr>
                <w:rFonts w:ascii="Verdana" w:hAnsi="Verdana"/>
                <w:sz w:val="20"/>
                <w:szCs w:val="20"/>
              </w:rPr>
            </w:pPr>
            <w:r w:rsidRPr="006E41C2">
              <w:rPr>
                <w:rFonts w:ascii="Verdana" w:hAnsi="Verdana"/>
                <w:i/>
                <w:iCs/>
                <w:sz w:val="20"/>
                <w:szCs w:val="20"/>
              </w:rPr>
              <w:t>Dossier suivi par :</w:t>
            </w:r>
            <w:r w:rsidRPr="006E41C2">
              <w:rPr>
                <w:rFonts w:ascii="Verdana" w:hAnsi="Verdana"/>
                <w:sz w:val="20"/>
                <w:szCs w:val="20"/>
              </w:rPr>
              <w:t xml:space="preserve"> </w:t>
            </w:r>
            <w:r w:rsidR="00283EED" w:rsidRPr="006E41C2">
              <w:rPr>
                <w:rFonts w:ascii="Verdana" w:hAnsi="Verdana"/>
                <w:sz w:val="20"/>
                <w:szCs w:val="20"/>
              </w:rPr>
              <w:t xml:space="preserve">Vicky Cushmajee, chef </w:t>
            </w:r>
            <w:r w:rsidR="006E41C2" w:rsidRPr="006E41C2">
              <w:rPr>
                <w:rFonts w:ascii="Verdana" w:hAnsi="Verdana"/>
                <w:sz w:val="20"/>
                <w:szCs w:val="20"/>
              </w:rPr>
              <w:t>d</w:t>
            </w:r>
            <w:r w:rsidR="006E41C2">
              <w:rPr>
                <w:rFonts w:ascii="Verdana" w:hAnsi="Verdana"/>
                <w:sz w:val="20"/>
                <w:szCs w:val="20"/>
              </w:rPr>
              <w:t>u</w:t>
            </w:r>
            <w:r w:rsidR="006E41C2" w:rsidRPr="006E41C2">
              <w:rPr>
                <w:rFonts w:ascii="Verdana" w:hAnsi="Verdana"/>
                <w:sz w:val="20"/>
                <w:szCs w:val="20"/>
              </w:rPr>
              <w:t xml:space="preserve"> </w:t>
            </w:r>
            <w:r w:rsidR="006E41C2">
              <w:rPr>
                <w:rFonts w:ascii="Verdana" w:hAnsi="Verdana"/>
                <w:sz w:val="20"/>
                <w:szCs w:val="20"/>
              </w:rPr>
              <w:t>S</w:t>
            </w:r>
            <w:r w:rsidR="006E41C2" w:rsidRPr="006E41C2">
              <w:rPr>
                <w:rFonts w:ascii="Verdana" w:hAnsi="Verdana"/>
                <w:sz w:val="20"/>
                <w:szCs w:val="20"/>
              </w:rPr>
              <w:t xml:space="preserve">ervice </w:t>
            </w:r>
            <w:r w:rsidR="00283EED" w:rsidRPr="006E41C2">
              <w:rPr>
                <w:rFonts w:ascii="Verdana" w:hAnsi="Verdana"/>
                <w:sz w:val="20"/>
                <w:szCs w:val="20"/>
              </w:rPr>
              <w:t>budget</w:t>
            </w:r>
            <w:r w:rsidR="006E41C2">
              <w:rPr>
                <w:rFonts w:ascii="Verdana" w:hAnsi="Verdana"/>
                <w:sz w:val="20"/>
                <w:szCs w:val="20"/>
              </w:rPr>
              <w:t xml:space="preserve"> et </w:t>
            </w:r>
            <w:r w:rsidR="00283EED" w:rsidRPr="006E41C2">
              <w:rPr>
                <w:rFonts w:ascii="Verdana" w:hAnsi="Verdana"/>
                <w:sz w:val="20"/>
                <w:szCs w:val="20"/>
              </w:rPr>
              <w:t>finance</w:t>
            </w:r>
          </w:p>
        </w:tc>
        <w:tc>
          <w:tcPr>
            <w:tcW w:w="1842" w:type="dxa"/>
          </w:tcPr>
          <w:p w14:paraId="5AC1AFAB" w14:textId="219CCEC0" w:rsidR="001D531C" w:rsidRPr="00890675" w:rsidRDefault="005676D6" w:rsidP="001D531C">
            <w:pPr>
              <w:jc w:val="center"/>
              <w:rPr>
                <w:rFonts w:ascii="Verdana" w:hAnsi="Verdana"/>
                <w:sz w:val="20"/>
                <w:szCs w:val="20"/>
              </w:rPr>
            </w:pPr>
            <w:r w:rsidRPr="00890675">
              <w:rPr>
                <w:rFonts w:ascii="Verdana" w:hAnsi="Verdana"/>
                <w:sz w:val="20"/>
                <w:szCs w:val="20"/>
              </w:rPr>
              <w:t>Décision</w:t>
            </w:r>
          </w:p>
        </w:tc>
      </w:tr>
      <w:tr w:rsidR="001D531C" w:rsidRPr="00F7050A" w14:paraId="6896DB30" w14:textId="77777777" w:rsidTr="00462F07">
        <w:tc>
          <w:tcPr>
            <w:tcW w:w="9067" w:type="dxa"/>
            <w:gridSpan w:val="2"/>
          </w:tcPr>
          <w:p w14:paraId="0495241B" w14:textId="4E6801BB" w:rsidR="001D531C" w:rsidRPr="00890675" w:rsidRDefault="001D531C" w:rsidP="001D531C">
            <w:pPr>
              <w:rPr>
                <w:rFonts w:ascii="Verdana" w:hAnsi="Verdana"/>
                <w:sz w:val="20"/>
                <w:szCs w:val="20"/>
              </w:rPr>
            </w:pPr>
            <w:r w:rsidRPr="00890675">
              <w:rPr>
                <w:rFonts w:ascii="Verdana" w:hAnsi="Verdana"/>
                <w:i/>
                <w:iCs/>
                <w:sz w:val="20"/>
                <w:szCs w:val="20"/>
              </w:rPr>
              <w:t xml:space="preserve">Version </w:t>
            </w:r>
            <w:r w:rsidR="00406B0B">
              <w:rPr>
                <w:rFonts w:ascii="Verdana" w:hAnsi="Verdana"/>
                <w:i/>
                <w:iCs/>
                <w:sz w:val="20"/>
                <w:szCs w:val="20"/>
              </w:rPr>
              <w:t>23 octobre</w:t>
            </w:r>
            <w:r w:rsidR="00A4557F">
              <w:rPr>
                <w:rFonts w:ascii="Verdana" w:hAnsi="Verdana"/>
                <w:i/>
                <w:iCs/>
                <w:sz w:val="20"/>
                <w:szCs w:val="20"/>
              </w:rPr>
              <w:t xml:space="preserve"> 2025</w:t>
            </w:r>
          </w:p>
        </w:tc>
      </w:tr>
    </w:tbl>
    <w:p w14:paraId="14706AD9" w14:textId="77777777" w:rsidR="00C91BD0" w:rsidRPr="00042846" w:rsidRDefault="00C91BD0" w:rsidP="00C91BD0">
      <w:pPr>
        <w:pStyle w:val="Titrepartie"/>
        <w:numPr>
          <w:ilvl w:val="0"/>
          <w:numId w:val="0"/>
        </w:numPr>
        <w:ind w:left="720"/>
        <w:rPr>
          <w:sz w:val="20"/>
        </w:rPr>
      </w:pPr>
      <w:bookmarkStart w:id="0" w:name="_Hlk24535240"/>
    </w:p>
    <w:bookmarkEnd w:id="0"/>
    <w:p w14:paraId="2C01B5D6" w14:textId="6D4ED1C5" w:rsidR="00495391" w:rsidRDefault="00495391" w:rsidP="00495391">
      <w:pPr>
        <w:pStyle w:val="Titrepartie"/>
      </w:pPr>
      <w:r>
        <w:t>Rappel</w:t>
      </w:r>
    </w:p>
    <w:p w14:paraId="3D13A0CE" w14:textId="1EB3FE3E" w:rsidR="00D142EE" w:rsidRDefault="00D142EE" w:rsidP="00890675">
      <w:pPr>
        <w:pStyle w:val="Corpsdetexte"/>
        <w:spacing w:before="102" w:after="120" w:line="276" w:lineRule="auto"/>
        <w:jc w:val="both"/>
      </w:pPr>
      <w:r>
        <w:t xml:space="preserve">Les inéligibilités sont constituées de dépenses effectuées sur les projets mis en œuvre par la COI sur des fonds alloués par l’Union européenne. Ce bailleur considère les dépenses comme exécutées en violation </w:t>
      </w:r>
      <w:r w:rsidR="006B2B3F">
        <w:t>des</w:t>
      </w:r>
      <w:r>
        <w:t xml:space="preserve"> règles contractuelles du contrat de financement ou le PRAG (</w:t>
      </w:r>
      <w:r w:rsidRPr="005732A8">
        <w:t>Guide pratique des procédures de passation de marchés et d'octroi de subventions pour les actions extérieures de l'Union européenne</w:t>
      </w:r>
      <w:r>
        <w:t>).</w:t>
      </w:r>
    </w:p>
    <w:p w14:paraId="2AAA318D" w14:textId="77777777" w:rsidR="004D4005" w:rsidRPr="004D4005" w:rsidRDefault="004D4005" w:rsidP="004D4005">
      <w:pPr>
        <w:pStyle w:val="Corpsdetexte"/>
        <w:spacing w:after="120" w:line="276" w:lineRule="auto"/>
        <w:jc w:val="both"/>
      </w:pPr>
      <w:r w:rsidRPr="004D4005">
        <w:t>À ce jour, des dettes issues de dépenses déclarées inéligibles sur d’anciens projets (depuis 2013), pour un montant total de </w:t>
      </w:r>
      <w:r w:rsidRPr="004D4005">
        <w:rPr>
          <w:b/>
          <w:bCs/>
        </w:rPr>
        <w:t>480 484 EUR</w:t>
      </w:r>
      <w:r w:rsidRPr="004D4005">
        <w:t> (cf. tableau détaillé en annexe), demeurent en partie compensées par des avances sur d’autres projets financés ultérieurement par l’UE. Cependant, le solde reste dû à la Commission européenne.</w:t>
      </w:r>
      <w:r w:rsidRPr="004D4005">
        <w:br/>
        <w:t>Près de la moitié de ce montant est déjà grevée d’intérêts de retard depuis le 8 septembre 2025, ce qui fragilise la situation financière et institutionnelle de la COI. Cette situation compromet non seulement l’image de l’organisation auprès de ses partenaires, mais également sa capacité opérationnelle à mettre en œuvre ses projets dans des conditions optimales.</w:t>
      </w:r>
    </w:p>
    <w:p w14:paraId="5E3BC417" w14:textId="77777777" w:rsidR="004D4005" w:rsidRPr="004D4005" w:rsidRDefault="004D4005" w:rsidP="004D4005">
      <w:pPr>
        <w:pStyle w:val="Corpsdetexte"/>
        <w:spacing w:after="120" w:line="276" w:lineRule="auto"/>
        <w:jc w:val="both"/>
      </w:pPr>
      <w:r w:rsidRPr="004D4005">
        <w:t>La COI ne disposant pas de ressources autonomes, son fonctionnement repose exclusivement sur les contributions de ses États membres. En outre, elle ne prélève aucun frais de gestion sur les projets financés par ses partenaires, y compris ceux de l’Union européenne. Cette contrainte structurelle limite ses marges de manœuvre pour apurer des dettes non prévues dans ses budgets statutaires.</w:t>
      </w:r>
    </w:p>
    <w:p w14:paraId="20391BF6" w14:textId="1856A475" w:rsidR="00406B0B" w:rsidRPr="00406B0B" w:rsidRDefault="004D4005" w:rsidP="00406B0B">
      <w:pPr>
        <w:pStyle w:val="Corpsdetexte"/>
        <w:spacing w:after="120" w:line="276" w:lineRule="auto"/>
        <w:jc w:val="both"/>
      </w:pPr>
      <w:r w:rsidRPr="004D4005">
        <w:t>Il convient de rappeler que les montants déclarés inéligibles ne résultent en aucun cas de malversations ou de mauvaise gestion, mais sont liés à des circonstances indépendantes de la volonté de la COI ou à des divergences d’interprétation technique.</w:t>
      </w:r>
      <w:r w:rsidRPr="004D4005">
        <w:br/>
        <w:t>Les principales causes identifiées sont les suivantes :</w:t>
      </w:r>
    </w:p>
    <w:p w14:paraId="49F27AD1" w14:textId="77777777" w:rsidR="00406B0B" w:rsidRPr="00406B0B" w:rsidRDefault="00406B0B" w:rsidP="00406B0B">
      <w:pPr>
        <w:pStyle w:val="Corpsdetexte"/>
        <w:numPr>
          <w:ilvl w:val="0"/>
          <w:numId w:val="41"/>
        </w:numPr>
        <w:spacing w:after="120" w:line="276" w:lineRule="auto"/>
      </w:pPr>
      <w:r w:rsidRPr="00406B0B">
        <w:rPr>
          <w:u w:val="single"/>
        </w:rPr>
        <w:t>Substitution de l’auditeur externe</w:t>
      </w:r>
      <w:r w:rsidRPr="00406B0B">
        <w:t> : certains rejets ont été décidés par les services de la DUE, au-delà des constats des auditeurs indépendants.</w:t>
      </w:r>
    </w:p>
    <w:p w14:paraId="765E8495" w14:textId="77777777" w:rsidR="00406B0B" w:rsidRPr="00406B0B" w:rsidRDefault="00406B0B" w:rsidP="00406B0B">
      <w:pPr>
        <w:pStyle w:val="Corpsdetexte"/>
        <w:numPr>
          <w:ilvl w:val="0"/>
          <w:numId w:val="41"/>
        </w:numPr>
        <w:spacing w:after="120" w:line="276" w:lineRule="auto"/>
      </w:pPr>
      <w:r w:rsidRPr="00406B0B">
        <w:rPr>
          <w:u w:val="single"/>
        </w:rPr>
        <w:t>Éléments justificatifs ignorés</w:t>
      </w:r>
      <w:r w:rsidRPr="00406B0B">
        <w:t> : les pièces et explications transmises par la COI sont restées au stade de « commentaires » dans les rapports d’audit, sans prise en compte effective.</w:t>
      </w:r>
    </w:p>
    <w:p w14:paraId="23112E1C" w14:textId="77777777" w:rsidR="00406B0B" w:rsidRPr="00406B0B" w:rsidRDefault="00406B0B" w:rsidP="00406B0B">
      <w:pPr>
        <w:pStyle w:val="Corpsdetexte"/>
        <w:numPr>
          <w:ilvl w:val="0"/>
          <w:numId w:val="41"/>
        </w:numPr>
        <w:spacing w:after="120" w:line="276" w:lineRule="auto"/>
      </w:pPr>
      <w:r w:rsidRPr="00406B0B">
        <w:rPr>
          <w:u w:val="single"/>
        </w:rPr>
        <w:t>Facteurs hors du contrôle de la COI</w:t>
      </w:r>
      <w:r w:rsidRPr="00406B0B">
        <w:t> : annulation de billets d’avion pour raisons médicales, impossibilité de recouvrer la TVA dans certains États, etc.</w:t>
      </w:r>
    </w:p>
    <w:p w14:paraId="6522A3E3" w14:textId="77777777" w:rsidR="00406B0B" w:rsidRDefault="00406B0B" w:rsidP="00406B0B">
      <w:pPr>
        <w:pStyle w:val="Corpsdetexte"/>
        <w:numPr>
          <w:ilvl w:val="0"/>
          <w:numId w:val="41"/>
        </w:numPr>
        <w:spacing w:after="120" w:line="276" w:lineRule="auto"/>
      </w:pPr>
      <w:r w:rsidRPr="00406B0B">
        <w:rPr>
          <w:u w:val="single"/>
        </w:rPr>
        <w:t>Changements imposés de modalités</w:t>
      </w:r>
      <w:r w:rsidRPr="00406B0B">
        <w:t> : application obligatoire de nouvelles modalités de per diem imposées par la DUE.</w:t>
      </w:r>
    </w:p>
    <w:p w14:paraId="1CEB69C2" w14:textId="4E765939" w:rsidR="00406B0B" w:rsidRDefault="00406B0B" w:rsidP="00406B0B">
      <w:pPr>
        <w:pStyle w:val="Corpsdetexte"/>
        <w:numPr>
          <w:ilvl w:val="0"/>
          <w:numId w:val="41"/>
        </w:numPr>
        <w:spacing w:after="120" w:line="276" w:lineRule="auto"/>
      </w:pPr>
      <w:r w:rsidRPr="00406B0B">
        <w:rPr>
          <w:u w:val="single"/>
        </w:rPr>
        <w:t>Interprétation technique discutable</w:t>
      </w:r>
      <w:r w:rsidRPr="00406B0B">
        <w:t> : certaines dépenses opérationnelles ont été déclarées inéligibles par des auditeurs dont ce n’était pas le champ d’expertise.</w:t>
      </w:r>
    </w:p>
    <w:p w14:paraId="10CEC1BE" w14:textId="63F62F4C" w:rsidR="00406B0B" w:rsidRPr="004D4005" w:rsidRDefault="00D01217" w:rsidP="004D4005">
      <w:pPr>
        <w:jc w:val="both"/>
        <w:rPr>
          <w:rFonts w:ascii="Verdana" w:hAnsi="Verdana"/>
          <w:sz w:val="20"/>
          <w:szCs w:val="20"/>
        </w:rPr>
      </w:pPr>
      <w:r w:rsidRPr="00D01217">
        <w:rPr>
          <w:rFonts w:ascii="Verdana" w:hAnsi="Verdana"/>
          <w:sz w:val="20"/>
          <w:szCs w:val="20"/>
        </w:rPr>
        <w:t>Lors de la 39e session du Conseil de la COI (15-16 avril 2025, Seychelles), les États membres ont unanimement demandé au Secrétariat général d’examiner les modalités et implications d’un éventuel recours auprès de l’Ombudsman européen concernant les nouvelles inéligibilités et ont mandaté la Présidence en exercice pour engager un dialogue politique avec l’UE en vue d’une solution globale.</w:t>
      </w:r>
    </w:p>
    <w:p w14:paraId="35026176" w14:textId="77777777" w:rsidR="00A73CC7" w:rsidRPr="00A73CC7" w:rsidRDefault="00A73CC7" w:rsidP="00D142EE">
      <w:pPr>
        <w:pStyle w:val="Corpsdetexte"/>
        <w:spacing w:before="186"/>
        <w:ind w:right="226"/>
        <w:jc w:val="both"/>
      </w:pPr>
    </w:p>
    <w:p w14:paraId="508C8E05" w14:textId="3DD5FD91" w:rsidR="00317B1F" w:rsidRDefault="00317B1F" w:rsidP="00890675">
      <w:pPr>
        <w:pStyle w:val="Titrepartie"/>
      </w:pPr>
      <w:r>
        <w:t>Perspectives</w:t>
      </w:r>
    </w:p>
    <w:p w14:paraId="0A78B5C5" w14:textId="77777777" w:rsidR="004D4005" w:rsidRPr="004D4005" w:rsidRDefault="004D4005" w:rsidP="004D4005">
      <w:pPr>
        <w:pStyle w:val="Corpsdetexte"/>
        <w:spacing w:before="186"/>
        <w:ind w:right="226"/>
        <w:jc w:val="both"/>
        <w:rPr>
          <w:color w:val="000000" w:themeColor="text1"/>
        </w:rPr>
      </w:pPr>
      <w:r w:rsidRPr="004D4005">
        <w:rPr>
          <w:color w:val="000000" w:themeColor="text1"/>
        </w:rPr>
        <w:t>S’agissant des anciennes inéligibilités, une approche de compensation avait été convenue entre la COI et la DUE, consistant à valoriser les contreparties en nature et financières apportées par la COI et ses États membres dans le cadre des projets financés par l’Union européenne. Cette méthode permettait de réduire progressivement le montant dû en intégrant ces contreparties dans les rapports financiers des projets en cours (notamment Ecofish, PSP, etc.).</w:t>
      </w:r>
    </w:p>
    <w:p w14:paraId="53E1EF8D" w14:textId="77777777" w:rsidR="004D4005" w:rsidRPr="004D4005" w:rsidRDefault="004D4005" w:rsidP="004D4005">
      <w:pPr>
        <w:pStyle w:val="Corpsdetexte"/>
        <w:spacing w:before="186"/>
        <w:ind w:right="226"/>
        <w:jc w:val="both"/>
        <w:rPr>
          <w:color w:val="000000" w:themeColor="text1"/>
        </w:rPr>
      </w:pPr>
      <w:r w:rsidRPr="004D4005">
        <w:rPr>
          <w:color w:val="000000" w:themeColor="text1"/>
        </w:rPr>
        <w:t>Cependant, la mise en œuvre de ce mécanisme demeure longue et complexe, et il est peu probable que l’ensemble des inéligibilités puisse être apuré à travers cette modalité avant la clôture des projets en cours.</w:t>
      </w:r>
    </w:p>
    <w:p w14:paraId="1DAFDBC7" w14:textId="77777777" w:rsidR="004D4005" w:rsidRPr="004D4005" w:rsidRDefault="004D4005" w:rsidP="004D4005">
      <w:pPr>
        <w:pStyle w:val="Corpsdetexte"/>
        <w:spacing w:before="186"/>
        <w:ind w:right="226"/>
        <w:jc w:val="both"/>
        <w:rPr>
          <w:color w:val="000000" w:themeColor="text1"/>
        </w:rPr>
      </w:pPr>
      <w:r w:rsidRPr="004D4005">
        <w:rPr>
          <w:color w:val="000000" w:themeColor="text1"/>
        </w:rPr>
        <w:t>Parallèlement, les nouvelles inéligibilités, dont la COI conteste formellement certaines conclusions conformément au rapport du CAR, continuent de générer des intérêts de retard, aggravant ainsi la charge financière.</w:t>
      </w:r>
    </w:p>
    <w:p w14:paraId="63022502" w14:textId="77777777" w:rsidR="005B2AF7" w:rsidRDefault="005B2AF7" w:rsidP="004D4005">
      <w:pPr>
        <w:pStyle w:val="Corpsdetexte"/>
        <w:spacing w:before="186"/>
        <w:ind w:right="226"/>
        <w:jc w:val="both"/>
        <w:rPr>
          <w:color w:val="000000" w:themeColor="text1"/>
        </w:rPr>
      </w:pPr>
      <w:r w:rsidRPr="005B2AF7">
        <w:rPr>
          <w:color w:val="000000" w:themeColor="text1"/>
        </w:rPr>
        <w:t>Cette situation, si elle devait perdurer, risquerait de porter atteinte à la réputation de la COI, notamment auprès des instances d’accréditation internationales, telles que le Fonds vert pour le climat, auprès duquel la COI est déjà accréditée. Elle pourrait également affaiblir les efforts constants de l’organisation en matière de modernisation institutionnelle et de conformité aux neuf piliers de l’Union européenne. Enfin, elle limite la capacité de la COI à mobiliser de nouveaux financements, alors même que celle-ci investit considérablement dans le renforcement de sa gouvernance, de ses contrôles internes et de ses mécanismes de redevabilité.</w:t>
      </w:r>
    </w:p>
    <w:p w14:paraId="5244D96D" w14:textId="5C5FD1D8" w:rsidR="004D4005" w:rsidRPr="004D4005" w:rsidRDefault="004D4005" w:rsidP="004D4005">
      <w:pPr>
        <w:pStyle w:val="Corpsdetexte"/>
        <w:spacing w:before="186"/>
        <w:ind w:right="226"/>
        <w:jc w:val="both"/>
        <w:rPr>
          <w:b/>
          <w:bCs/>
          <w:color w:val="000000" w:themeColor="text1"/>
        </w:rPr>
      </w:pPr>
      <w:r w:rsidRPr="004D4005">
        <w:rPr>
          <w:b/>
          <w:bCs/>
          <w:color w:val="000000" w:themeColor="text1"/>
        </w:rPr>
        <w:t>Dans ce contexte, il apparaît opportun et justifié d’engager un plaidoyer concerté auprès de l’Union européenne pour la radiation complète et définitive de ces dettes, y compris des intérêts de retard, en considérant les efforts soutenus de la COI pour renforcer sa conformité, sa transparence et sa performance institutionnelle.</w:t>
      </w:r>
    </w:p>
    <w:p w14:paraId="36561705" w14:textId="77777777" w:rsidR="004D4005" w:rsidRPr="004D4005" w:rsidRDefault="004D4005" w:rsidP="004D4005">
      <w:pPr>
        <w:pStyle w:val="Corpsdetexte"/>
        <w:spacing w:before="186"/>
        <w:ind w:right="226"/>
        <w:jc w:val="both"/>
        <w:rPr>
          <w:color w:val="000000" w:themeColor="text1"/>
        </w:rPr>
      </w:pPr>
      <w:r w:rsidRPr="004D4005">
        <w:rPr>
          <w:color w:val="000000" w:themeColor="text1"/>
        </w:rPr>
        <w:t>En parallèle, la COI demeure pleinement déterminée à poursuivre son processus de modernisation et à maintenir les standards internationaux de bonne gouvernance, de transparence et de redevabilité, notamment à travers les réformes mises en œuvre dans le cadre du projet Horizon 2030.</w:t>
      </w:r>
    </w:p>
    <w:p w14:paraId="324DC91C" w14:textId="77777777" w:rsidR="00D142EE" w:rsidRPr="007F70A5" w:rsidRDefault="00D142EE" w:rsidP="00D142EE">
      <w:pPr>
        <w:pStyle w:val="Corpsdetexte"/>
        <w:spacing w:before="186"/>
        <w:ind w:right="226"/>
        <w:jc w:val="both"/>
        <w:rPr>
          <w:color w:val="000000" w:themeColor="text1"/>
        </w:rPr>
      </w:pPr>
    </w:p>
    <w:p w14:paraId="6D28FAC1" w14:textId="77777777" w:rsidR="00D142EE" w:rsidRPr="00990EBD" w:rsidRDefault="00D142EE" w:rsidP="00D110E6">
      <w:pPr>
        <w:pStyle w:val="Titrepartie"/>
      </w:pPr>
      <w:r w:rsidRPr="00990EBD">
        <w:t>Proposition de décision au COPL :</w:t>
      </w:r>
    </w:p>
    <w:p w14:paraId="5526243F" w14:textId="68A13887" w:rsidR="00F75D34" w:rsidRDefault="00D110E6" w:rsidP="00890675">
      <w:pPr>
        <w:pStyle w:val="Corpsdetexte"/>
        <w:spacing w:after="120" w:line="276" w:lineRule="auto"/>
      </w:pPr>
      <w:r>
        <w:t>Le Comité des OPL</w:t>
      </w:r>
      <w:r w:rsidR="00F75D34">
        <w:t> :</w:t>
      </w:r>
    </w:p>
    <w:p w14:paraId="39F9C36C" w14:textId="3DCAEB77" w:rsidR="004D4005" w:rsidRPr="004D4005" w:rsidRDefault="004D4005" w:rsidP="004D4005">
      <w:pPr>
        <w:pStyle w:val="Corpsdetexte"/>
        <w:numPr>
          <w:ilvl w:val="1"/>
          <w:numId w:val="41"/>
        </w:numPr>
        <w:jc w:val="both"/>
      </w:pPr>
      <w:r w:rsidRPr="004D4005">
        <w:t>Prend note de la situation des inéligibilités, s’élevant à ce jour à un montant de 480 484 EUR, hors intérêts de retard ;</w:t>
      </w:r>
    </w:p>
    <w:p w14:paraId="62D7AE45" w14:textId="7A2D5FA5" w:rsidR="00854CDC" w:rsidRPr="004D4005" w:rsidRDefault="004D4005" w:rsidP="004D4005">
      <w:pPr>
        <w:pStyle w:val="Corpsdetexte"/>
        <w:numPr>
          <w:ilvl w:val="1"/>
          <w:numId w:val="41"/>
        </w:numPr>
        <w:jc w:val="both"/>
      </w:pPr>
      <w:r w:rsidRPr="004D4005">
        <w:t>Demande au Secrétariat général, avec l’appui de la Présidence en exercice, d’engager sans délai un plaidoyer auprès de l’Union européenne à Bruxelles en vue de la radiation complète des inéligibilités, y compris des intérêts de retard, et de proposer un cadre de dialogue durable sur la gestion des inéligibilités futures.</w:t>
      </w:r>
    </w:p>
    <w:sectPr w:rsidR="00854CDC" w:rsidRPr="004D4005" w:rsidSect="0098532D">
      <w:headerReference w:type="default" r:id="rId11"/>
      <w:footerReference w:type="default" r:id="rId12"/>
      <w:pgSz w:w="11906" w:h="16838"/>
      <w:pgMar w:top="1702"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5450" w14:textId="77777777" w:rsidR="00204565" w:rsidRDefault="00204565">
      <w:pPr>
        <w:spacing w:after="0" w:line="240" w:lineRule="auto"/>
      </w:pPr>
      <w:r>
        <w:separator/>
      </w:r>
    </w:p>
  </w:endnote>
  <w:endnote w:type="continuationSeparator" w:id="0">
    <w:p w14:paraId="607CC374" w14:textId="77777777" w:rsidR="00204565" w:rsidRDefault="0020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E790" w14:textId="77777777" w:rsidR="00204565" w:rsidRDefault="00204565">
      <w:pPr>
        <w:spacing w:after="0" w:line="240" w:lineRule="auto"/>
      </w:pPr>
      <w:r>
        <w:separator/>
      </w:r>
    </w:p>
  </w:footnote>
  <w:footnote w:type="continuationSeparator" w:id="0">
    <w:p w14:paraId="5B87BFBA" w14:textId="77777777" w:rsidR="00204565" w:rsidRDefault="00204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6B76621F"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408175912" name="Image 40817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283EED">
      <w:rPr>
        <w:rFonts w:ascii="Verdana" w:hAnsi="Verdana"/>
        <w:b/>
        <w:bCs/>
        <w:sz w:val="20"/>
        <w:szCs w:val="20"/>
      </w:rPr>
      <w:t>3</w:t>
    </w:r>
    <w:r w:rsidR="003D21F8">
      <w:rPr>
        <w:rFonts w:ascii="Verdana" w:hAnsi="Verdana"/>
        <w:b/>
        <w:bCs/>
        <w:sz w:val="20"/>
        <w:szCs w:val="20"/>
      </w:rPr>
      <w:t>.</w:t>
    </w:r>
    <w:r w:rsidR="00A05615">
      <w:rPr>
        <w:rFonts w:ascii="Verdana" w:hAnsi="Verdana"/>
        <w:b/>
        <w:bCs/>
        <w:sz w:val="20"/>
        <w:szCs w:val="20"/>
      </w:rPr>
      <w:t>7</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05C"/>
    <w:multiLevelType w:val="hybridMultilevel"/>
    <w:tmpl w:val="EC5E75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DB7954"/>
    <w:multiLevelType w:val="hybridMultilevel"/>
    <w:tmpl w:val="CAE660F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9203E52"/>
    <w:multiLevelType w:val="hybridMultilevel"/>
    <w:tmpl w:val="FB78C744"/>
    <w:lvl w:ilvl="0" w:tplc="01AC911E">
      <w:numFmt w:val="bullet"/>
      <w:lvlText w:val="-"/>
      <w:lvlJc w:val="left"/>
      <w:pPr>
        <w:ind w:left="865" w:hanging="360"/>
      </w:pPr>
      <w:rPr>
        <w:rFonts w:ascii="Verdana" w:eastAsia="Verdana" w:hAnsi="Verdana" w:cs="Verdana" w:hint="default"/>
        <w:w w:val="100"/>
        <w:sz w:val="20"/>
        <w:szCs w:val="20"/>
        <w:lang w:val="fr-FR" w:eastAsia="en-US" w:bidi="ar-SA"/>
      </w:rPr>
    </w:lvl>
    <w:lvl w:ilvl="1" w:tplc="D61A398C">
      <w:numFmt w:val="bullet"/>
      <w:lvlText w:val="•"/>
      <w:lvlJc w:val="left"/>
      <w:pPr>
        <w:ind w:left="1754" w:hanging="360"/>
      </w:pPr>
      <w:rPr>
        <w:rFonts w:hint="default"/>
        <w:lang w:val="fr-FR" w:eastAsia="en-US" w:bidi="ar-SA"/>
      </w:rPr>
    </w:lvl>
    <w:lvl w:ilvl="2" w:tplc="F7BA3E9A">
      <w:numFmt w:val="bullet"/>
      <w:lvlText w:val="•"/>
      <w:lvlJc w:val="left"/>
      <w:pPr>
        <w:ind w:left="2649" w:hanging="360"/>
      </w:pPr>
      <w:rPr>
        <w:rFonts w:hint="default"/>
        <w:lang w:val="fr-FR" w:eastAsia="en-US" w:bidi="ar-SA"/>
      </w:rPr>
    </w:lvl>
    <w:lvl w:ilvl="3" w:tplc="1AF6C490">
      <w:numFmt w:val="bullet"/>
      <w:lvlText w:val="•"/>
      <w:lvlJc w:val="left"/>
      <w:pPr>
        <w:ind w:left="3543" w:hanging="360"/>
      </w:pPr>
      <w:rPr>
        <w:rFonts w:hint="default"/>
        <w:lang w:val="fr-FR" w:eastAsia="en-US" w:bidi="ar-SA"/>
      </w:rPr>
    </w:lvl>
    <w:lvl w:ilvl="4" w:tplc="54ACB328">
      <w:numFmt w:val="bullet"/>
      <w:lvlText w:val="•"/>
      <w:lvlJc w:val="left"/>
      <w:pPr>
        <w:ind w:left="4438" w:hanging="360"/>
      </w:pPr>
      <w:rPr>
        <w:rFonts w:hint="default"/>
        <w:lang w:val="fr-FR" w:eastAsia="en-US" w:bidi="ar-SA"/>
      </w:rPr>
    </w:lvl>
    <w:lvl w:ilvl="5" w:tplc="892E4958">
      <w:numFmt w:val="bullet"/>
      <w:lvlText w:val="•"/>
      <w:lvlJc w:val="left"/>
      <w:pPr>
        <w:ind w:left="5332" w:hanging="360"/>
      </w:pPr>
      <w:rPr>
        <w:rFonts w:hint="default"/>
        <w:lang w:val="fr-FR" w:eastAsia="en-US" w:bidi="ar-SA"/>
      </w:rPr>
    </w:lvl>
    <w:lvl w:ilvl="6" w:tplc="3880F63A">
      <w:numFmt w:val="bullet"/>
      <w:lvlText w:val="•"/>
      <w:lvlJc w:val="left"/>
      <w:pPr>
        <w:ind w:left="6227" w:hanging="360"/>
      </w:pPr>
      <w:rPr>
        <w:rFonts w:hint="default"/>
        <w:lang w:val="fr-FR" w:eastAsia="en-US" w:bidi="ar-SA"/>
      </w:rPr>
    </w:lvl>
    <w:lvl w:ilvl="7" w:tplc="C9A66D34">
      <w:numFmt w:val="bullet"/>
      <w:lvlText w:val="•"/>
      <w:lvlJc w:val="left"/>
      <w:pPr>
        <w:ind w:left="7121" w:hanging="360"/>
      </w:pPr>
      <w:rPr>
        <w:rFonts w:hint="default"/>
        <w:lang w:val="fr-FR" w:eastAsia="en-US" w:bidi="ar-SA"/>
      </w:rPr>
    </w:lvl>
    <w:lvl w:ilvl="8" w:tplc="C5C0FCA8">
      <w:numFmt w:val="bullet"/>
      <w:lvlText w:val="•"/>
      <w:lvlJc w:val="left"/>
      <w:pPr>
        <w:ind w:left="8016" w:hanging="360"/>
      </w:pPr>
      <w:rPr>
        <w:rFonts w:hint="default"/>
        <w:lang w:val="fr-FR" w:eastAsia="en-US" w:bidi="ar-SA"/>
      </w:rPr>
    </w:lvl>
  </w:abstractNum>
  <w:abstractNum w:abstractNumId="3"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7220C632"/>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2C417A6"/>
    <w:multiLevelType w:val="hybridMultilevel"/>
    <w:tmpl w:val="EFB6B21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4A0088"/>
    <w:multiLevelType w:val="hybridMultilevel"/>
    <w:tmpl w:val="43B4C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A3921FE"/>
    <w:multiLevelType w:val="hybridMultilevel"/>
    <w:tmpl w:val="A8B0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6B5661"/>
    <w:multiLevelType w:val="hybridMultilevel"/>
    <w:tmpl w:val="990A7A9C"/>
    <w:lvl w:ilvl="0" w:tplc="5FBE917A">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203286"/>
    <w:multiLevelType w:val="multilevel"/>
    <w:tmpl w:val="F3F482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4821A33"/>
    <w:multiLevelType w:val="hybridMultilevel"/>
    <w:tmpl w:val="F5AC4774"/>
    <w:lvl w:ilvl="0" w:tplc="AB6E33E2">
      <w:start w:val="2"/>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8991359"/>
    <w:multiLevelType w:val="hybridMultilevel"/>
    <w:tmpl w:val="51CE9E3A"/>
    <w:lvl w:ilvl="0" w:tplc="F204165E">
      <w:start w:val="2"/>
      <w:numFmt w:val="bullet"/>
      <w:lvlText w:val="-"/>
      <w:lvlJc w:val="left"/>
      <w:pPr>
        <w:ind w:left="720" w:hanging="360"/>
      </w:pPr>
      <w:rPr>
        <w:rFonts w:ascii="Roboto" w:eastAsiaTheme="minorHAnsi" w:hAnsi="Roboto"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F4C055C"/>
    <w:multiLevelType w:val="hybridMultilevel"/>
    <w:tmpl w:val="D2DAB0A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D62BF2"/>
    <w:multiLevelType w:val="hybridMultilevel"/>
    <w:tmpl w:val="AB324806"/>
    <w:lvl w:ilvl="0" w:tplc="83E21338">
      <w:start w:val="3"/>
      <w:numFmt w:val="bullet"/>
      <w:lvlText w:val="-"/>
      <w:lvlJc w:val="left"/>
      <w:pPr>
        <w:ind w:left="1080" w:hanging="360"/>
      </w:pPr>
      <w:rPr>
        <w:rFonts w:ascii="Roboto" w:eastAsiaTheme="minorHAnsi" w:hAnsi="Roboto"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503D071A"/>
    <w:multiLevelType w:val="hybridMultilevel"/>
    <w:tmpl w:val="65CE1FF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32C12EF"/>
    <w:multiLevelType w:val="hybridMultilevel"/>
    <w:tmpl w:val="D39A67A4"/>
    <w:lvl w:ilvl="0" w:tplc="FE825510">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466147F"/>
    <w:multiLevelType w:val="multilevel"/>
    <w:tmpl w:val="0F2C8A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B413A4"/>
    <w:multiLevelType w:val="hybridMultilevel"/>
    <w:tmpl w:val="06BA5266"/>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466539"/>
    <w:multiLevelType w:val="hybridMultilevel"/>
    <w:tmpl w:val="274A84C2"/>
    <w:lvl w:ilvl="0" w:tplc="20000017">
      <w:start w:val="1"/>
      <w:numFmt w:val="lowerLetter"/>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26"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5D7704"/>
    <w:multiLevelType w:val="hybridMultilevel"/>
    <w:tmpl w:val="640EC3AA"/>
    <w:lvl w:ilvl="0" w:tplc="040C000D">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8" w15:restartNumberingAfterBreak="0">
    <w:nsid w:val="61605DBC"/>
    <w:multiLevelType w:val="hybridMultilevel"/>
    <w:tmpl w:val="33B889D2"/>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A455FB"/>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8B31FA"/>
    <w:multiLevelType w:val="hybridMultilevel"/>
    <w:tmpl w:val="DD80009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71E81B3B"/>
    <w:multiLevelType w:val="hybridMultilevel"/>
    <w:tmpl w:val="DF5EADF8"/>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A42F17"/>
    <w:multiLevelType w:val="hybridMultilevel"/>
    <w:tmpl w:val="944E0760"/>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5F5CEE"/>
    <w:multiLevelType w:val="hybridMultilevel"/>
    <w:tmpl w:val="11FAFA9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CC2E7E"/>
    <w:multiLevelType w:val="multilevel"/>
    <w:tmpl w:val="BF88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8170251">
    <w:abstractNumId w:val="10"/>
  </w:num>
  <w:num w:numId="2" w16cid:durableId="696658758">
    <w:abstractNumId w:val="26"/>
  </w:num>
  <w:num w:numId="3" w16cid:durableId="829099502">
    <w:abstractNumId w:val="5"/>
  </w:num>
  <w:num w:numId="4" w16cid:durableId="1525940942">
    <w:abstractNumId w:val="3"/>
  </w:num>
  <w:num w:numId="5" w16cid:durableId="165020131">
    <w:abstractNumId w:val="24"/>
  </w:num>
  <w:num w:numId="6" w16cid:durableId="224488953">
    <w:abstractNumId w:val="7"/>
  </w:num>
  <w:num w:numId="7" w16cid:durableId="297687534">
    <w:abstractNumId w:val="11"/>
  </w:num>
  <w:num w:numId="8" w16cid:durableId="1254779571">
    <w:abstractNumId w:val="5"/>
    <w:lvlOverride w:ilvl="0">
      <w:startOverride w:val="1"/>
    </w:lvlOverride>
  </w:num>
  <w:num w:numId="9" w16cid:durableId="1420908688">
    <w:abstractNumId w:val="4"/>
  </w:num>
  <w:num w:numId="10" w16cid:durableId="237715780">
    <w:abstractNumId w:val="9"/>
  </w:num>
  <w:num w:numId="11" w16cid:durableId="621696603">
    <w:abstractNumId w:val="12"/>
  </w:num>
  <w:num w:numId="12" w16cid:durableId="1145971675">
    <w:abstractNumId w:val="19"/>
  </w:num>
  <w:num w:numId="13" w16cid:durableId="156312207">
    <w:abstractNumId w:val="21"/>
  </w:num>
  <w:num w:numId="14" w16cid:durableId="1208028579">
    <w:abstractNumId w:val="14"/>
  </w:num>
  <w:num w:numId="15" w16cid:durableId="1270157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244954">
    <w:abstractNumId w:val="5"/>
  </w:num>
  <w:num w:numId="17" w16cid:durableId="868372564">
    <w:abstractNumId w:val="15"/>
  </w:num>
  <w:num w:numId="18" w16cid:durableId="785005186">
    <w:abstractNumId w:val="13"/>
  </w:num>
  <w:num w:numId="19" w16cid:durableId="550921926">
    <w:abstractNumId w:val="5"/>
  </w:num>
  <w:num w:numId="20" w16cid:durableId="1225138317">
    <w:abstractNumId w:val="5"/>
  </w:num>
  <w:num w:numId="21" w16cid:durableId="443230716">
    <w:abstractNumId w:val="20"/>
  </w:num>
  <w:num w:numId="22" w16cid:durableId="1427770863">
    <w:abstractNumId w:val="5"/>
    <w:lvlOverride w:ilvl="0">
      <w:startOverride w:val="1"/>
    </w:lvlOverride>
    <w:lvlOverride w:ilvl="1">
      <w:startOverride w:val="2"/>
    </w:lvlOverride>
  </w:num>
  <w:num w:numId="23" w16cid:durableId="2012373987">
    <w:abstractNumId w:val="18"/>
  </w:num>
  <w:num w:numId="24" w16cid:durableId="1903982409">
    <w:abstractNumId w:val="0"/>
  </w:num>
  <w:num w:numId="25" w16cid:durableId="332218895">
    <w:abstractNumId w:val="17"/>
  </w:num>
  <w:num w:numId="26" w16cid:durableId="1850489169">
    <w:abstractNumId w:val="33"/>
  </w:num>
  <w:num w:numId="27" w16cid:durableId="1323044938">
    <w:abstractNumId w:val="8"/>
  </w:num>
  <w:num w:numId="28" w16cid:durableId="146556031">
    <w:abstractNumId w:val="1"/>
  </w:num>
  <w:num w:numId="29" w16cid:durableId="766924544">
    <w:abstractNumId w:val="30"/>
  </w:num>
  <w:num w:numId="30" w16cid:durableId="1862475731">
    <w:abstractNumId w:val="28"/>
  </w:num>
  <w:num w:numId="31" w16cid:durableId="1796485515">
    <w:abstractNumId w:val="27"/>
  </w:num>
  <w:num w:numId="32" w16cid:durableId="1297300794">
    <w:abstractNumId w:val="23"/>
  </w:num>
  <w:num w:numId="33" w16cid:durableId="1580554248">
    <w:abstractNumId w:val="31"/>
  </w:num>
  <w:num w:numId="34" w16cid:durableId="1968512011">
    <w:abstractNumId w:val="32"/>
  </w:num>
  <w:num w:numId="35" w16cid:durableId="1007833345">
    <w:abstractNumId w:val="16"/>
  </w:num>
  <w:num w:numId="36" w16cid:durableId="401372324">
    <w:abstractNumId w:val="6"/>
  </w:num>
  <w:num w:numId="37" w16cid:durableId="21252378">
    <w:abstractNumId w:val="29"/>
  </w:num>
  <w:num w:numId="38" w16cid:durableId="929235122">
    <w:abstractNumId w:val="2"/>
  </w:num>
  <w:num w:numId="39" w16cid:durableId="114954763">
    <w:abstractNumId w:val="34"/>
  </w:num>
  <w:num w:numId="40" w16cid:durableId="37239540">
    <w:abstractNumId w:val="25"/>
  </w:num>
  <w:num w:numId="41" w16cid:durableId="8971316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0BC"/>
    <w:rsid w:val="00004C86"/>
    <w:rsid w:val="00011273"/>
    <w:rsid w:val="00015AB8"/>
    <w:rsid w:val="00023881"/>
    <w:rsid w:val="00030DEA"/>
    <w:rsid w:val="00031236"/>
    <w:rsid w:val="00036FCE"/>
    <w:rsid w:val="000373B2"/>
    <w:rsid w:val="00042846"/>
    <w:rsid w:val="00042CF5"/>
    <w:rsid w:val="000447EA"/>
    <w:rsid w:val="00050526"/>
    <w:rsid w:val="00056725"/>
    <w:rsid w:val="00056FBB"/>
    <w:rsid w:val="00060753"/>
    <w:rsid w:val="00060CA0"/>
    <w:rsid w:val="00063A26"/>
    <w:rsid w:val="0006528F"/>
    <w:rsid w:val="0008468B"/>
    <w:rsid w:val="000A468A"/>
    <w:rsid w:val="000A4960"/>
    <w:rsid w:val="000B0433"/>
    <w:rsid w:val="000B0FBD"/>
    <w:rsid w:val="000B7609"/>
    <w:rsid w:val="000D0C28"/>
    <w:rsid w:val="000E1E43"/>
    <w:rsid w:val="000F4728"/>
    <w:rsid w:val="000F7F05"/>
    <w:rsid w:val="00104568"/>
    <w:rsid w:val="00107D9D"/>
    <w:rsid w:val="00107E7A"/>
    <w:rsid w:val="00111476"/>
    <w:rsid w:val="0011663C"/>
    <w:rsid w:val="001174F7"/>
    <w:rsid w:val="00117BDE"/>
    <w:rsid w:val="00121B1C"/>
    <w:rsid w:val="0012675C"/>
    <w:rsid w:val="00126E23"/>
    <w:rsid w:val="00134792"/>
    <w:rsid w:val="001427BD"/>
    <w:rsid w:val="00145D42"/>
    <w:rsid w:val="001470E0"/>
    <w:rsid w:val="00152D1E"/>
    <w:rsid w:val="00155DB9"/>
    <w:rsid w:val="00164305"/>
    <w:rsid w:val="001677B9"/>
    <w:rsid w:val="00167E46"/>
    <w:rsid w:val="00173F35"/>
    <w:rsid w:val="00175E67"/>
    <w:rsid w:val="001765E9"/>
    <w:rsid w:val="0018252D"/>
    <w:rsid w:val="00183424"/>
    <w:rsid w:val="00190DDF"/>
    <w:rsid w:val="001A56F1"/>
    <w:rsid w:val="001B0C08"/>
    <w:rsid w:val="001B4738"/>
    <w:rsid w:val="001D238B"/>
    <w:rsid w:val="001D2865"/>
    <w:rsid w:val="001D531C"/>
    <w:rsid w:val="001D6688"/>
    <w:rsid w:val="001E0C19"/>
    <w:rsid w:val="001E5D6B"/>
    <w:rsid w:val="001F30F9"/>
    <w:rsid w:val="001F6847"/>
    <w:rsid w:val="00201DEE"/>
    <w:rsid w:val="00204565"/>
    <w:rsid w:val="00207255"/>
    <w:rsid w:val="00213D96"/>
    <w:rsid w:val="002160A2"/>
    <w:rsid w:val="0022414F"/>
    <w:rsid w:val="002361D2"/>
    <w:rsid w:val="00243B77"/>
    <w:rsid w:val="00246E69"/>
    <w:rsid w:val="002545A3"/>
    <w:rsid w:val="00267105"/>
    <w:rsid w:val="002729D9"/>
    <w:rsid w:val="00275B6A"/>
    <w:rsid w:val="00282E6B"/>
    <w:rsid w:val="00283446"/>
    <w:rsid w:val="00283EED"/>
    <w:rsid w:val="00286AB5"/>
    <w:rsid w:val="002870E7"/>
    <w:rsid w:val="002912D4"/>
    <w:rsid w:val="0029427A"/>
    <w:rsid w:val="00294502"/>
    <w:rsid w:val="002969B8"/>
    <w:rsid w:val="002A0933"/>
    <w:rsid w:val="002A096E"/>
    <w:rsid w:val="002A3AE4"/>
    <w:rsid w:val="002B1569"/>
    <w:rsid w:val="002B60C1"/>
    <w:rsid w:val="002C3F44"/>
    <w:rsid w:val="002C56ED"/>
    <w:rsid w:val="002D21F5"/>
    <w:rsid w:val="002E0E0B"/>
    <w:rsid w:val="002E6B1B"/>
    <w:rsid w:val="002E70A8"/>
    <w:rsid w:val="002F055D"/>
    <w:rsid w:val="002F7ACE"/>
    <w:rsid w:val="002F7F66"/>
    <w:rsid w:val="00303C44"/>
    <w:rsid w:val="003113BF"/>
    <w:rsid w:val="00317B1F"/>
    <w:rsid w:val="00336396"/>
    <w:rsid w:val="00350625"/>
    <w:rsid w:val="00356BB1"/>
    <w:rsid w:val="003604B9"/>
    <w:rsid w:val="0037140B"/>
    <w:rsid w:val="00373BBD"/>
    <w:rsid w:val="00373F54"/>
    <w:rsid w:val="00374E93"/>
    <w:rsid w:val="003772FB"/>
    <w:rsid w:val="003841D6"/>
    <w:rsid w:val="00386B29"/>
    <w:rsid w:val="00391152"/>
    <w:rsid w:val="003938E2"/>
    <w:rsid w:val="003A3360"/>
    <w:rsid w:val="003A3639"/>
    <w:rsid w:val="003B1E29"/>
    <w:rsid w:val="003B2E5A"/>
    <w:rsid w:val="003B3F65"/>
    <w:rsid w:val="003B5EF9"/>
    <w:rsid w:val="003B71FB"/>
    <w:rsid w:val="003B778E"/>
    <w:rsid w:val="003C2538"/>
    <w:rsid w:val="003C4D8B"/>
    <w:rsid w:val="003D21F8"/>
    <w:rsid w:val="003D485F"/>
    <w:rsid w:val="003D5328"/>
    <w:rsid w:val="003E3F57"/>
    <w:rsid w:val="003E7110"/>
    <w:rsid w:val="003F69A7"/>
    <w:rsid w:val="004009DF"/>
    <w:rsid w:val="0040155B"/>
    <w:rsid w:val="00406B0B"/>
    <w:rsid w:val="0041187D"/>
    <w:rsid w:val="00411FD0"/>
    <w:rsid w:val="0041278C"/>
    <w:rsid w:val="00417683"/>
    <w:rsid w:val="004216C5"/>
    <w:rsid w:val="0042402C"/>
    <w:rsid w:val="004248B2"/>
    <w:rsid w:val="00425D86"/>
    <w:rsid w:val="00425E5A"/>
    <w:rsid w:val="00426673"/>
    <w:rsid w:val="00434D42"/>
    <w:rsid w:val="00436130"/>
    <w:rsid w:val="00443874"/>
    <w:rsid w:val="0044475F"/>
    <w:rsid w:val="00444B35"/>
    <w:rsid w:val="004607F7"/>
    <w:rsid w:val="00462F07"/>
    <w:rsid w:val="004661DE"/>
    <w:rsid w:val="00466E06"/>
    <w:rsid w:val="00471383"/>
    <w:rsid w:val="004775DA"/>
    <w:rsid w:val="00483034"/>
    <w:rsid w:val="004926E2"/>
    <w:rsid w:val="00493A7B"/>
    <w:rsid w:val="00495391"/>
    <w:rsid w:val="0049782F"/>
    <w:rsid w:val="004A7369"/>
    <w:rsid w:val="004B376D"/>
    <w:rsid w:val="004B6FBB"/>
    <w:rsid w:val="004C568C"/>
    <w:rsid w:val="004D1568"/>
    <w:rsid w:val="004D4005"/>
    <w:rsid w:val="004E6993"/>
    <w:rsid w:val="004F5C4B"/>
    <w:rsid w:val="004F64C9"/>
    <w:rsid w:val="004F69FE"/>
    <w:rsid w:val="00504F45"/>
    <w:rsid w:val="00510A5A"/>
    <w:rsid w:val="0053736B"/>
    <w:rsid w:val="0053773D"/>
    <w:rsid w:val="00542095"/>
    <w:rsid w:val="005543E6"/>
    <w:rsid w:val="005546E2"/>
    <w:rsid w:val="005627D0"/>
    <w:rsid w:val="00563C22"/>
    <w:rsid w:val="005664F2"/>
    <w:rsid w:val="005676D6"/>
    <w:rsid w:val="00582C13"/>
    <w:rsid w:val="00587D27"/>
    <w:rsid w:val="00591135"/>
    <w:rsid w:val="00591825"/>
    <w:rsid w:val="00591A8A"/>
    <w:rsid w:val="00595024"/>
    <w:rsid w:val="005A2F54"/>
    <w:rsid w:val="005B1309"/>
    <w:rsid w:val="005B2AF7"/>
    <w:rsid w:val="005B720A"/>
    <w:rsid w:val="005C1166"/>
    <w:rsid w:val="005D0616"/>
    <w:rsid w:val="005D07A7"/>
    <w:rsid w:val="005D0F2C"/>
    <w:rsid w:val="005D5C2C"/>
    <w:rsid w:val="005D702F"/>
    <w:rsid w:val="005F6D0B"/>
    <w:rsid w:val="00604BF9"/>
    <w:rsid w:val="006131E0"/>
    <w:rsid w:val="00613313"/>
    <w:rsid w:val="00616351"/>
    <w:rsid w:val="00620ADF"/>
    <w:rsid w:val="00620B90"/>
    <w:rsid w:val="00627365"/>
    <w:rsid w:val="006353BD"/>
    <w:rsid w:val="006356AF"/>
    <w:rsid w:val="00640669"/>
    <w:rsid w:val="00642DC7"/>
    <w:rsid w:val="00653DE9"/>
    <w:rsid w:val="006548BF"/>
    <w:rsid w:val="00654A60"/>
    <w:rsid w:val="00655B8B"/>
    <w:rsid w:val="00660504"/>
    <w:rsid w:val="00667DEE"/>
    <w:rsid w:val="00671BA2"/>
    <w:rsid w:val="00680BCA"/>
    <w:rsid w:val="00685707"/>
    <w:rsid w:val="00692600"/>
    <w:rsid w:val="00692F01"/>
    <w:rsid w:val="006A2F9F"/>
    <w:rsid w:val="006B2B3F"/>
    <w:rsid w:val="006C1620"/>
    <w:rsid w:val="006E2D9E"/>
    <w:rsid w:val="006E41C2"/>
    <w:rsid w:val="006E6E66"/>
    <w:rsid w:val="006F0295"/>
    <w:rsid w:val="006F0B10"/>
    <w:rsid w:val="006F3FF5"/>
    <w:rsid w:val="006F5280"/>
    <w:rsid w:val="00703D5C"/>
    <w:rsid w:val="00710A1D"/>
    <w:rsid w:val="00721C0E"/>
    <w:rsid w:val="007220B3"/>
    <w:rsid w:val="007269CD"/>
    <w:rsid w:val="007305D9"/>
    <w:rsid w:val="00746B25"/>
    <w:rsid w:val="007561F8"/>
    <w:rsid w:val="00756BFB"/>
    <w:rsid w:val="0076047F"/>
    <w:rsid w:val="00765EE4"/>
    <w:rsid w:val="00773365"/>
    <w:rsid w:val="00776BA1"/>
    <w:rsid w:val="00780538"/>
    <w:rsid w:val="0078109C"/>
    <w:rsid w:val="00784355"/>
    <w:rsid w:val="0078617C"/>
    <w:rsid w:val="007A117D"/>
    <w:rsid w:val="007A428F"/>
    <w:rsid w:val="007B0931"/>
    <w:rsid w:val="007B245C"/>
    <w:rsid w:val="007B4AD3"/>
    <w:rsid w:val="007B52BB"/>
    <w:rsid w:val="007C41D4"/>
    <w:rsid w:val="007C4850"/>
    <w:rsid w:val="007C78FC"/>
    <w:rsid w:val="007D0C1E"/>
    <w:rsid w:val="007D4A8C"/>
    <w:rsid w:val="007D5FC3"/>
    <w:rsid w:val="007E3006"/>
    <w:rsid w:val="007E44EF"/>
    <w:rsid w:val="007F355A"/>
    <w:rsid w:val="007F70A5"/>
    <w:rsid w:val="008022D7"/>
    <w:rsid w:val="00805420"/>
    <w:rsid w:val="00810EB8"/>
    <w:rsid w:val="00810F55"/>
    <w:rsid w:val="008166DF"/>
    <w:rsid w:val="00816DAC"/>
    <w:rsid w:val="008241A7"/>
    <w:rsid w:val="00825E87"/>
    <w:rsid w:val="00827812"/>
    <w:rsid w:val="0083290E"/>
    <w:rsid w:val="00842AB0"/>
    <w:rsid w:val="00843FF2"/>
    <w:rsid w:val="008453AB"/>
    <w:rsid w:val="00854CDC"/>
    <w:rsid w:val="00854EEA"/>
    <w:rsid w:val="008551DA"/>
    <w:rsid w:val="00857AC3"/>
    <w:rsid w:val="00862786"/>
    <w:rsid w:val="00873AEA"/>
    <w:rsid w:val="00875662"/>
    <w:rsid w:val="0087760D"/>
    <w:rsid w:val="008812B5"/>
    <w:rsid w:val="0088715E"/>
    <w:rsid w:val="00890675"/>
    <w:rsid w:val="0089741C"/>
    <w:rsid w:val="008A4291"/>
    <w:rsid w:val="008B731F"/>
    <w:rsid w:val="008C7BCA"/>
    <w:rsid w:val="008D0258"/>
    <w:rsid w:val="008D193F"/>
    <w:rsid w:val="008D4A1D"/>
    <w:rsid w:val="008D7486"/>
    <w:rsid w:val="008E1BEB"/>
    <w:rsid w:val="008E537E"/>
    <w:rsid w:val="008F173C"/>
    <w:rsid w:val="008F364E"/>
    <w:rsid w:val="008F39D3"/>
    <w:rsid w:val="00900F57"/>
    <w:rsid w:val="00915BA5"/>
    <w:rsid w:val="00916894"/>
    <w:rsid w:val="00917DB3"/>
    <w:rsid w:val="00924184"/>
    <w:rsid w:val="009305EC"/>
    <w:rsid w:val="00940D2C"/>
    <w:rsid w:val="00944B8F"/>
    <w:rsid w:val="00946427"/>
    <w:rsid w:val="00955BB3"/>
    <w:rsid w:val="00961AC1"/>
    <w:rsid w:val="0097063E"/>
    <w:rsid w:val="009759AF"/>
    <w:rsid w:val="0098532D"/>
    <w:rsid w:val="00990EBD"/>
    <w:rsid w:val="00995018"/>
    <w:rsid w:val="009A0C62"/>
    <w:rsid w:val="009A34D9"/>
    <w:rsid w:val="009A38AD"/>
    <w:rsid w:val="009B52E9"/>
    <w:rsid w:val="009B53A8"/>
    <w:rsid w:val="009D256A"/>
    <w:rsid w:val="009E2D89"/>
    <w:rsid w:val="009E7ACF"/>
    <w:rsid w:val="00A038A3"/>
    <w:rsid w:val="00A05615"/>
    <w:rsid w:val="00A06670"/>
    <w:rsid w:val="00A118E1"/>
    <w:rsid w:val="00A148A1"/>
    <w:rsid w:val="00A175E5"/>
    <w:rsid w:val="00A33DCF"/>
    <w:rsid w:val="00A3566B"/>
    <w:rsid w:val="00A36AFA"/>
    <w:rsid w:val="00A36C09"/>
    <w:rsid w:val="00A3739D"/>
    <w:rsid w:val="00A37BB3"/>
    <w:rsid w:val="00A37C9F"/>
    <w:rsid w:val="00A4557F"/>
    <w:rsid w:val="00A4654C"/>
    <w:rsid w:val="00A477E1"/>
    <w:rsid w:val="00A51A8A"/>
    <w:rsid w:val="00A6160D"/>
    <w:rsid w:val="00A70123"/>
    <w:rsid w:val="00A73CC7"/>
    <w:rsid w:val="00A74BFA"/>
    <w:rsid w:val="00A76B07"/>
    <w:rsid w:val="00A81B98"/>
    <w:rsid w:val="00A90305"/>
    <w:rsid w:val="00AA5998"/>
    <w:rsid w:val="00AA63A3"/>
    <w:rsid w:val="00AB575E"/>
    <w:rsid w:val="00AB5EB7"/>
    <w:rsid w:val="00AD4D97"/>
    <w:rsid w:val="00AD4F21"/>
    <w:rsid w:val="00AD57C8"/>
    <w:rsid w:val="00AE1977"/>
    <w:rsid w:val="00AE2453"/>
    <w:rsid w:val="00AF5530"/>
    <w:rsid w:val="00AF7F2A"/>
    <w:rsid w:val="00B02730"/>
    <w:rsid w:val="00B05DFC"/>
    <w:rsid w:val="00B1099C"/>
    <w:rsid w:val="00B274D7"/>
    <w:rsid w:val="00B36EEA"/>
    <w:rsid w:val="00B41398"/>
    <w:rsid w:val="00B426EA"/>
    <w:rsid w:val="00B434CA"/>
    <w:rsid w:val="00B45F80"/>
    <w:rsid w:val="00B5038E"/>
    <w:rsid w:val="00B52933"/>
    <w:rsid w:val="00B76754"/>
    <w:rsid w:val="00B82A0C"/>
    <w:rsid w:val="00BA0FA7"/>
    <w:rsid w:val="00BA3105"/>
    <w:rsid w:val="00BA4B55"/>
    <w:rsid w:val="00BA752A"/>
    <w:rsid w:val="00BB1C25"/>
    <w:rsid w:val="00BC4C97"/>
    <w:rsid w:val="00BD12A2"/>
    <w:rsid w:val="00BD1F83"/>
    <w:rsid w:val="00BD4EE6"/>
    <w:rsid w:val="00BE2AF1"/>
    <w:rsid w:val="00BE7C7F"/>
    <w:rsid w:val="00C05213"/>
    <w:rsid w:val="00C12C93"/>
    <w:rsid w:val="00C16FA7"/>
    <w:rsid w:val="00C17E92"/>
    <w:rsid w:val="00C325F5"/>
    <w:rsid w:val="00C326C4"/>
    <w:rsid w:val="00C35652"/>
    <w:rsid w:val="00C457E8"/>
    <w:rsid w:val="00C52327"/>
    <w:rsid w:val="00C52702"/>
    <w:rsid w:val="00C609B9"/>
    <w:rsid w:val="00C64403"/>
    <w:rsid w:val="00C828E0"/>
    <w:rsid w:val="00C8473F"/>
    <w:rsid w:val="00C8476F"/>
    <w:rsid w:val="00C8559F"/>
    <w:rsid w:val="00C85C36"/>
    <w:rsid w:val="00C90ADE"/>
    <w:rsid w:val="00C91BD0"/>
    <w:rsid w:val="00C91F3E"/>
    <w:rsid w:val="00C92A95"/>
    <w:rsid w:val="00C936A8"/>
    <w:rsid w:val="00C96A1F"/>
    <w:rsid w:val="00CA419D"/>
    <w:rsid w:val="00CB6893"/>
    <w:rsid w:val="00CB6CB7"/>
    <w:rsid w:val="00CB7FB9"/>
    <w:rsid w:val="00CC4618"/>
    <w:rsid w:val="00CC5D7B"/>
    <w:rsid w:val="00CD72E6"/>
    <w:rsid w:val="00CD7C2F"/>
    <w:rsid w:val="00CE2386"/>
    <w:rsid w:val="00D01217"/>
    <w:rsid w:val="00D07CE1"/>
    <w:rsid w:val="00D110E6"/>
    <w:rsid w:val="00D11CA4"/>
    <w:rsid w:val="00D142EE"/>
    <w:rsid w:val="00D1539B"/>
    <w:rsid w:val="00D20205"/>
    <w:rsid w:val="00D34EEC"/>
    <w:rsid w:val="00D45501"/>
    <w:rsid w:val="00D463B0"/>
    <w:rsid w:val="00D4740D"/>
    <w:rsid w:val="00D50E26"/>
    <w:rsid w:val="00D56F9F"/>
    <w:rsid w:val="00D60E4C"/>
    <w:rsid w:val="00D6393A"/>
    <w:rsid w:val="00D830DE"/>
    <w:rsid w:val="00D832C5"/>
    <w:rsid w:val="00D87869"/>
    <w:rsid w:val="00D9092C"/>
    <w:rsid w:val="00D917D1"/>
    <w:rsid w:val="00DB2814"/>
    <w:rsid w:val="00DC02A4"/>
    <w:rsid w:val="00DD1A3B"/>
    <w:rsid w:val="00DD2795"/>
    <w:rsid w:val="00DE75A8"/>
    <w:rsid w:val="00DF04F2"/>
    <w:rsid w:val="00DF0A77"/>
    <w:rsid w:val="00DF1859"/>
    <w:rsid w:val="00DF3662"/>
    <w:rsid w:val="00E018B8"/>
    <w:rsid w:val="00E0445A"/>
    <w:rsid w:val="00E045C4"/>
    <w:rsid w:val="00E0484E"/>
    <w:rsid w:val="00E117F5"/>
    <w:rsid w:val="00E1495C"/>
    <w:rsid w:val="00E32408"/>
    <w:rsid w:val="00E35260"/>
    <w:rsid w:val="00E37CEF"/>
    <w:rsid w:val="00E43370"/>
    <w:rsid w:val="00E45522"/>
    <w:rsid w:val="00E51003"/>
    <w:rsid w:val="00E60109"/>
    <w:rsid w:val="00E66CE8"/>
    <w:rsid w:val="00E72EF1"/>
    <w:rsid w:val="00E81031"/>
    <w:rsid w:val="00E8194E"/>
    <w:rsid w:val="00E824A1"/>
    <w:rsid w:val="00E845D4"/>
    <w:rsid w:val="00E90E29"/>
    <w:rsid w:val="00EA5648"/>
    <w:rsid w:val="00EB00DA"/>
    <w:rsid w:val="00EB2417"/>
    <w:rsid w:val="00EB6A49"/>
    <w:rsid w:val="00EC22CC"/>
    <w:rsid w:val="00ED354D"/>
    <w:rsid w:val="00ED6B69"/>
    <w:rsid w:val="00ED7F2C"/>
    <w:rsid w:val="00EE0831"/>
    <w:rsid w:val="00EE20A4"/>
    <w:rsid w:val="00EE34F4"/>
    <w:rsid w:val="00EE4F86"/>
    <w:rsid w:val="00EF09C9"/>
    <w:rsid w:val="00EF22A4"/>
    <w:rsid w:val="00F026B8"/>
    <w:rsid w:val="00F06997"/>
    <w:rsid w:val="00F16AF9"/>
    <w:rsid w:val="00F4217A"/>
    <w:rsid w:val="00F428E4"/>
    <w:rsid w:val="00F47185"/>
    <w:rsid w:val="00F50E6C"/>
    <w:rsid w:val="00F5176D"/>
    <w:rsid w:val="00F527EF"/>
    <w:rsid w:val="00F5418A"/>
    <w:rsid w:val="00F54EA0"/>
    <w:rsid w:val="00F56F29"/>
    <w:rsid w:val="00F60F8C"/>
    <w:rsid w:val="00F636A6"/>
    <w:rsid w:val="00F66517"/>
    <w:rsid w:val="00F7050A"/>
    <w:rsid w:val="00F74F0B"/>
    <w:rsid w:val="00F75D34"/>
    <w:rsid w:val="00F82AE4"/>
    <w:rsid w:val="00F85D91"/>
    <w:rsid w:val="00F87E53"/>
    <w:rsid w:val="00F96EE9"/>
    <w:rsid w:val="00FA0378"/>
    <w:rsid w:val="00FA0ED9"/>
    <w:rsid w:val="00FA355B"/>
    <w:rsid w:val="00FA6129"/>
    <w:rsid w:val="00FB382E"/>
    <w:rsid w:val="00FC0A2B"/>
    <w:rsid w:val="00FC4302"/>
    <w:rsid w:val="00FC4944"/>
    <w:rsid w:val="00FC558B"/>
    <w:rsid w:val="00FC6E3C"/>
    <w:rsid w:val="00FD1031"/>
    <w:rsid w:val="00FD5AF2"/>
    <w:rsid w:val="00FE0592"/>
    <w:rsid w:val="00FE1639"/>
    <w:rsid w:val="00FE285D"/>
    <w:rsid w:val="00FF3B9B"/>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03123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31236"/>
    <w:rPr>
      <w:sz w:val="20"/>
      <w:szCs w:val="20"/>
    </w:rPr>
  </w:style>
  <w:style w:type="character" w:styleId="Appelnotedebasdep">
    <w:name w:val="footnote reference"/>
    <w:basedOn w:val="Policepardfaut"/>
    <w:uiPriority w:val="99"/>
    <w:semiHidden/>
    <w:unhideWhenUsed/>
    <w:rsid w:val="00031236"/>
    <w:rPr>
      <w:vertAlign w:val="superscript"/>
    </w:rPr>
  </w:style>
  <w:style w:type="character" w:styleId="Lienhypertexte">
    <w:name w:val="Hyperlink"/>
    <w:basedOn w:val="Policepardfaut"/>
    <w:uiPriority w:val="99"/>
    <w:semiHidden/>
    <w:unhideWhenUsed/>
    <w:rsid w:val="00031236"/>
    <w:rPr>
      <w:color w:val="0000FF"/>
      <w:u w:val="single"/>
    </w:rPr>
  </w:style>
  <w:style w:type="paragraph" w:styleId="Rvision">
    <w:name w:val="Revision"/>
    <w:hidden/>
    <w:uiPriority w:val="99"/>
    <w:semiHidden/>
    <w:rsid w:val="007305D9"/>
    <w:pPr>
      <w:spacing w:after="0" w:line="240" w:lineRule="auto"/>
    </w:pPr>
  </w:style>
  <w:style w:type="paragraph" w:styleId="Corpsdetexte">
    <w:name w:val="Body Text"/>
    <w:basedOn w:val="Normal"/>
    <w:link w:val="CorpsdetexteCar"/>
    <w:uiPriority w:val="1"/>
    <w:qFormat/>
    <w:rsid w:val="00D142EE"/>
    <w:pPr>
      <w:widowControl w:val="0"/>
      <w:autoSpaceDE w:val="0"/>
      <w:autoSpaceDN w:val="0"/>
      <w:spacing w:after="0" w:line="240" w:lineRule="auto"/>
    </w:pPr>
    <w:rPr>
      <w:rFonts w:ascii="Verdana" w:eastAsia="Verdana" w:hAnsi="Verdana" w:cs="Verdana"/>
      <w:sz w:val="20"/>
      <w:szCs w:val="20"/>
    </w:rPr>
  </w:style>
  <w:style w:type="character" w:customStyle="1" w:styleId="CorpsdetexteCar">
    <w:name w:val="Corps de texte Car"/>
    <w:basedOn w:val="Policepardfaut"/>
    <w:link w:val="Corpsdetexte"/>
    <w:uiPriority w:val="1"/>
    <w:rsid w:val="00D142EE"/>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359430057">
      <w:bodyDiv w:val="1"/>
      <w:marLeft w:val="0"/>
      <w:marRight w:val="0"/>
      <w:marTop w:val="0"/>
      <w:marBottom w:val="0"/>
      <w:divBdr>
        <w:top w:val="none" w:sz="0" w:space="0" w:color="auto"/>
        <w:left w:val="none" w:sz="0" w:space="0" w:color="auto"/>
        <w:bottom w:val="none" w:sz="0" w:space="0" w:color="auto"/>
        <w:right w:val="none" w:sz="0" w:space="0" w:color="auto"/>
      </w:divBdr>
      <w:divsChild>
        <w:div w:id="849831146">
          <w:marLeft w:val="714"/>
          <w:marRight w:val="0"/>
          <w:marTop w:val="0"/>
          <w:marBottom w:val="120"/>
          <w:divBdr>
            <w:top w:val="none" w:sz="0" w:space="0" w:color="auto"/>
            <w:left w:val="none" w:sz="0" w:space="0" w:color="auto"/>
            <w:bottom w:val="none" w:sz="0" w:space="0" w:color="auto"/>
            <w:right w:val="none" w:sz="0" w:space="0" w:color="auto"/>
          </w:divBdr>
        </w:div>
        <w:div w:id="441652637">
          <w:marLeft w:val="714"/>
          <w:marRight w:val="0"/>
          <w:marTop w:val="0"/>
          <w:marBottom w:val="120"/>
          <w:divBdr>
            <w:top w:val="none" w:sz="0" w:space="0" w:color="auto"/>
            <w:left w:val="none" w:sz="0" w:space="0" w:color="auto"/>
            <w:bottom w:val="none" w:sz="0" w:space="0" w:color="auto"/>
            <w:right w:val="none" w:sz="0" w:space="0" w:color="auto"/>
          </w:divBdr>
        </w:div>
        <w:div w:id="1075393077">
          <w:marLeft w:val="714"/>
          <w:marRight w:val="0"/>
          <w:marTop w:val="0"/>
          <w:marBottom w:val="120"/>
          <w:divBdr>
            <w:top w:val="none" w:sz="0" w:space="0" w:color="auto"/>
            <w:left w:val="none" w:sz="0" w:space="0" w:color="auto"/>
            <w:bottom w:val="none" w:sz="0" w:space="0" w:color="auto"/>
            <w:right w:val="none" w:sz="0" w:space="0" w:color="auto"/>
          </w:divBdr>
        </w:div>
        <w:div w:id="696203348">
          <w:marLeft w:val="0"/>
          <w:marRight w:val="0"/>
          <w:marTop w:val="240"/>
          <w:marBottom w:val="120"/>
          <w:divBdr>
            <w:top w:val="none" w:sz="0" w:space="0" w:color="auto"/>
            <w:left w:val="none" w:sz="0" w:space="0" w:color="auto"/>
            <w:bottom w:val="none" w:sz="0" w:space="0" w:color="auto"/>
            <w:right w:val="none" w:sz="0" w:space="0" w:color="auto"/>
          </w:divBdr>
        </w:div>
        <w:div w:id="1976909673">
          <w:marLeft w:val="0"/>
          <w:marRight w:val="0"/>
          <w:marTop w:val="240"/>
          <w:marBottom w:val="120"/>
          <w:divBdr>
            <w:top w:val="none" w:sz="0" w:space="0" w:color="auto"/>
            <w:left w:val="none" w:sz="0" w:space="0" w:color="auto"/>
            <w:bottom w:val="none" w:sz="0" w:space="0" w:color="auto"/>
            <w:right w:val="none" w:sz="0" w:space="0" w:color="auto"/>
          </w:divBdr>
        </w:div>
        <w:div w:id="1023019259">
          <w:marLeft w:val="714"/>
          <w:marRight w:val="0"/>
          <w:marTop w:val="0"/>
          <w:marBottom w:val="120"/>
          <w:divBdr>
            <w:top w:val="none" w:sz="0" w:space="0" w:color="auto"/>
            <w:left w:val="none" w:sz="0" w:space="0" w:color="auto"/>
            <w:bottom w:val="none" w:sz="0" w:space="0" w:color="auto"/>
            <w:right w:val="none" w:sz="0" w:space="0" w:color="auto"/>
          </w:divBdr>
        </w:div>
        <w:div w:id="389381318">
          <w:marLeft w:val="714"/>
          <w:marRight w:val="0"/>
          <w:marTop w:val="0"/>
          <w:marBottom w:val="120"/>
          <w:divBdr>
            <w:top w:val="none" w:sz="0" w:space="0" w:color="auto"/>
            <w:left w:val="none" w:sz="0" w:space="0" w:color="auto"/>
            <w:bottom w:val="none" w:sz="0" w:space="0" w:color="auto"/>
            <w:right w:val="none" w:sz="0" w:space="0" w:color="auto"/>
          </w:divBdr>
        </w:div>
        <w:div w:id="1502895100">
          <w:marLeft w:val="0"/>
          <w:marRight w:val="0"/>
          <w:marTop w:val="240"/>
          <w:marBottom w:val="120"/>
          <w:divBdr>
            <w:top w:val="none" w:sz="0" w:space="0" w:color="auto"/>
            <w:left w:val="none" w:sz="0" w:space="0" w:color="auto"/>
            <w:bottom w:val="none" w:sz="0" w:space="0" w:color="auto"/>
            <w:right w:val="none" w:sz="0" w:space="0" w:color="auto"/>
          </w:divBdr>
        </w:div>
        <w:div w:id="1909532748">
          <w:marLeft w:val="0"/>
          <w:marRight w:val="0"/>
          <w:marTop w:val="240"/>
          <w:marBottom w:val="120"/>
          <w:divBdr>
            <w:top w:val="none" w:sz="0" w:space="0" w:color="auto"/>
            <w:left w:val="none" w:sz="0" w:space="0" w:color="auto"/>
            <w:bottom w:val="none" w:sz="0" w:space="0" w:color="auto"/>
            <w:right w:val="none" w:sz="0" w:space="0" w:color="auto"/>
          </w:divBdr>
        </w:div>
        <w:div w:id="162549338">
          <w:marLeft w:val="0"/>
          <w:marRight w:val="0"/>
          <w:marTop w:val="240"/>
          <w:marBottom w:val="120"/>
          <w:divBdr>
            <w:top w:val="none" w:sz="0" w:space="0" w:color="auto"/>
            <w:left w:val="none" w:sz="0" w:space="0" w:color="auto"/>
            <w:bottom w:val="none" w:sz="0" w:space="0" w:color="auto"/>
            <w:right w:val="none" w:sz="0" w:space="0" w:color="auto"/>
          </w:divBdr>
        </w:div>
        <w:div w:id="60688010">
          <w:marLeft w:val="0"/>
          <w:marRight w:val="0"/>
          <w:marTop w:val="240"/>
          <w:marBottom w:val="120"/>
          <w:divBdr>
            <w:top w:val="none" w:sz="0" w:space="0" w:color="auto"/>
            <w:left w:val="none" w:sz="0" w:space="0" w:color="auto"/>
            <w:bottom w:val="none" w:sz="0" w:space="0" w:color="auto"/>
            <w:right w:val="none" w:sz="0" w:space="0" w:color="auto"/>
          </w:divBdr>
        </w:div>
        <w:div w:id="2003655005">
          <w:marLeft w:val="0"/>
          <w:marRight w:val="0"/>
          <w:marTop w:val="240"/>
          <w:marBottom w:val="120"/>
          <w:divBdr>
            <w:top w:val="none" w:sz="0" w:space="0" w:color="auto"/>
            <w:left w:val="none" w:sz="0" w:space="0" w:color="auto"/>
            <w:bottom w:val="none" w:sz="0" w:space="0" w:color="auto"/>
            <w:right w:val="none" w:sz="0" w:space="0" w:color="auto"/>
          </w:divBdr>
        </w:div>
        <w:div w:id="1797288460">
          <w:marLeft w:val="0"/>
          <w:marRight w:val="0"/>
          <w:marTop w:val="240"/>
          <w:marBottom w:val="120"/>
          <w:divBdr>
            <w:top w:val="none" w:sz="0" w:space="0" w:color="auto"/>
            <w:left w:val="none" w:sz="0" w:space="0" w:color="auto"/>
            <w:bottom w:val="none" w:sz="0" w:space="0" w:color="auto"/>
            <w:right w:val="none" w:sz="0" w:space="0" w:color="auto"/>
          </w:divBdr>
        </w:div>
      </w:divsChild>
    </w:div>
    <w:div w:id="1485660232">
      <w:bodyDiv w:val="1"/>
      <w:marLeft w:val="0"/>
      <w:marRight w:val="0"/>
      <w:marTop w:val="0"/>
      <w:marBottom w:val="0"/>
      <w:divBdr>
        <w:top w:val="none" w:sz="0" w:space="0" w:color="auto"/>
        <w:left w:val="none" w:sz="0" w:space="0" w:color="auto"/>
        <w:bottom w:val="none" w:sz="0" w:space="0" w:color="auto"/>
        <w:right w:val="none" w:sz="0" w:space="0" w:color="auto"/>
      </w:divBdr>
      <w:divsChild>
        <w:div w:id="241644279">
          <w:marLeft w:val="1080"/>
          <w:marRight w:val="0"/>
          <w:marTop w:val="0"/>
          <w:marBottom w:val="0"/>
          <w:divBdr>
            <w:top w:val="none" w:sz="0" w:space="0" w:color="auto"/>
            <w:left w:val="none" w:sz="0" w:space="0" w:color="auto"/>
            <w:bottom w:val="none" w:sz="0" w:space="0" w:color="auto"/>
            <w:right w:val="none" w:sz="0" w:space="0" w:color="auto"/>
          </w:divBdr>
        </w:div>
        <w:div w:id="426728998">
          <w:marLeft w:val="1080"/>
          <w:marRight w:val="0"/>
          <w:marTop w:val="0"/>
          <w:marBottom w:val="0"/>
          <w:divBdr>
            <w:top w:val="none" w:sz="0" w:space="0" w:color="auto"/>
            <w:left w:val="none" w:sz="0" w:space="0" w:color="auto"/>
            <w:bottom w:val="none" w:sz="0" w:space="0" w:color="auto"/>
            <w:right w:val="none" w:sz="0" w:space="0" w:color="auto"/>
          </w:divBdr>
        </w:div>
        <w:div w:id="35935507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9bdae4-a5d2-4e1e-a9de-63e64ea8cc83" xsi:nil="true"/>
    <lcf76f155ced4ddcb4097134ff3c332f xmlns="70f04373-d92c-4168-8d0c-2896f86b1f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99A7D045FDC041867DA3313F8ABAF1" ma:contentTypeVersion="15" ma:contentTypeDescription="Create a new document." ma:contentTypeScope="" ma:versionID="3b685b5928fda421d2117f3179a141ff">
  <xsd:schema xmlns:xsd="http://www.w3.org/2001/XMLSchema" xmlns:xs="http://www.w3.org/2001/XMLSchema" xmlns:p="http://schemas.microsoft.com/office/2006/metadata/properties" xmlns:ns2="70f04373-d92c-4168-8d0c-2896f86b1fb9" xmlns:ns3="519bdae4-a5d2-4e1e-a9de-63e64ea8cc83" targetNamespace="http://schemas.microsoft.com/office/2006/metadata/properties" ma:root="true" ma:fieldsID="e88c644c6b21949e07886eed77008838" ns2:_="" ns3:_="">
    <xsd:import namespace="70f04373-d92c-4168-8d0c-2896f86b1fb9"/>
    <xsd:import namespace="519bdae4-a5d2-4e1e-a9de-63e64ea8cc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04373-d92c-4168-8d0c-2896f86b1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9bdae4-a5d2-4e1e-a9de-63e64ea8cc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f48dec-04d0-4673-82a4-8593e8e921d8}" ma:internalName="TaxCatchAll" ma:showField="CatchAllData" ma:web="519bdae4-a5d2-4e1e-a9de-63e64ea8c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A7971-D37D-4808-80A7-CC58617F3EC3}">
  <ds:schemaRefs>
    <ds:schemaRef ds:uri="http://schemas.microsoft.com/sharepoint/v3/contenttype/forms"/>
  </ds:schemaRefs>
</ds:datastoreItem>
</file>

<file path=customXml/itemProps2.xml><?xml version="1.0" encoding="utf-8"?>
<ds:datastoreItem xmlns:ds="http://schemas.openxmlformats.org/officeDocument/2006/customXml" ds:itemID="{9904E1CC-19C9-4E11-9D21-A6BEA9C6C35F}">
  <ds:schemaRefs>
    <ds:schemaRef ds:uri="http://schemas.microsoft.com/office/2006/metadata/properties"/>
    <ds:schemaRef ds:uri="http://schemas.microsoft.com/office/infopath/2007/PartnerControls"/>
    <ds:schemaRef ds:uri="519bdae4-a5d2-4e1e-a9de-63e64ea8cc83"/>
    <ds:schemaRef ds:uri="70f04373-d92c-4168-8d0c-2896f86b1fb9"/>
  </ds:schemaRefs>
</ds:datastoreItem>
</file>

<file path=customXml/itemProps3.xml><?xml version="1.0" encoding="utf-8"?>
<ds:datastoreItem xmlns:ds="http://schemas.openxmlformats.org/officeDocument/2006/customXml" ds:itemID="{173F25B1-8536-47AF-9142-87BBAE2E122B}">
  <ds:schemaRefs>
    <ds:schemaRef ds:uri="http://schemas.openxmlformats.org/officeDocument/2006/bibliography"/>
  </ds:schemaRefs>
</ds:datastoreItem>
</file>

<file path=customXml/itemProps4.xml><?xml version="1.0" encoding="utf-8"?>
<ds:datastoreItem xmlns:ds="http://schemas.openxmlformats.org/officeDocument/2006/customXml" ds:itemID="{023F5053-32DD-4682-8D72-7D1236D7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04373-d92c-4168-8d0c-2896f86b1fb9"/>
    <ds:schemaRef ds:uri="519bdae4-a5d2-4e1e-a9de-63e64ea8c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845</Words>
  <Characters>4963</Characters>
  <Application>Microsoft Office Word</Application>
  <DocSecurity>0</DocSecurity>
  <Lines>381</Lines>
  <Paragraphs>223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2025-10-23T10:47:00Z</dcterms:created>
  <dcterms:modified xsi:type="dcterms:W3CDTF">2025-10-24T06:00:00Z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0x0101000599A7D045FDC041867DA3313F8ABAF1</vt:lpwstr>
  </property>
</Properties>
</file>