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7ED0B10" w:rsidR="00C12C93" w:rsidRPr="00816DAC" w:rsidRDefault="006B416E" w:rsidP="00854EEA">
      <w:pPr>
        <w:jc w:val="center"/>
        <w:rPr>
          <w:rFonts w:ascii="Verdana" w:hAnsi="Verdana"/>
          <w:b/>
          <w:bCs/>
          <w:sz w:val="2"/>
          <w:szCs w:val="2"/>
        </w:rPr>
      </w:pPr>
      <w:r>
        <w:rPr>
          <w:rFonts w:ascii="Verdana" w:hAnsi="Verdana"/>
          <w:b/>
          <w:bCs/>
          <w:sz w:val="2"/>
          <w:szCs w:val="2"/>
        </w:rPr>
        <w:t>2</w:t>
      </w: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7DF99279" w:rsidR="00EC22CC" w:rsidRDefault="001F0C27" w:rsidP="00854EEA">
            <w:pPr>
              <w:jc w:val="center"/>
              <w:rPr>
                <w:rFonts w:ascii="Verdana" w:hAnsi="Verdana"/>
                <w:b/>
                <w:bCs/>
                <w:sz w:val="20"/>
                <w:szCs w:val="20"/>
              </w:rPr>
            </w:pPr>
            <w:r>
              <w:rPr>
                <w:rFonts w:ascii="Verdana" w:hAnsi="Verdana"/>
                <w:b/>
                <w:bCs/>
                <w:sz w:val="20"/>
                <w:szCs w:val="20"/>
              </w:rPr>
              <w:t xml:space="preserve">Economie </w:t>
            </w:r>
            <w:r w:rsidR="000B6940">
              <w:rPr>
                <w:rFonts w:ascii="Verdana" w:hAnsi="Verdana"/>
                <w:b/>
                <w:bCs/>
                <w:sz w:val="20"/>
                <w:szCs w:val="20"/>
              </w:rPr>
              <w:t xml:space="preserve">bleue et </w:t>
            </w:r>
            <w:r>
              <w:rPr>
                <w:rFonts w:ascii="Verdana" w:hAnsi="Verdana"/>
                <w:b/>
                <w:bCs/>
                <w:sz w:val="20"/>
                <w:szCs w:val="20"/>
              </w:rPr>
              <w:t>circulaire</w:t>
            </w:r>
          </w:p>
        </w:tc>
      </w:tr>
      <w:tr w:rsidR="00EC22CC" w14:paraId="7F1B63D2" w14:textId="77777777" w:rsidTr="002A0933">
        <w:tc>
          <w:tcPr>
            <w:tcW w:w="7225" w:type="dxa"/>
          </w:tcPr>
          <w:p w14:paraId="056D9B10" w14:textId="166786EB" w:rsidR="00EC22CC" w:rsidRPr="002A096E" w:rsidRDefault="006B416E" w:rsidP="002A096E">
            <w:pPr>
              <w:rPr>
                <w:rFonts w:ascii="Verdana" w:hAnsi="Verdana"/>
                <w:sz w:val="20"/>
                <w:szCs w:val="20"/>
              </w:rPr>
            </w:pPr>
            <w:r>
              <w:rPr>
                <w:rFonts w:ascii="Verdana" w:hAnsi="Verdana"/>
                <w:sz w:val="20"/>
                <w:szCs w:val="20"/>
              </w:rPr>
              <w:t>Comité des OPL 0</w:t>
            </w:r>
            <w:r w:rsidR="00F50B52">
              <w:rPr>
                <w:rFonts w:ascii="Verdana" w:hAnsi="Verdana"/>
                <w:sz w:val="20"/>
                <w:szCs w:val="20"/>
              </w:rPr>
              <w:t>2</w:t>
            </w:r>
            <w:r>
              <w:rPr>
                <w:rFonts w:ascii="Verdana" w:hAnsi="Verdana"/>
                <w:sz w:val="20"/>
                <w:szCs w:val="20"/>
              </w:rPr>
              <w:t>/202</w:t>
            </w:r>
            <w:r w:rsidR="00BB368C">
              <w:rPr>
                <w:rFonts w:ascii="Verdana" w:hAnsi="Verdana"/>
                <w:sz w:val="20"/>
                <w:szCs w:val="20"/>
              </w:rPr>
              <w:t>5</w:t>
            </w:r>
            <w:r>
              <w:rPr>
                <w:rFonts w:ascii="Verdana" w:hAnsi="Verdana"/>
                <w:sz w:val="20"/>
                <w:szCs w:val="20"/>
              </w:rPr>
              <w:t>, Maurice</w:t>
            </w:r>
            <w:r w:rsidR="00F50B52">
              <w:rPr>
                <w:rFonts w:ascii="Verdana" w:hAnsi="Verdana"/>
                <w:sz w:val="20"/>
                <w:szCs w:val="20"/>
              </w:rPr>
              <w:t>,</w:t>
            </w:r>
            <w:r>
              <w:rPr>
                <w:rFonts w:ascii="Verdana" w:hAnsi="Verdana"/>
                <w:sz w:val="20"/>
                <w:szCs w:val="20"/>
              </w:rPr>
              <w:t xml:space="preserve"> </w:t>
            </w:r>
            <w:r w:rsidR="00F50B52">
              <w:rPr>
                <w:rFonts w:ascii="Verdana" w:hAnsi="Verdana"/>
                <w:sz w:val="20"/>
                <w:szCs w:val="20"/>
              </w:rPr>
              <w:t>11-13 novembre</w:t>
            </w:r>
            <w:r w:rsidR="00BB368C">
              <w:rPr>
                <w:rFonts w:ascii="Verdana" w:hAnsi="Verdana"/>
                <w:sz w:val="20"/>
                <w:szCs w:val="20"/>
              </w:rPr>
              <w:t xml:space="preserve"> </w:t>
            </w:r>
            <w:r>
              <w:rPr>
                <w:rFonts w:ascii="Verdana" w:hAnsi="Verdana"/>
                <w:sz w:val="20"/>
                <w:szCs w:val="20"/>
              </w:rPr>
              <w:t>202</w:t>
            </w:r>
            <w:r w:rsidR="00CE4290">
              <w:rPr>
                <w:rFonts w:ascii="Verdana" w:hAnsi="Verdana"/>
                <w:sz w:val="20"/>
                <w:szCs w:val="20"/>
              </w:rPr>
              <w:t>5</w:t>
            </w:r>
          </w:p>
        </w:tc>
        <w:tc>
          <w:tcPr>
            <w:tcW w:w="1837" w:type="dxa"/>
          </w:tcPr>
          <w:p w14:paraId="58E25D1F" w14:textId="26C47B84" w:rsidR="00EC22CC" w:rsidRPr="002A0933" w:rsidRDefault="002A096E" w:rsidP="00854EEA">
            <w:pPr>
              <w:jc w:val="center"/>
              <w:rPr>
                <w:rFonts w:ascii="Verdana" w:hAnsi="Verdana"/>
                <w:sz w:val="20"/>
                <w:szCs w:val="20"/>
              </w:rPr>
            </w:pPr>
            <w:r w:rsidRPr="00AD1EC1">
              <w:rPr>
                <w:rFonts w:ascii="Verdana" w:hAnsi="Verdana"/>
                <w:sz w:val="20"/>
                <w:szCs w:val="20"/>
              </w:rPr>
              <w:t xml:space="preserve">Point </w:t>
            </w:r>
            <w:r w:rsidR="00AD1EC1">
              <w:rPr>
                <w:rFonts w:ascii="Verdana" w:hAnsi="Verdana"/>
                <w:sz w:val="20"/>
                <w:szCs w:val="20"/>
              </w:rPr>
              <w:t>2.6</w:t>
            </w:r>
          </w:p>
        </w:tc>
      </w:tr>
      <w:tr w:rsidR="00EC22CC" w14:paraId="537D1DE5" w14:textId="77777777" w:rsidTr="002A0933">
        <w:tc>
          <w:tcPr>
            <w:tcW w:w="7225" w:type="dxa"/>
          </w:tcPr>
          <w:p w14:paraId="43DEF09E" w14:textId="36A5F0B9"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6B416E" w:rsidRPr="006B416E">
              <w:rPr>
                <w:rFonts w:ascii="Verdana" w:hAnsi="Verdana"/>
                <w:sz w:val="20"/>
                <w:szCs w:val="20"/>
              </w:rPr>
              <w:t>Raj, MOHABEER</w:t>
            </w:r>
            <w:r w:rsidR="0018252D" w:rsidRPr="006B416E">
              <w:rPr>
                <w:rFonts w:ascii="Verdana" w:hAnsi="Verdana"/>
                <w:sz w:val="20"/>
                <w:szCs w:val="20"/>
              </w:rPr>
              <w:t xml:space="preserve">, </w:t>
            </w:r>
            <w:r w:rsidR="006B416E" w:rsidRPr="006B416E">
              <w:rPr>
                <w:rFonts w:ascii="Verdana" w:hAnsi="Verdana"/>
                <w:sz w:val="20"/>
                <w:szCs w:val="20"/>
              </w:rPr>
              <w:t>chargé de mission</w:t>
            </w:r>
          </w:p>
        </w:tc>
        <w:tc>
          <w:tcPr>
            <w:tcW w:w="1837" w:type="dxa"/>
          </w:tcPr>
          <w:p w14:paraId="5AC1AFAB" w14:textId="75969D61" w:rsidR="00EC22CC" w:rsidRPr="002A0933" w:rsidRDefault="004607F7" w:rsidP="00854EEA">
            <w:pPr>
              <w:jc w:val="center"/>
              <w:rPr>
                <w:rFonts w:ascii="Verdana" w:hAnsi="Verdana"/>
                <w:sz w:val="20"/>
                <w:szCs w:val="20"/>
              </w:rPr>
            </w:pPr>
            <w:r w:rsidRPr="006B416E">
              <w:rPr>
                <w:rFonts w:ascii="Verdana" w:hAnsi="Verdana"/>
                <w:sz w:val="20"/>
                <w:szCs w:val="20"/>
              </w:rPr>
              <w:t>Décision</w:t>
            </w:r>
            <w:r w:rsidRPr="004607F7">
              <w:rPr>
                <w:rFonts w:ascii="Verdana" w:hAnsi="Verdana"/>
                <w:sz w:val="20"/>
                <w:szCs w:val="20"/>
                <w:highlight w:val="yellow"/>
              </w:rPr>
              <w:t xml:space="preserve"> </w:t>
            </w:r>
          </w:p>
        </w:tc>
      </w:tr>
      <w:tr w:rsidR="00A90305" w14:paraId="6896DB30" w14:textId="77777777" w:rsidTr="009F5233">
        <w:tc>
          <w:tcPr>
            <w:tcW w:w="9062" w:type="dxa"/>
            <w:gridSpan w:val="2"/>
          </w:tcPr>
          <w:p w14:paraId="0495241B" w14:textId="2961298B" w:rsidR="00A90305" w:rsidRDefault="00A90305" w:rsidP="00A90305">
            <w:pPr>
              <w:rPr>
                <w:rFonts w:ascii="Verdana" w:hAnsi="Verdana"/>
                <w:sz w:val="20"/>
                <w:szCs w:val="20"/>
              </w:rPr>
            </w:pPr>
            <w:r>
              <w:rPr>
                <w:rFonts w:ascii="Verdana" w:hAnsi="Verdana"/>
                <w:i/>
                <w:iCs/>
                <w:sz w:val="20"/>
                <w:szCs w:val="20"/>
              </w:rPr>
              <w:t xml:space="preserve">Version du </w:t>
            </w:r>
            <w:r w:rsidR="00F50B52">
              <w:rPr>
                <w:rFonts w:ascii="Verdana" w:hAnsi="Verdana"/>
                <w:i/>
                <w:iCs/>
                <w:sz w:val="20"/>
                <w:szCs w:val="20"/>
              </w:rPr>
              <w:t>15</w:t>
            </w:r>
            <w:r w:rsidR="00E34CAE">
              <w:rPr>
                <w:rFonts w:ascii="Verdana" w:hAnsi="Verdana"/>
                <w:i/>
                <w:iCs/>
                <w:sz w:val="20"/>
                <w:szCs w:val="20"/>
              </w:rPr>
              <w:t>/0</w:t>
            </w:r>
            <w:r w:rsidR="00F50B52">
              <w:rPr>
                <w:rFonts w:ascii="Verdana" w:hAnsi="Verdana"/>
                <w:i/>
                <w:iCs/>
                <w:sz w:val="20"/>
                <w:szCs w:val="20"/>
              </w:rPr>
              <w:t>9</w:t>
            </w:r>
            <w:r w:rsidR="00E34CAE">
              <w:rPr>
                <w:rFonts w:ascii="Verdana" w:hAnsi="Verdana"/>
                <w:i/>
                <w:iCs/>
                <w:sz w:val="20"/>
                <w:szCs w:val="20"/>
              </w:rPr>
              <w:t>/2025</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15CE5961" w14:textId="45E8254C" w:rsidR="00B11F5E" w:rsidRDefault="003B2862" w:rsidP="00B11F5E">
      <w:pPr>
        <w:spacing w:after="120"/>
        <w:jc w:val="both"/>
        <w:rPr>
          <w:rFonts w:ascii="Verdana" w:hAnsi="Verdana" w:cs="Calibri"/>
          <w:sz w:val="20"/>
          <w:szCs w:val="20"/>
        </w:rPr>
      </w:pPr>
      <w:r w:rsidRPr="003B2862">
        <w:rPr>
          <w:rFonts w:ascii="Verdana" w:hAnsi="Verdana" w:cs="Calibri"/>
          <w:sz w:val="20"/>
          <w:szCs w:val="20"/>
        </w:rPr>
        <w:t>La transition vers un modèle d'économie circulaire offre des opportunités significatives aux pays d'Afrique et de l'océan Indien pour développer des économies florissantes tout en assurant leur durabilité environnementale et leur résilience à long terme</w:t>
      </w:r>
      <w:r>
        <w:rPr>
          <w:rFonts w:ascii="Verdana" w:hAnsi="Verdana" w:cs="Calibri"/>
          <w:sz w:val="20"/>
          <w:szCs w:val="20"/>
        </w:rPr>
        <w:t xml:space="preserve">. </w:t>
      </w:r>
      <w:r w:rsidRPr="00721142">
        <w:rPr>
          <w:rFonts w:ascii="Verdana" w:hAnsi="Verdana" w:cs="Calibri"/>
          <w:sz w:val="20"/>
          <w:szCs w:val="20"/>
        </w:rPr>
        <w:t xml:space="preserve">Le </w:t>
      </w:r>
      <w:r>
        <w:rPr>
          <w:rFonts w:ascii="Verdana" w:hAnsi="Verdana" w:cs="Calibri"/>
          <w:sz w:val="20"/>
          <w:szCs w:val="20"/>
        </w:rPr>
        <w:t>COPL 02-2023 du 21 et 22 novembre 2023</w:t>
      </w:r>
      <w:r w:rsidRPr="00721142">
        <w:rPr>
          <w:rFonts w:ascii="Verdana" w:hAnsi="Verdana" w:cs="Calibri"/>
          <w:sz w:val="20"/>
          <w:szCs w:val="20"/>
        </w:rPr>
        <w:t>, dans sa décision 7, a réaffirmé l’importance d</w:t>
      </w:r>
      <w:r>
        <w:rPr>
          <w:rFonts w:ascii="Verdana" w:hAnsi="Verdana" w:cs="Calibri"/>
          <w:sz w:val="20"/>
          <w:szCs w:val="20"/>
        </w:rPr>
        <w:t xml:space="preserve">’accélérer </w:t>
      </w:r>
      <w:r w:rsidRPr="00B11F5E">
        <w:rPr>
          <w:rFonts w:ascii="Verdana" w:hAnsi="Verdana" w:cs="Calibri"/>
          <w:sz w:val="20"/>
          <w:szCs w:val="20"/>
        </w:rPr>
        <w:t>le processus de la promotion de l’économie circulaire</w:t>
      </w:r>
      <w:r>
        <w:rPr>
          <w:rFonts w:ascii="Verdana" w:hAnsi="Verdana" w:cs="Calibri"/>
          <w:sz w:val="20"/>
          <w:szCs w:val="20"/>
        </w:rPr>
        <w:t xml:space="preserve">. </w:t>
      </w:r>
      <w:r w:rsidRPr="003B2862">
        <w:rPr>
          <w:rFonts w:ascii="Verdana" w:hAnsi="Verdana" w:cs="Calibri"/>
          <w:sz w:val="20"/>
          <w:szCs w:val="20"/>
        </w:rPr>
        <w:t xml:space="preserve">Cette priorité </w:t>
      </w:r>
      <w:r>
        <w:rPr>
          <w:rFonts w:ascii="Verdana" w:hAnsi="Verdana" w:cs="Calibri"/>
          <w:sz w:val="20"/>
          <w:szCs w:val="20"/>
        </w:rPr>
        <w:t>implique</w:t>
      </w:r>
      <w:r w:rsidRPr="003B2862">
        <w:rPr>
          <w:rFonts w:ascii="Verdana" w:hAnsi="Verdana" w:cs="Calibri"/>
          <w:sz w:val="20"/>
          <w:szCs w:val="20"/>
        </w:rPr>
        <w:t xml:space="preserve"> un renforcement du socle partenarial de la COI afin de les traduire en actions et résultats</w:t>
      </w:r>
      <w:r>
        <w:rPr>
          <w:rFonts w:ascii="Verdana" w:hAnsi="Verdana" w:cs="Calibri"/>
          <w:sz w:val="20"/>
          <w:szCs w:val="20"/>
        </w:rPr>
        <w:t xml:space="preserve">.  </w:t>
      </w:r>
    </w:p>
    <w:p w14:paraId="68009DDB" w14:textId="6AAD4F76" w:rsidR="0008468B" w:rsidRDefault="00955BB3" w:rsidP="00B11F5E">
      <w:pPr>
        <w:pStyle w:val="Titrepartie"/>
      </w:pPr>
      <w:r w:rsidRPr="0008468B">
        <w:t>Etat d’avancement</w:t>
      </w:r>
    </w:p>
    <w:p w14:paraId="7E198EC3" w14:textId="54F24FC7" w:rsidR="00426673" w:rsidRDefault="00C635C3" w:rsidP="00236A45">
      <w:pPr>
        <w:spacing w:after="120"/>
        <w:jc w:val="both"/>
        <w:rPr>
          <w:rFonts w:ascii="Verdana" w:hAnsi="Verdana" w:cs="Calibri"/>
          <w:sz w:val="20"/>
          <w:szCs w:val="20"/>
        </w:rPr>
      </w:pPr>
      <w:r w:rsidRPr="00C635C3">
        <w:rPr>
          <w:rFonts w:ascii="Verdana" w:hAnsi="Verdana" w:cs="Calibri"/>
          <w:sz w:val="20"/>
          <w:szCs w:val="20"/>
        </w:rPr>
        <w:t xml:space="preserve">Conformément </w:t>
      </w:r>
      <w:r w:rsidR="00E93901">
        <w:rPr>
          <w:rFonts w:ascii="Verdana" w:hAnsi="Verdana" w:cs="Calibri"/>
          <w:sz w:val="20"/>
          <w:szCs w:val="20"/>
        </w:rPr>
        <w:t>à la</w:t>
      </w:r>
      <w:r w:rsidRPr="00C635C3">
        <w:rPr>
          <w:rFonts w:ascii="Verdana" w:hAnsi="Verdana" w:cs="Calibri"/>
          <w:sz w:val="20"/>
          <w:szCs w:val="20"/>
        </w:rPr>
        <w:t xml:space="preserve"> décision 10(a) d</w:t>
      </w:r>
      <w:r>
        <w:rPr>
          <w:rFonts w:ascii="Verdana" w:hAnsi="Verdana" w:cs="Calibri"/>
          <w:sz w:val="20"/>
          <w:szCs w:val="20"/>
        </w:rPr>
        <w:t>u COPL 02-2024, l</w:t>
      </w:r>
      <w:r w:rsidR="003B2862" w:rsidRPr="003B2862">
        <w:rPr>
          <w:rFonts w:ascii="Verdana" w:hAnsi="Verdana" w:cs="Calibri"/>
          <w:sz w:val="20"/>
          <w:szCs w:val="20"/>
        </w:rPr>
        <w:t xml:space="preserve">e Secrétariat général poursuit ses efforts de </w:t>
      </w:r>
      <w:r w:rsidR="00236A45">
        <w:rPr>
          <w:rFonts w:ascii="Verdana" w:hAnsi="Verdana" w:cs="Calibri"/>
          <w:sz w:val="20"/>
          <w:szCs w:val="20"/>
        </w:rPr>
        <w:t>développement</w:t>
      </w:r>
      <w:r w:rsidR="003B2862" w:rsidRPr="003B2862">
        <w:rPr>
          <w:rFonts w:ascii="Verdana" w:hAnsi="Verdana" w:cs="Calibri"/>
          <w:sz w:val="20"/>
          <w:szCs w:val="20"/>
        </w:rPr>
        <w:t xml:space="preserve"> de partenariat pour la mise en œuvre de</w:t>
      </w:r>
      <w:r w:rsidR="00B25DA2">
        <w:rPr>
          <w:rFonts w:ascii="Verdana" w:hAnsi="Verdana" w:cs="Calibri"/>
          <w:sz w:val="20"/>
          <w:szCs w:val="20"/>
        </w:rPr>
        <w:t xml:space="preserve">s priorités </w:t>
      </w:r>
      <w:r w:rsidR="00CD4906">
        <w:rPr>
          <w:rFonts w:ascii="Verdana" w:hAnsi="Verdana" w:cs="Calibri"/>
          <w:sz w:val="20"/>
          <w:szCs w:val="20"/>
        </w:rPr>
        <w:t xml:space="preserve">et recommandations issues de la </w:t>
      </w:r>
      <w:proofErr w:type="spellStart"/>
      <w:r w:rsidR="00512B71">
        <w:rPr>
          <w:rFonts w:ascii="Verdana" w:hAnsi="Verdana" w:cs="Calibri"/>
          <w:sz w:val="20"/>
          <w:szCs w:val="20"/>
        </w:rPr>
        <w:t>l</w:t>
      </w:r>
      <w:r w:rsidR="00512B71" w:rsidRPr="00512B71">
        <w:rPr>
          <w:rFonts w:ascii="Verdana" w:hAnsi="Verdana" w:cs="Calibri"/>
          <w:sz w:val="20"/>
          <w:szCs w:val="20"/>
        </w:rPr>
        <w:t>a</w:t>
      </w:r>
      <w:proofErr w:type="spellEnd"/>
      <w:r w:rsidR="00512B71" w:rsidRPr="00512B71">
        <w:rPr>
          <w:rFonts w:ascii="Verdana" w:hAnsi="Verdana" w:cs="Calibri"/>
          <w:sz w:val="20"/>
          <w:szCs w:val="20"/>
        </w:rPr>
        <w:t xml:space="preserve"> Conférence ministérielle « Blue Future sur l'économie bleue et l'action climatique en Afrique : les États insulaires et côtiers à l’avant-garde »,</w:t>
      </w:r>
      <w:r w:rsidR="00CD4906">
        <w:rPr>
          <w:rFonts w:ascii="Verdana" w:hAnsi="Verdana" w:cs="Calibri"/>
          <w:sz w:val="20"/>
          <w:szCs w:val="20"/>
        </w:rPr>
        <w:t xml:space="preserve"> organisée par la présidence comorienne en exercice de l’Union africaine en</w:t>
      </w:r>
      <w:r w:rsidR="00512B71" w:rsidRPr="00512B71">
        <w:rPr>
          <w:rFonts w:ascii="Verdana" w:hAnsi="Verdana" w:cs="Calibri"/>
          <w:sz w:val="20"/>
          <w:szCs w:val="20"/>
        </w:rPr>
        <w:t xml:space="preserve"> </w:t>
      </w:r>
      <w:r w:rsidR="00512B71">
        <w:rPr>
          <w:rFonts w:ascii="Verdana" w:hAnsi="Verdana" w:cs="Calibri"/>
          <w:sz w:val="20"/>
          <w:szCs w:val="20"/>
        </w:rPr>
        <w:t>en</w:t>
      </w:r>
      <w:r w:rsidR="00512B71" w:rsidRPr="00512B71">
        <w:rPr>
          <w:rFonts w:ascii="Verdana" w:hAnsi="Verdana" w:cs="Calibri"/>
          <w:sz w:val="20"/>
          <w:szCs w:val="20"/>
        </w:rPr>
        <w:t xml:space="preserve"> juin 2023 aux Comores</w:t>
      </w:r>
      <w:r w:rsidR="00512B71">
        <w:rPr>
          <w:rFonts w:ascii="Verdana" w:hAnsi="Verdana" w:cs="Calibri"/>
          <w:sz w:val="20"/>
          <w:szCs w:val="20"/>
        </w:rPr>
        <w:t xml:space="preserve">, et </w:t>
      </w:r>
      <w:r w:rsidR="00E82EB8">
        <w:rPr>
          <w:rFonts w:ascii="Verdana" w:hAnsi="Verdana" w:cs="Calibri"/>
          <w:sz w:val="20"/>
          <w:szCs w:val="20"/>
        </w:rPr>
        <w:t xml:space="preserve">de </w:t>
      </w:r>
      <w:r w:rsidR="00B25DA2">
        <w:rPr>
          <w:rFonts w:ascii="Verdana" w:hAnsi="Verdana" w:cs="Calibri"/>
          <w:sz w:val="20"/>
          <w:szCs w:val="20"/>
        </w:rPr>
        <w:t>la conférence ministérielle sur l’économie bleue et circulaire</w:t>
      </w:r>
      <w:r w:rsidR="00E82EB8">
        <w:rPr>
          <w:rFonts w:ascii="Verdana" w:hAnsi="Verdana" w:cs="Calibri"/>
          <w:sz w:val="20"/>
          <w:szCs w:val="20"/>
        </w:rPr>
        <w:t xml:space="preserve"> des Etats insulaires d’Afrique et de l’océan Indien de</w:t>
      </w:r>
      <w:r w:rsidR="00B25DA2">
        <w:rPr>
          <w:rFonts w:ascii="Verdana" w:hAnsi="Verdana" w:cs="Calibri"/>
          <w:sz w:val="20"/>
          <w:szCs w:val="20"/>
        </w:rPr>
        <w:t xml:space="preserve"> </w:t>
      </w:r>
      <w:r w:rsidR="003B2862" w:rsidRPr="003B2862">
        <w:rPr>
          <w:rFonts w:ascii="Verdana" w:hAnsi="Verdana" w:cs="Calibri"/>
          <w:sz w:val="20"/>
          <w:szCs w:val="20"/>
        </w:rPr>
        <w:t>septembre 2023</w:t>
      </w:r>
      <w:r w:rsidR="00512B71">
        <w:rPr>
          <w:rFonts w:ascii="Verdana" w:hAnsi="Verdana" w:cs="Calibri"/>
          <w:sz w:val="20"/>
          <w:szCs w:val="20"/>
        </w:rPr>
        <w:t xml:space="preserve"> à Maurice</w:t>
      </w:r>
      <w:r w:rsidR="003B2862" w:rsidRPr="003B2862">
        <w:rPr>
          <w:rFonts w:ascii="Verdana" w:hAnsi="Verdana" w:cs="Calibri"/>
          <w:sz w:val="20"/>
          <w:szCs w:val="20"/>
        </w:rPr>
        <w:t xml:space="preserve">.  </w:t>
      </w:r>
    </w:p>
    <w:p w14:paraId="08F4D629" w14:textId="1EC4224E" w:rsidR="000B6940" w:rsidRDefault="000B6940" w:rsidP="002C56ED">
      <w:pPr>
        <w:pStyle w:val="Sous-partie2"/>
      </w:pPr>
      <w:r>
        <w:t>Le plan d’action régional pour l’économie bleue de la COI (PAREB)</w:t>
      </w:r>
    </w:p>
    <w:p w14:paraId="34066C1D" w14:textId="6EEB7648" w:rsidR="000B6940" w:rsidRDefault="003975E7" w:rsidP="000B6940">
      <w:pPr>
        <w:pStyle w:val="Sous-partie2"/>
        <w:numPr>
          <w:ilvl w:val="0"/>
          <w:numId w:val="0"/>
        </w:numPr>
        <w:rPr>
          <w:color w:val="auto"/>
        </w:rPr>
      </w:pPr>
      <w:r>
        <w:rPr>
          <w:color w:val="auto"/>
        </w:rPr>
        <w:t>Le manque de moyen n’a pas permis une mise en œuvre du PAREB, même si le Secrétariat général a continué le plaidoyer envers l</w:t>
      </w:r>
      <w:r w:rsidR="000B6940">
        <w:rPr>
          <w:color w:val="auto"/>
        </w:rPr>
        <w:t>es partenaires</w:t>
      </w:r>
      <w:r>
        <w:rPr>
          <w:color w:val="auto"/>
        </w:rPr>
        <w:t>, dont l</w:t>
      </w:r>
      <w:r w:rsidR="000B6940">
        <w:rPr>
          <w:color w:val="auto"/>
        </w:rPr>
        <w:t>a Commission économique pour l’Afrique</w:t>
      </w:r>
      <w:r w:rsidR="008623C9">
        <w:rPr>
          <w:color w:val="auto"/>
        </w:rPr>
        <w:t xml:space="preserve"> (CEA)</w:t>
      </w:r>
      <w:r>
        <w:rPr>
          <w:color w:val="auto"/>
        </w:rPr>
        <w:t xml:space="preserve"> qui a apporté un</w:t>
      </w:r>
      <w:r w:rsidR="00FB4683">
        <w:rPr>
          <w:color w:val="auto"/>
        </w:rPr>
        <w:t>e assistance technique</w:t>
      </w:r>
      <w:r>
        <w:rPr>
          <w:color w:val="auto"/>
        </w:rPr>
        <w:t xml:space="preserve"> p</w:t>
      </w:r>
      <w:r w:rsidR="000B6940">
        <w:rPr>
          <w:color w:val="auto"/>
        </w:rPr>
        <w:t>our mener un</w:t>
      </w:r>
      <w:r>
        <w:rPr>
          <w:color w:val="auto"/>
        </w:rPr>
        <w:t xml:space="preserve"> exercice de mise à jour. </w:t>
      </w:r>
      <w:r w:rsidR="00E10479">
        <w:rPr>
          <w:color w:val="auto"/>
        </w:rPr>
        <w:t xml:space="preserve">Cet exercice </w:t>
      </w:r>
      <w:r>
        <w:rPr>
          <w:color w:val="auto"/>
        </w:rPr>
        <w:t xml:space="preserve">a pour but </w:t>
      </w:r>
      <w:r w:rsidR="000B6940">
        <w:rPr>
          <w:color w:val="auto"/>
        </w:rPr>
        <w:t xml:space="preserve">de réorienter les priorités stratégiques, afin de mieux intégrer les enjeux croisés actuels en matière de gouvernance des océans et d’économie bleue dans l’océan Indien. Il est prévu également </w:t>
      </w:r>
      <w:r w:rsidR="00512B71">
        <w:rPr>
          <w:color w:val="auto"/>
        </w:rPr>
        <w:t>l’ajout d’</w:t>
      </w:r>
      <w:r w:rsidR="000B6940">
        <w:rPr>
          <w:color w:val="auto"/>
        </w:rPr>
        <w:t>une estimation des coûts des actions prioritaires proposées</w:t>
      </w:r>
      <w:r w:rsidR="00512B71">
        <w:rPr>
          <w:color w:val="auto"/>
        </w:rPr>
        <w:t xml:space="preserve"> dans </w:t>
      </w:r>
      <w:r w:rsidR="00512B71" w:rsidRPr="00512B71">
        <w:rPr>
          <w:color w:val="auto"/>
        </w:rPr>
        <w:t>le plan actualisé</w:t>
      </w:r>
      <w:r w:rsidR="00512B71">
        <w:rPr>
          <w:color w:val="auto"/>
        </w:rPr>
        <w:t>.</w:t>
      </w:r>
    </w:p>
    <w:p w14:paraId="310D1C5B" w14:textId="713A28DB" w:rsidR="000B6940" w:rsidRDefault="000B6940" w:rsidP="000B6940">
      <w:pPr>
        <w:pStyle w:val="Sous-partie2"/>
        <w:numPr>
          <w:ilvl w:val="0"/>
          <w:numId w:val="0"/>
        </w:numPr>
        <w:rPr>
          <w:color w:val="auto"/>
        </w:rPr>
      </w:pPr>
      <w:r>
        <w:rPr>
          <w:color w:val="auto"/>
        </w:rPr>
        <w:t xml:space="preserve">En outre, </w:t>
      </w:r>
      <w:r w:rsidR="00512B71">
        <w:rPr>
          <w:color w:val="auto"/>
        </w:rPr>
        <w:t xml:space="preserve">il est prévu également </w:t>
      </w:r>
      <w:r w:rsidR="008623C9">
        <w:rPr>
          <w:color w:val="auto"/>
        </w:rPr>
        <w:t xml:space="preserve">de tenir </w:t>
      </w:r>
      <w:r>
        <w:rPr>
          <w:color w:val="auto"/>
        </w:rPr>
        <w:t>une session</w:t>
      </w:r>
      <w:r w:rsidR="008623C9">
        <w:rPr>
          <w:color w:val="auto"/>
        </w:rPr>
        <w:t xml:space="preserve"> de</w:t>
      </w:r>
      <w:r w:rsidR="00512B71" w:rsidRPr="00512B71">
        <w:rPr>
          <w:color w:val="auto"/>
        </w:rPr>
        <w:t xml:space="preserve"> formation sur la maîtrise de la boîte à outils pour l'évaluation de l'économie bleue (BEVTK) et le matériel associé élaboré par la CEA</w:t>
      </w:r>
      <w:r w:rsidR="00937B52">
        <w:rPr>
          <w:color w:val="auto"/>
        </w:rPr>
        <w:t xml:space="preserve"> au bénéfice des</w:t>
      </w:r>
      <w:r w:rsidR="00512B71" w:rsidRPr="00512B71">
        <w:rPr>
          <w:color w:val="auto"/>
        </w:rPr>
        <w:t xml:space="preserve"> États membres de la COI</w:t>
      </w:r>
      <w:r w:rsidR="00F50B52">
        <w:rPr>
          <w:color w:val="auto"/>
        </w:rPr>
        <w:t xml:space="preserve">. </w:t>
      </w:r>
    </w:p>
    <w:p w14:paraId="437CACE6" w14:textId="18FCD185" w:rsidR="00F50B52" w:rsidRDefault="00FB4683" w:rsidP="000B6940">
      <w:pPr>
        <w:pStyle w:val="Sous-partie2"/>
        <w:numPr>
          <w:ilvl w:val="0"/>
          <w:numId w:val="0"/>
        </w:numPr>
        <w:rPr>
          <w:color w:val="auto"/>
        </w:rPr>
      </w:pPr>
      <w:r>
        <w:rPr>
          <w:color w:val="auto"/>
        </w:rPr>
        <w:t>Le</w:t>
      </w:r>
      <w:r w:rsidR="00F50B52">
        <w:rPr>
          <w:color w:val="auto"/>
        </w:rPr>
        <w:t xml:space="preserve"> processus de consultation en ligne s’est déroulé </w:t>
      </w:r>
      <w:r w:rsidR="00E463B3">
        <w:rPr>
          <w:color w:val="auto"/>
        </w:rPr>
        <w:t xml:space="preserve">au </w:t>
      </w:r>
      <w:r w:rsidR="00F50B52">
        <w:rPr>
          <w:color w:val="auto"/>
        </w:rPr>
        <w:t xml:space="preserve">mois de septembre 2025 avec les représentants </w:t>
      </w:r>
      <w:r w:rsidR="00E463B3">
        <w:rPr>
          <w:color w:val="auto"/>
        </w:rPr>
        <w:t>de Madagascar et Maurice</w:t>
      </w:r>
      <w:r w:rsidR="00F50B52">
        <w:rPr>
          <w:color w:val="auto"/>
        </w:rPr>
        <w:t xml:space="preserve">. L’atelier de validation, en présentiel, est programmé </w:t>
      </w:r>
      <w:r>
        <w:rPr>
          <w:color w:val="auto"/>
        </w:rPr>
        <w:t xml:space="preserve">du </w:t>
      </w:r>
      <w:r w:rsidR="00B8535E">
        <w:rPr>
          <w:color w:val="auto"/>
        </w:rPr>
        <w:t>8 au 10</w:t>
      </w:r>
      <w:r>
        <w:rPr>
          <w:color w:val="auto"/>
        </w:rPr>
        <w:t xml:space="preserve"> </w:t>
      </w:r>
      <w:r w:rsidR="00F50B52">
        <w:rPr>
          <w:color w:val="auto"/>
        </w:rPr>
        <w:t>décembre 2025.</w:t>
      </w:r>
    </w:p>
    <w:p w14:paraId="46CAD44E" w14:textId="77777777" w:rsidR="000B6940" w:rsidRPr="000B6940" w:rsidRDefault="000B6940" w:rsidP="000B6940">
      <w:pPr>
        <w:pStyle w:val="Sous-partie2"/>
        <w:numPr>
          <w:ilvl w:val="0"/>
          <w:numId w:val="0"/>
        </w:numPr>
        <w:rPr>
          <w:color w:val="auto"/>
        </w:rPr>
      </w:pPr>
    </w:p>
    <w:p w14:paraId="2FB5E988" w14:textId="038463C9" w:rsidR="00422748" w:rsidRDefault="00422748" w:rsidP="002C56ED">
      <w:pPr>
        <w:pStyle w:val="Sous-partie2"/>
      </w:pPr>
      <w:r>
        <w:t>L</w:t>
      </w:r>
      <w:r w:rsidRPr="00422748">
        <w:t>e</w:t>
      </w:r>
      <w:r w:rsidR="00236A45">
        <w:t xml:space="preserve"> plan d’action de l’économie circulaire des Etats insulaires d’Afrique et de l’océan Indien et le mécanisme de financement innovant de l’économie bleue et circulaire</w:t>
      </w:r>
    </w:p>
    <w:p w14:paraId="206E9F21" w14:textId="462CEB03" w:rsidR="00550977" w:rsidRDefault="00236A45" w:rsidP="00550977">
      <w:pPr>
        <w:jc w:val="both"/>
        <w:rPr>
          <w:rFonts w:ascii="Verdana" w:hAnsi="Verdana" w:cs="Calibri"/>
          <w:sz w:val="20"/>
          <w:szCs w:val="20"/>
        </w:rPr>
      </w:pPr>
      <w:r w:rsidRPr="000A2D27">
        <w:rPr>
          <w:rFonts w:ascii="Verdana" w:hAnsi="Verdana" w:cs="Calibri"/>
          <w:sz w:val="20"/>
          <w:szCs w:val="20"/>
        </w:rPr>
        <w:t xml:space="preserve">Conformément à la </w:t>
      </w:r>
      <w:bookmarkStart w:id="1" w:name="_Hlk161827428"/>
      <w:r w:rsidRPr="000A2D27">
        <w:rPr>
          <w:rFonts w:ascii="Verdana" w:hAnsi="Verdana" w:cs="Calibri"/>
          <w:sz w:val="20"/>
          <w:szCs w:val="20"/>
        </w:rPr>
        <w:t>décision 7b) du Comité des OPL des 21 et 22 novembre 2023</w:t>
      </w:r>
      <w:bookmarkEnd w:id="1"/>
      <w:r w:rsidR="00B25DA2">
        <w:rPr>
          <w:rFonts w:ascii="Verdana" w:hAnsi="Verdana" w:cs="Calibri"/>
          <w:sz w:val="20"/>
          <w:szCs w:val="20"/>
        </w:rPr>
        <w:t xml:space="preserve">, </w:t>
      </w:r>
      <w:r w:rsidRPr="000A2D27">
        <w:rPr>
          <w:rFonts w:ascii="Verdana" w:hAnsi="Verdana" w:cs="Calibri"/>
          <w:sz w:val="20"/>
          <w:szCs w:val="20"/>
        </w:rPr>
        <w:t xml:space="preserve">le </w:t>
      </w:r>
      <w:r>
        <w:rPr>
          <w:rFonts w:ascii="Verdana" w:hAnsi="Verdana" w:cs="Calibri"/>
          <w:sz w:val="20"/>
          <w:szCs w:val="20"/>
        </w:rPr>
        <w:t>S</w:t>
      </w:r>
      <w:r w:rsidRPr="000A2D27">
        <w:rPr>
          <w:rFonts w:ascii="Verdana" w:hAnsi="Verdana" w:cs="Calibri"/>
          <w:sz w:val="20"/>
          <w:szCs w:val="20"/>
        </w:rPr>
        <w:t>ecrétariat général</w:t>
      </w:r>
      <w:r>
        <w:rPr>
          <w:rFonts w:ascii="Verdana" w:hAnsi="Verdana" w:cs="Calibri"/>
          <w:sz w:val="20"/>
          <w:szCs w:val="20"/>
        </w:rPr>
        <w:t xml:space="preserve"> </w:t>
      </w:r>
      <w:r w:rsidR="00491466">
        <w:rPr>
          <w:rFonts w:ascii="Verdana" w:hAnsi="Verdana" w:cs="Calibri"/>
          <w:sz w:val="20"/>
          <w:szCs w:val="20"/>
        </w:rPr>
        <w:t xml:space="preserve">a mobilisé </w:t>
      </w:r>
      <w:r w:rsidR="009A565A">
        <w:rPr>
          <w:rFonts w:ascii="Verdana" w:hAnsi="Verdana" w:cs="Calibri"/>
          <w:sz w:val="20"/>
          <w:szCs w:val="20"/>
        </w:rPr>
        <w:t xml:space="preserve">la Commission économique pour l’Afrique (CEA) et </w:t>
      </w:r>
      <w:r>
        <w:rPr>
          <w:rFonts w:ascii="Verdana" w:hAnsi="Verdana" w:cs="Calibri"/>
          <w:sz w:val="20"/>
          <w:szCs w:val="20"/>
        </w:rPr>
        <w:t>a obtenu l’accord</w:t>
      </w:r>
      <w:r w:rsidR="00E3047A">
        <w:rPr>
          <w:rFonts w:ascii="Verdana" w:hAnsi="Verdana" w:cs="Calibri"/>
          <w:sz w:val="20"/>
          <w:szCs w:val="20"/>
        </w:rPr>
        <w:t>, en février 2024,</w:t>
      </w:r>
      <w:r>
        <w:rPr>
          <w:rFonts w:ascii="Verdana" w:hAnsi="Verdana" w:cs="Calibri"/>
          <w:sz w:val="20"/>
          <w:szCs w:val="20"/>
        </w:rPr>
        <w:t xml:space="preserve"> d’une assistance technique pour l’élaboration d’un plan d’action de l’économie circulaire pour les Etats insulaires d’Afrique et de l’océan Indien et la proposition d’un mécanisme de financement innovant de l’économie bleue et circulaire, en articulation avec le plan d’action continental de l’économie circulaire validé en novembre 2023. </w:t>
      </w:r>
      <w:r w:rsidR="00810A2C">
        <w:rPr>
          <w:rFonts w:ascii="Verdana" w:hAnsi="Verdana" w:cs="Calibri"/>
          <w:sz w:val="20"/>
          <w:szCs w:val="20"/>
        </w:rPr>
        <w:t>D</w:t>
      </w:r>
      <w:r w:rsidR="00550977">
        <w:rPr>
          <w:rFonts w:ascii="Verdana" w:hAnsi="Verdana" w:cs="Calibri"/>
          <w:sz w:val="20"/>
          <w:szCs w:val="20"/>
        </w:rPr>
        <w:t>émarré</w:t>
      </w:r>
      <w:r w:rsidR="00810A2C">
        <w:rPr>
          <w:rFonts w:ascii="Verdana" w:hAnsi="Verdana" w:cs="Calibri"/>
          <w:sz w:val="20"/>
          <w:szCs w:val="20"/>
        </w:rPr>
        <w:t>e</w:t>
      </w:r>
      <w:r w:rsidR="00550977">
        <w:rPr>
          <w:rFonts w:ascii="Verdana" w:hAnsi="Verdana" w:cs="Calibri"/>
          <w:sz w:val="20"/>
          <w:szCs w:val="20"/>
        </w:rPr>
        <w:t xml:space="preserve"> en septembre 2024, elle s’est concentrée sur les priorités régionales, en alignement aux </w:t>
      </w:r>
      <w:r w:rsidR="00550977" w:rsidRPr="00550977">
        <w:rPr>
          <w:rFonts w:ascii="Verdana" w:hAnsi="Verdana" w:cs="Calibri"/>
          <w:sz w:val="20"/>
          <w:szCs w:val="20"/>
        </w:rPr>
        <w:t>besoins des Etats insulaires d’Afrique et de l’océan Indien (Cap Vert, Guinée Bissau, Madagascar, Maurice, Sao-Tomé et Principe, Seychelles, Union des Comores) ainsi que La Réunion.</w:t>
      </w:r>
      <w:r w:rsidR="00550977">
        <w:rPr>
          <w:rFonts w:ascii="Verdana" w:hAnsi="Verdana" w:cs="Calibri"/>
          <w:sz w:val="20"/>
          <w:szCs w:val="20"/>
        </w:rPr>
        <w:t xml:space="preserve"> La mission s’est articulée sur trois résultats concrets :</w:t>
      </w:r>
    </w:p>
    <w:p w14:paraId="1185E8FB" w14:textId="11F3ECBE" w:rsidR="00550977" w:rsidRPr="00550977" w:rsidRDefault="00550977" w:rsidP="00550977">
      <w:pPr>
        <w:pStyle w:val="Paragraphedeliste"/>
        <w:numPr>
          <w:ilvl w:val="0"/>
          <w:numId w:val="18"/>
        </w:numPr>
        <w:jc w:val="both"/>
        <w:rPr>
          <w:rFonts w:ascii="Verdana" w:hAnsi="Verdana" w:cs="Calibri"/>
          <w:sz w:val="20"/>
          <w:szCs w:val="20"/>
        </w:rPr>
      </w:pPr>
      <w:r w:rsidRPr="00550977">
        <w:rPr>
          <w:rFonts w:ascii="Verdana" w:hAnsi="Verdana" w:cs="Calibri"/>
          <w:sz w:val="20"/>
          <w:szCs w:val="20"/>
        </w:rPr>
        <w:t xml:space="preserve">Un plan d'action </w:t>
      </w:r>
      <w:r>
        <w:rPr>
          <w:rFonts w:ascii="Verdana" w:hAnsi="Verdana" w:cs="Calibri"/>
          <w:sz w:val="20"/>
          <w:szCs w:val="20"/>
        </w:rPr>
        <w:t>de</w:t>
      </w:r>
      <w:r w:rsidRPr="00550977">
        <w:rPr>
          <w:rFonts w:ascii="Verdana" w:hAnsi="Verdana" w:cs="Calibri"/>
          <w:sz w:val="20"/>
          <w:szCs w:val="20"/>
        </w:rPr>
        <w:t xml:space="preserve"> l'économie circulaire</w:t>
      </w:r>
      <w:r w:rsidR="00C635C3">
        <w:rPr>
          <w:rFonts w:ascii="Verdana" w:hAnsi="Verdana" w:cs="Calibri"/>
          <w:sz w:val="20"/>
          <w:szCs w:val="20"/>
        </w:rPr>
        <w:t xml:space="preserve"> (PAEC)</w:t>
      </w:r>
      <w:r w:rsidRPr="00550977">
        <w:rPr>
          <w:rFonts w:ascii="Verdana" w:hAnsi="Verdana" w:cs="Calibri"/>
          <w:sz w:val="20"/>
          <w:szCs w:val="20"/>
        </w:rPr>
        <w:t xml:space="preserve"> </w:t>
      </w:r>
      <w:r>
        <w:rPr>
          <w:rFonts w:ascii="Verdana" w:hAnsi="Verdana" w:cs="Calibri"/>
          <w:sz w:val="20"/>
          <w:szCs w:val="20"/>
        </w:rPr>
        <w:t xml:space="preserve">des Etats insulaires d’Afrique et </w:t>
      </w:r>
      <w:r w:rsidRPr="00550977">
        <w:rPr>
          <w:rFonts w:ascii="Verdana" w:hAnsi="Verdana" w:cs="Calibri"/>
          <w:sz w:val="20"/>
          <w:szCs w:val="20"/>
        </w:rPr>
        <w:t>de l'océan Indie</w:t>
      </w:r>
      <w:r w:rsidR="0026279A">
        <w:rPr>
          <w:rFonts w:ascii="Verdana" w:hAnsi="Verdana" w:cs="Calibri"/>
          <w:sz w:val="20"/>
          <w:szCs w:val="20"/>
        </w:rPr>
        <w:t>n</w:t>
      </w:r>
      <w:r w:rsidR="005813A2">
        <w:rPr>
          <w:rFonts w:ascii="Verdana" w:hAnsi="Verdana" w:cs="Calibri"/>
          <w:sz w:val="20"/>
          <w:szCs w:val="20"/>
        </w:rPr>
        <w:t xml:space="preserve">, </w:t>
      </w:r>
      <w:r w:rsidR="005813A2" w:rsidRPr="005813A2">
        <w:rPr>
          <w:rFonts w:ascii="Verdana" w:hAnsi="Verdana" w:cs="Calibri"/>
          <w:sz w:val="20"/>
          <w:szCs w:val="20"/>
        </w:rPr>
        <w:t>compren</w:t>
      </w:r>
      <w:r w:rsidR="005813A2">
        <w:rPr>
          <w:rFonts w:ascii="Verdana" w:hAnsi="Verdana" w:cs="Calibri"/>
          <w:sz w:val="20"/>
          <w:szCs w:val="20"/>
        </w:rPr>
        <w:t>ant</w:t>
      </w:r>
      <w:r w:rsidR="005813A2" w:rsidRPr="005813A2">
        <w:rPr>
          <w:rFonts w:ascii="Verdana" w:hAnsi="Verdana" w:cs="Calibri"/>
          <w:sz w:val="20"/>
          <w:szCs w:val="20"/>
        </w:rPr>
        <w:t xml:space="preserve"> des priorités et des actions stratégiques régionales dans </w:t>
      </w:r>
      <w:r w:rsidR="005813A2" w:rsidRPr="005813A2">
        <w:rPr>
          <w:rFonts w:ascii="Verdana" w:hAnsi="Verdana" w:cs="Calibri"/>
          <w:sz w:val="20"/>
          <w:szCs w:val="20"/>
        </w:rPr>
        <w:lastRenderedPageBreak/>
        <w:t>les secteurs de l'agriculture, de la pêche, du tourisme, de la gestion des déchets, de la construction, de l'énergie et de l'eau, qui sont essentiels au développement économique de la région</w:t>
      </w:r>
      <w:r w:rsidR="00B03531">
        <w:rPr>
          <w:rFonts w:ascii="Verdana" w:hAnsi="Verdana" w:cs="Calibri"/>
          <w:sz w:val="20"/>
          <w:szCs w:val="20"/>
        </w:rPr>
        <w:t xml:space="preserve"> (</w:t>
      </w:r>
      <w:r w:rsidR="00B03531">
        <w:t>Annexe 1)</w:t>
      </w:r>
      <w:r w:rsidR="005813A2">
        <w:rPr>
          <w:rFonts w:ascii="Verdana" w:hAnsi="Verdana" w:cs="Calibri"/>
          <w:sz w:val="20"/>
          <w:szCs w:val="20"/>
        </w:rPr>
        <w:t>.</w:t>
      </w:r>
    </w:p>
    <w:p w14:paraId="5947AB9D" w14:textId="44409A52" w:rsidR="00550977" w:rsidRPr="00550977" w:rsidRDefault="00550977" w:rsidP="00550977">
      <w:pPr>
        <w:pStyle w:val="Paragraphedeliste"/>
        <w:numPr>
          <w:ilvl w:val="0"/>
          <w:numId w:val="18"/>
        </w:numPr>
        <w:jc w:val="both"/>
        <w:rPr>
          <w:rFonts w:ascii="Verdana" w:hAnsi="Verdana" w:cs="Calibri"/>
          <w:sz w:val="20"/>
          <w:szCs w:val="20"/>
        </w:rPr>
      </w:pPr>
      <w:r w:rsidRPr="00550977">
        <w:rPr>
          <w:rFonts w:ascii="Verdana" w:hAnsi="Verdana" w:cs="Calibri"/>
          <w:sz w:val="20"/>
          <w:szCs w:val="20"/>
        </w:rPr>
        <w:t xml:space="preserve">Un mécanisme de financement </w:t>
      </w:r>
      <w:r>
        <w:rPr>
          <w:rFonts w:ascii="Verdana" w:hAnsi="Verdana" w:cs="Calibri"/>
          <w:sz w:val="20"/>
          <w:szCs w:val="20"/>
        </w:rPr>
        <w:t>innovant, adapté aux</w:t>
      </w:r>
      <w:r w:rsidRPr="00550977">
        <w:rPr>
          <w:rFonts w:ascii="Verdana" w:hAnsi="Verdana" w:cs="Calibri"/>
          <w:sz w:val="20"/>
          <w:szCs w:val="20"/>
        </w:rPr>
        <w:t xml:space="preserve"> spécificités des </w:t>
      </w:r>
      <w:r w:rsidR="005813A2">
        <w:rPr>
          <w:rFonts w:ascii="Verdana" w:hAnsi="Verdana" w:cs="Calibri"/>
          <w:sz w:val="20"/>
          <w:szCs w:val="20"/>
        </w:rPr>
        <w:t>Etats,</w:t>
      </w:r>
      <w:r w:rsidRPr="00550977">
        <w:rPr>
          <w:rFonts w:ascii="Verdana" w:hAnsi="Verdana" w:cs="Calibri"/>
          <w:sz w:val="20"/>
          <w:szCs w:val="20"/>
        </w:rPr>
        <w:t xml:space="preserve"> y compris les priorités de l'économie circulaire et bleue tirées du plan d'action pour l'économie circulaire des </w:t>
      </w:r>
      <w:r>
        <w:rPr>
          <w:rFonts w:ascii="Verdana" w:hAnsi="Verdana" w:cs="Calibri"/>
          <w:sz w:val="20"/>
          <w:szCs w:val="20"/>
        </w:rPr>
        <w:t>Etats insulaires</w:t>
      </w:r>
      <w:r w:rsidRPr="00550977">
        <w:rPr>
          <w:rFonts w:ascii="Verdana" w:hAnsi="Verdana" w:cs="Calibri"/>
          <w:sz w:val="20"/>
          <w:szCs w:val="20"/>
        </w:rPr>
        <w:t xml:space="preserve"> et du </w:t>
      </w:r>
      <w:r w:rsidR="00810A2C">
        <w:rPr>
          <w:rFonts w:ascii="Verdana" w:hAnsi="Verdana" w:cs="Calibri"/>
          <w:sz w:val="20"/>
          <w:szCs w:val="20"/>
        </w:rPr>
        <w:t>PAREB</w:t>
      </w:r>
      <w:r w:rsidR="00B03531">
        <w:rPr>
          <w:rFonts w:ascii="Verdana" w:hAnsi="Verdana" w:cs="Calibri"/>
          <w:sz w:val="20"/>
          <w:szCs w:val="20"/>
        </w:rPr>
        <w:t xml:space="preserve"> (Annexe 2)</w:t>
      </w:r>
      <w:r w:rsidRPr="00550977">
        <w:rPr>
          <w:rFonts w:ascii="Verdana" w:hAnsi="Verdana" w:cs="Calibri"/>
          <w:sz w:val="20"/>
          <w:szCs w:val="20"/>
        </w:rPr>
        <w:t>.</w:t>
      </w:r>
    </w:p>
    <w:p w14:paraId="2D8F9C59" w14:textId="7D6D24FC" w:rsidR="00550977" w:rsidRDefault="00550977" w:rsidP="00550977">
      <w:pPr>
        <w:pStyle w:val="Paragraphedeliste"/>
        <w:numPr>
          <w:ilvl w:val="0"/>
          <w:numId w:val="18"/>
        </w:numPr>
        <w:jc w:val="both"/>
        <w:rPr>
          <w:rFonts w:ascii="Verdana" w:hAnsi="Verdana" w:cs="Calibri"/>
          <w:sz w:val="20"/>
          <w:szCs w:val="20"/>
        </w:rPr>
      </w:pPr>
      <w:r w:rsidRPr="00550977">
        <w:rPr>
          <w:rFonts w:ascii="Verdana" w:hAnsi="Verdana" w:cs="Calibri"/>
          <w:sz w:val="20"/>
          <w:szCs w:val="20"/>
        </w:rPr>
        <w:t xml:space="preserve">Un atelier des parties prenantes et </w:t>
      </w:r>
      <w:r w:rsidR="00C635C3">
        <w:rPr>
          <w:rFonts w:ascii="Verdana" w:hAnsi="Verdana" w:cs="Calibri"/>
          <w:sz w:val="20"/>
          <w:szCs w:val="20"/>
        </w:rPr>
        <w:t xml:space="preserve">des </w:t>
      </w:r>
      <w:r w:rsidRPr="00550977">
        <w:rPr>
          <w:rFonts w:ascii="Verdana" w:hAnsi="Verdana" w:cs="Calibri"/>
          <w:sz w:val="20"/>
          <w:szCs w:val="20"/>
        </w:rPr>
        <w:t>experts</w:t>
      </w:r>
      <w:r w:rsidR="00C635C3">
        <w:rPr>
          <w:rFonts w:ascii="Verdana" w:hAnsi="Verdana" w:cs="Calibri"/>
          <w:sz w:val="20"/>
          <w:szCs w:val="20"/>
        </w:rPr>
        <w:t xml:space="preserve"> en économie bleue et circulaire</w:t>
      </w:r>
      <w:r>
        <w:rPr>
          <w:rFonts w:ascii="Verdana" w:hAnsi="Verdana" w:cs="Calibri"/>
          <w:sz w:val="20"/>
          <w:szCs w:val="20"/>
        </w:rPr>
        <w:t>, tenu les 27 et 28 janvier 202</w:t>
      </w:r>
      <w:r w:rsidR="00FB4683">
        <w:rPr>
          <w:rFonts w:ascii="Verdana" w:hAnsi="Verdana" w:cs="Calibri"/>
          <w:sz w:val="20"/>
          <w:szCs w:val="20"/>
        </w:rPr>
        <w:t>5</w:t>
      </w:r>
      <w:r>
        <w:rPr>
          <w:rFonts w:ascii="Verdana" w:hAnsi="Verdana" w:cs="Calibri"/>
          <w:sz w:val="20"/>
          <w:szCs w:val="20"/>
        </w:rPr>
        <w:t xml:space="preserve"> à Maurice,</w:t>
      </w:r>
      <w:r w:rsidRPr="00550977">
        <w:rPr>
          <w:rFonts w:ascii="Verdana" w:hAnsi="Verdana" w:cs="Calibri"/>
          <w:sz w:val="20"/>
          <w:szCs w:val="20"/>
        </w:rPr>
        <w:t xml:space="preserve"> pour examiner et valider le plan d'action de l'économie circulaire des Etats insulaires d'Afrique et de l'océan Indien</w:t>
      </w:r>
      <w:r w:rsidR="0026279A">
        <w:rPr>
          <w:rFonts w:ascii="Verdana" w:hAnsi="Verdana" w:cs="Calibri"/>
          <w:sz w:val="20"/>
          <w:szCs w:val="20"/>
        </w:rPr>
        <w:t xml:space="preserve"> et </w:t>
      </w:r>
      <w:r w:rsidRPr="00550977">
        <w:rPr>
          <w:rFonts w:ascii="Verdana" w:hAnsi="Verdana" w:cs="Calibri"/>
          <w:sz w:val="20"/>
          <w:szCs w:val="20"/>
        </w:rPr>
        <w:t>le mécanisme de financement innovant</w:t>
      </w:r>
      <w:r w:rsidR="00E93901">
        <w:rPr>
          <w:rFonts w:ascii="Verdana" w:hAnsi="Verdana" w:cs="Calibri"/>
          <w:sz w:val="20"/>
          <w:szCs w:val="20"/>
        </w:rPr>
        <w:t>. Cet atelier a permis, également, de lancer officiellement,</w:t>
      </w:r>
      <w:r w:rsidR="0026279A">
        <w:rPr>
          <w:rFonts w:ascii="Verdana" w:hAnsi="Verdana" w:cs="Calibri"/>
          <w:sz w:val="20"/>
          <w:szCs w:val="20"/>
        </w:rPr>
        <w:t xml:space="preserve"> le groupe de travail des experts de l’économie circulaire</w:t>
      </w:r>
      <w:r w:rsidRPr="00550977">
        <w:rPr>
          <w:rFonts w:ascii="Verdana" w:hAnsi="Verdana" w:cs="Calibri"/>
          <w:sz w:val="20"/>
          <w:szCs w:val="20"/>
        </w:rPr>
        <w:t>.</w:t>
      </w:r>
      <w:r>
        <w:rPr>
          <w:rFonts w:ascii="Verdana" w:hAnsi="Verdana" w:cs="Calibri"/>
          <w:sz w:val="20"/>
          <w:szCs w:val="20"/>
        </w:rPr>
        <w:t xml:space="preserve"> Cet atelier a vu la participation de 70 parties prenantes et experts en présentiel et en ligne. </w:t>
      </w:r>
    </w:p>
    <w:p w14:paraId="4DD54E1D" w14:textId="231AA951" w:rsidR="002905E7" w:rsidRDefault="0080295F" w:rsidP="002905E7">
      <w:pPr>
        <w:jc w:val="both"/>
        <w:rPr>
          <w:rFonts w:ascii="Verdana" w:hAnsi="Verdana" w:cs="Calibri"/>
          <w:sz w:val="20"/>
          <w:szCs w:val="20"/>
        </w:rPr>
      </w:pPr>
      <w:r>
        <w:rPr>
          <w:rFonts w:ascii="Verdana" w:hAnsi="Verdana" w:cs="Calibri"/>
          <w:sz w:val="20"/>
          <w:szCs w:val="20"/>
        </w:rPr>
        <w:t xml:space="preserve">A l’issue de l’atelier de validation, les deux référentiels </w:t>
      </w:r>
      <w:r w:rsidR="003975E7">
        <w:rPr>
          <w:rFonts w:ascii="Verdana" w:hAnsi="Verdana" w:cs="Calibri"/>
          <w:sz w:val="20"/>
          <w:szCs w:val="20"/>
        </w:rPr>
        <w:t xml:space="preserve">(le PAEC et le document de mécanisme financement) </w:t>
      </w:r>
      <w:r>
        <w:rPr>
          <w:rFonts w:ascii="Verdana" w:hAnsi="Verdana" w:cs="Calibri"/>
          <w:sz w:val="20"/>
          <w:szCs w:val="20"/>
        </w:rPr>
        <w:t xml:space="preserve">ont été enrichis par </w:t>
      </w:r>
      <w:r w:rsidR="003975E7">
        <w:rPr>
          <w:rFonts w:ascii="Verdana" w:hAnsi="Verdana" w:cs="Calibri"/>
          <w:sz w:val="20"/>
          <w:szCs w:val="20"/>
        </w:rPr>
        <w:t>plus d’</w:t>
      </w:r>
      <w:r>
        <w:rPr>
          <w:rFonts w:ascii="Verdana" w:hAnsi="Verdana" w:cs="Calibri"/>
          <w:sz w:val="20"/>
          <w:szCs w:val="20"/>
        </w:rPr>
        <w:t>une centaine de contributions des représentants des acteurs publics, privés, des partenaires techniques et financier</w:t>
      </w:r>
      <w:r w:rsidR="00E93901">
        <w:rPr>
          <w:rFonts w:ascii="Verdana" w:hAnsi="Verdana" w:cs="Calibri"/>
          <w:sz w:val="20"/>
          <w:szCs w:val="20"/>
        </w:rPr>
        <w:t>s</w:t>
      </w:r>
      <w:r>
        <w:rPr>
          <w:rFonts w:ascii="Verdana" w:hAnsi="Verdana" w:cs="Calibri"/>
          <w:sz w:val="20"/>
          <w:szCs w:val="20"/>
        </w:rPr>
        <w:t xml:space="preserve">, </w:t>
      </w:r>
      <w:r w:rsidR="00E93901">
        <w:rPr>
          <w:rFonts w:ascii="Verdana" w:hAnsi="Verdana" w:cs="Calibri"/>
          <w:sz w:val="20"/>
          <w:szCs w:val="20"/>
        </w:rPr>
        <w:t xml:space="preserve">des communautés économiques régionales, </w:t>
      </w:r>
      <w:r>
        <w:rPr>
          <w:rFonts w:ascii="Verdana" w:hAnsi="Verdana" w:cs="Calibri"/>
          <w:sz w:val="20"/>
          <w:szCs w:val="20"/>
        </w:rPr>
        <w:t xml:space="preserve">des représentants des </w:t>
      </w:r>
      <w:r w:rsidR="005813A2">
        <w:rPr>
          <w:rFonts w:ascii="Verdana" w:hAnsi="Verdana" w:cs="Calibri"/>
          <w:sz w:val="20"/>
          <w:szCs w:val="20"/>
        </w:rPr>
        <w:t>organisations des sociétés civiles</w:t>
      </w:r>
      <w:r w:rsidR="00E93901">
        <w:rPr>
          <w:rFonts w:ascii="Verdana" w:hAnsi="Verdana" w:cs="Calibri"/>
          <w:sz w:val="20"/>
          <w:szCs w:val="20"/>
        </w:rPr>
        <w:t>, des fondations philanthropiques</w:t>
      </w:r>
      <w:r w:rsidR="005813A2">
        <w:rPr>
          <w:rFonts w:ascii="Verdana" w:hAnsi="Verdana" w:cs="Calibri"/>
          <w:sz w:val="20"/>
          <w:szCs w:val="20"/>
        </w:rPr>
        <w:t xml:space="preserve"> et des </w:t>
      </w:r>
      <w:r>
        <w:rPr>
          <w:rFonts w:ascii="Verdana" w:hAnsi="Verdana" w:cs="Calibri"/>
          <w:sz w:val="20"/>
          <w:szCs w:val="20"/>
        </w:rPr>
        <w:t xml:space="preserve">collectivités territoriales décentralisées. </w:t>
      </w:r>
      <w:r w:rsidR="002905E7">
        <w:rPr>
          <w:rFonts w:ascii="Verdana" w:hAnsi="Verdana" w:cs="Calibri"/>
          <w:sz w:val="20"/>
          <w:szCs w:val="20"/>
        </w:rPr>
        <w:t xml:space="preserve">Ils ont été finalisés et transmis aux Etats membres. La version consolidée du plan d’action de l’économie circulaire est soumise ci-jointe pour approbation.  </w:t>
      </w:r>
    </w:p>
    <w:p w14:paraId="3344DEA6" w14:textId="77777777" w:rsidR="002905E7" w:rsidRPr="002905E7" w:rsidRDefault="002905E7" w:rsidP="002905E7">
      <w:pPr>
        <w:jc w:val="both"/>
        <w:rPr>
          <w:rFonts w:ascii="Verdana" w:hAnsi="Verdana" w:cs="Calibri"/>
          <w:sz w:val="20"/>
          <w:szCs w:val="20"/>
        </w:rPr>
      </w:pPr>
      <w:r w:rsidRPr="002905E7">
        <w:rPr>
          <w:rFonts w:ascii="Verdana" w:hAnsi="Verdana" w:cs="Calibri"/>
          <w:sz w:val="20"/>
          <w:szCs w:val="20"/>
        </w:rPr>
        <w:t xml:space="preserve">En outre, cette réunion a été l’occasion de : </w:t>
      </w:r>
    </w:p>
    <w:p w14:paraId="4A97F16B" w14:textId="00F4A9D2" w:rsidR="002905E7" w:rsidRPr="002905E7" w:rsidRDefault="002905E7" w:rsidP="002905E7">
      <w:pPr>
        <w:pStyle w:val="Paragraphedeliste"/>
        <w:numPr>
          <w:ilvl w:val="0"/>
          <w:numId w:val="36"/>
        </w:numPr>
        <w:jc w:val="both"/>
        <w:rPr>
          <w:rFonts w:ascii="Verdana" w:hAnsi="Verdana" w:cs="Calibri"/>
          <w:sz w:val="20"/>
          <w:szCs w:val="20"/>
        </w:rPr>
      </w:pPr>
      <w:r w:rsidRPr="002905E7">
        <w:rPr>
          <w:rFonts w:ascii="Verdana" w:hAnsi="Verdana" w:cs="Calibri"/>
          <w:sz w:val="20"/>
          <w:szCs w:val="20"/>
        </w:rPr>
        <w:t>Réaffirmer l’urgence de mettre en œuvre tous les engagements pris par les Etats insulaires lors de la conférence ministérielle sur l’économie bleue et circulaire en septembre 2023, face à l’intensification des enjeux climatiques, environnementaux et aux défis multiformes auxquels ils font face ;</w:t>
      </w:r>
    </w:p>
    <w:p w14:paraId="42156A2A" w14:textId="43C99ED3" w:rsidR="002905E7" w:rsidRPr="002905E7" w:rsidRDefault="002905E7" w:rsidP="002905E7">
      <w:pPr>
        <w:pStyle w:val="Paragraphedeliste"/>
        <w:numPr>
          <w:ilvl w:val="0"/>
          <w:numId w:val="36"/>
        </w:numPr>
        <w:jc w:val="both"/>
        <w:rPr>
          <w:rFonts w:ascii="Verdana" w:hAnsi="Verdana" w:cs="Calibri"/>
          <w:sz w:val="20"/>
          <w:szCs w:val="20"/>
        </w:rPr>
      </w:pPr>
      <w:r w:rsidRPr="002905E7">
        <w:rPr>
          <w:rFonts w:ascii="Verdana" w:hAnsi="Verdana" w:cs="Calibri"/>
          <w:sz w:val="20"/>
          <w:szCs w:val="20"/>
        </w:rPr>
        <w:t>Approfondir l’articulation et la coordination entre la Commission de l’Union africaine (CUA), la CEA et la COI dans la mise en œuvre du plan d’action continental d’économie circulaire et celui des Etats insulaires d’Afrique et de l’océan Indien ;</w:t>
      </w:r>
    </w:p>
    <w:p w14:paraId="4A96B45C" w14:textId="41909601" w:rsidR="002905E7" w:rsidRPr="002905E7" w:rsidRDefault="002905E7" w:rsidP="002905E7">
      <w:pPr>
        <w:pStyle w:val="Paragraphedeliste"/>
        <w:numPr>
          <w:ilvl w:val="0"/>
          <w:numId w:val="36"/>
        </w:numPr>
        <w:jc w:val="both"/>
        <w:rPr>
          <w:rFonts w:ascii="Verdana" w:hAnsi="Verdana" w:cs="Calibri"/>
          <w:sz w:val="20"/>
          <w:szCs w:val="20"/>
        </w:rPr>
      </w:pPr>
      <w:r w:rsidRPr="002905E7">
        <w:rPr>
          <w:rFonts w:ascii="Verdana" w:hAnsi="Verdana" w:cs="Calibri"/>
          <w:sz w:val="20"/>
          <w:szCs w:val="20"/>
        </w:rPr>
        <w:t>Etablir la coalition des partenaires techniques et financiers, avec la coordination de la COI, pour la mise en œuvre du plan d’action régional de l’économie circulaire des Etats insulaires d’Afrique et de l’océan Indien ;</w:t>
      </w:r>
    </w:p>
    <w:p w14:paraId="129204DE" w14:textId="3D814E64" w:rsidR="002905E7" w:rsidRPr="002905E7" w:rsidRDefault="002905E7" w:rsidP="002905E7">
      <w:pPr>
        <w:pStyle w:val="Paragraphedeliste"/>
        <w:numPr>
          <w:ilvl w:val="0"/>
          <w:numId w:val="36"/>
        </w:numPr>
        <w:jc w:val="both"/>
        <w:rPr>
          <w:rFonts w:ascii="Verdana" w:hAnsi="Verdana" w:cs="Calibri"/>
          <w:sz w:val="20"/>
          <w:szCs w:val="20"/>
        </w:rPr>
      </w:pPr>
      <w:r w:rsidRPr="002905E7">
        <w:rPr>
          <w:rFonts w:ascii="Verdana" w:hAnsi="Verdana" w:cs="Calibri"/>
          <w:sz w:val="20"/>
          <w:szCs w:val="20"/>
        </w:rPr>
        <w:t>Mettre en œuvre le plan de mobilisation des ressources dédiées, et prévoir la formalisation de la coalition pour entamer la mobilisation des ressources nécessaires, auprès de la Banque Africaine du Développement (BAD)</w:t>
      </w:r>
      <w:r>
        <w:rPr>
          <w:rFonts w:ascii="Verdana" w:hAnsi="Verdana" w:cs="Calibri"/>
          <w:sz w:val="20"/>
          <w:szCs w:val="20"/>
        </w:rPr>
        <w:t>, à travers l’alliance africaine de l’économie circulaire</w:t>
      </w:r>
      <w:r w:rsidRPr="002905E7">
        <w:rPr>
          <w:rFonts w:ascii="Verdana" w:hAnsi="Verdana" w:cs="Calibri"/>
          <w:sz w:val="20"/>
          <w:szCs w:val="20"/>
        </w:rPr>
        <w:t xml:space="preserve"> ; </w:t>
      </w:r>
    </w:p>
    <w:p w14:paraId="06D16B27" w14:textId="56C7B8B8" w:rsidR="002905E7" w:rsidRPr="002905E7" w:rsidRDefault="002905E7" w:rsidP="002905E7">
      <w:pPr>
        <w:pStyle w:val="Paragraphedeliste"/>
        <w:numPr>
          <w:ilvl w:val="0"/>
          <w:numId w:val="36"/>
        </w:numPr>
        <w:jc w:val="both"/>
        <w:rPr>
          <w:rFonts w:ascii="Verdana" w:hAnsi="Verdana" w:cs="Calibri"/>
          <w:sz w:val="20"/>
          <w:szCs w:val="20"/>
        </w:rPr>
      </w:pPr>
      <w:r w:rsidRPr="002905E7">
        <w:rPr>
          <w:rFonts w:ascii="Verdana" w:hAnsi="Verdana" w:cs="Calibri"/>
          <w:sz w:val="20"/>
          <w:szCs w:val="20"/>
        </w:rPr>
        <w:t>Saisir l’opportunité, offerte par l'Association allemande de recyclage et de gestion des déchets (RETECH), de soumettre un projet régional, sous l’égide de la COI, aligné au plan d’action régional de l’économie circulaire des Etats insulaires, en réponse au quatrième appel à propositions dans le cadre du programme de subvention contre les déchets marins, axé sur les besoins des petits Etats insulaires en développement, lancé par le ministère fédéral de l'Environnement de l’Allemagne, en janvier 2025 ;</w:t>
      </w:r>
    </w:p>
    <w:p w14:paraId="2B087AFB" w14:textId="325410B5" w:rsidR="002905E7" w:rsidRPr="002905E7" w:rsidRDefault="002905E7" w:rsidP="002905E7">
      <w:pPr>
        <w:pStyle w:val="Paragraphedeliste"/>
        <w:numPr>
          <w:ilvl w:val="0"/>
          <w:numId w:val="36"/>
        </w:numPr>
        <w:jc w:val="both"/>
        <w:rPr>
          <w:rFonts w:ascii="Verdana" w:hAnsi="Verdana" w:cs="Calibri"/>
          <w:sz w:val="20"/>
          <w:szCs w:val="20"/>
        </w:rPr>
      </w:pPr>
      <w:r w:rsidRPr="002905E7">
        <w:rPr>
          <w:rFonts w:ascii="Verdana" w:hAnsi="Verdana" w:cs="Calibri"/>
          <w:sz w:val="20"/>
          <w:szCs w:val="20"/>
        </w:rPr>
        <w:t>Procéder au lancement officiel du groupe de travail des experts en économie circulaire des Etats insulaires d’Afrique et de l’océan Indien.</w:t>
      </w:r>
    </w:p>
    <w:p w14:paraId="7F62B16B" w14:textId="4717D87B" w:rsidR="002905E7" w:rsidRPr="002905E7" w:rsidRDefault="002905E7" w:rsidP="002905E7">
      <w:pPr>
        <w:pStyle w:val="Paragraphedeliste"/>
        <w:numPr>
          <w:ilvl w:val="0"/>
          <w:numId w:val="36"/>
        </w:numPr>
        <w:jc w:val="both"/>
        <w:rPr>
          <w:rFonts w:ascii="Verdana" w:hAnsi="Verdana" w:cs="Calibri"/>
          <w:sz w:val="20"/>
          <w:szCs w:val="20"/>
        </w:rPr>
      </w:pPr>
      <w:r w:rsidRPr="002905E7">
        <w:rPr>
          <w:rFonts w:ascii="Verdana" w:hAnsi="Verdana" w:cs="Calibri"/>
          <w:sz w:val="20"/>
          <w:szCs w:val="20"/>
        </w:rPr>
        <w:t xml:space="preserve">Souligner la nécessité de mettre en place le mécanisme de gouvernance pour la mise en œuvre de l’économie circulaire, tel qu’indiqué par le PAEC : le domaine d’intervention 2 (DI-2) du Secrétariat général de la COI, qui assurera, le secrétariat du groupe de travail des experts en économie circulaire des Etats insulaires d’Afrique et de l’océan Indien. </w:t>
      </w:r>
    </w:p>
    <w:p w14:paraId="083D4598" w14:textId="1A2E3501" w:rsidR="002905E7" w:rsidRPr="002905E7" w:rsidRDefault="002905E7" w:rsidP="002905E7">
      <w:pPr>
        <w:pStyle w:val="Paragraphedeliste"/>
        <w:numPr>
          <w:ilvl w:val="0"/>
          <w:numId w:val="36"/>
        </w:numPr>
        <w:jc w:val="both"/>
        <w:rPr>
          <w:rFonts w:ascii="Verdana" w:hAnsi="Verdana" w:cs="Calibri"/>
          <w:sz w:val="20"/>
          <w:szCs w:val="20"/>
        </w:rPr>
      </w:pPr>
      <w:r w:rsidRPr="002905E7">
        <w:rPr>
          <w:rFonts w:ascii="Verdana" w:hAnsi="Verdana" w:cs="Calibri"/>
          <w:sz w:val="20"/>
          <w:szCs w:val="20"/>
        </w:rPr>
        <w:t xml:space="preserve">Envisager le maillage avec la coopération décentralisée dans le domaine de l’économie circulaire.  </w:t>
      </w:r>
    </w:p>
    <w:p w14:paraId="47667DDA" w14:textId="63D3AA84" w:rsidR="002905E7" w:rsidRPr="002905E7" w:rsidRDefault="002905E7" w:rsidP="002905E7">
      <w:pPr>
        <w:pStyle w:val="Paragraphedeliste"/>
        <w:numPr>
          <w:ilvl w:val="0"/>
          <w:numId w:val="36"/>
        </w:numPr>
        <w:jc w:val="both"/>
        <w:rPr>
          <w:rFonts w:ascii="Verdana" w:hAnsi="Verdana" w:cs="Calibri"/>
          <w:sz w:val="20"/>
          <w:szCs w:val="20"/>
        </w:rPr>
      </w:pPr>
      <w:r w:rsidRPr="002905E7">
        <w:rPr>
          <w:rFonts w:ascii="Verdana" w:hAnsi="Verdana" w:cs="Calibri"/>
          <w:sz w:val="20"/>
          <w:szCs w:val="20"/>
        </w:rPr>
        <w:t xml:space="preserve">Initier l’organisation d’un concours régional de l’entrepreneuriat des jeunes des Etats insulaires d’Afrique et de l’océan Indien, dans le domaine du développement durable/ de l’économie bleue et circulaire, en partenariat avec le bureau du coordinateur résident </w:t>
      </w:r>
      <w:r w:rsidRPr="002905E7">
        <w:rPr>
          <w:rFonts w:ascii="Verdana" w:hAnsi="Verdana" w:cs="Calibri"/>
          <w:sz w:val="20"/>
          <w:szCs w:val="20"/>
        </w:rPr>
        <w:lastRenderedPageBreak/>
        <w:t>des Nations unies (UNRCO) à Maurice et Seychelles et l’Organisation internationale de la Francophonie- Océan Indien (OIF).</w:t>
      </w:r>
    </w:p>
    <w:p w14:paraId="71F68EE3" w14:textId="0BCA8D63" w:rsidR="00D53346" w:rsidRDefault="00D53346" w:rsidP="00D53346">
      <w:pPr>
        <w:pStyle w:val="Sous-partie2"/>
      </w:pPr>
      <w:r>
        <w:t>L</w:t>
      </w:r>
      <w:r w:rsidRPr="00422748">
        <w:t>e</w:t>
      </w:r>
      <w:r>
        <w:t xml:space="preserve"> </w:t>
      </w:r>
      <w:r w:rsidR="00ED1576" w:rsidRPr="00696720">
        <w:t>renforce</w:t>
      </w:r>
      <w:r w:rsidR="00ED1576">
        <w:t>ment de</w:t>
      </w:r>
      <w:r w:rsidR="00ED1576" w:rsidRPr="00696720">
        <w:t xml:space="preserve"> la cha</w:t>
      </w:r>
      <w:r w:rsidR="00ED1576">
        <w:t>î</w:t>
      </w:r>
      <w:r w:rsidR="00ED1576" w:rsidRPr="00696720">
        <w:t>ne de valeur du recyclage et de l’économie circulaire</w:t>
      </w:r>
      <w:r w:rsidR="00ED1576">
        <w:t xml:space="preserve"> des Etats membres de la COI</w:t>
      </w:r>
    </w:p>
    <w:p w14:paraId="088D7735" w14:textId="77777777" w:rsidR="009F3C0F" w:rsidRDefault="00696720" w:rsidP="00236A45">
      <w:pPr>
        <w:spacing w:after="120"/>
        <w:jc w:val="both"/>
        <w:rPr>
          <w:rFonts w:ascii="Verdana" w:hAnsi="Verdana" w:cs="Calibri"/>
          <w:sz w:val="20"/>
          <w:szCs w:val="20"/>
        </w:rPr>
      </w:pPr>
      <w:r>
        <w:rPr>
          <w:rFonts w:ascii="Verdana" w:hAnsi="Verdana" w:cs="Calibri"/>
          <w:sz w:val="20"/>
          <w:szCs w:val="20"/>
        </w:rPr>
        <w:t xml:space="preserve">Lors de la conférence ministérielle sur l’économie bleue et circulaire, les Etats insulaires </w:t>
      </w:r>
      <w:r w:rsidRPr="00696720">
        <w:rPr>
          <w:rFonts w:ascii="Verdana" w:hAnsi="Verdana" w:cs="Calibri"/>
          <w:sz w:val="20"/>
          <w:szCs w:val="20"/>
        </w:rPr>
        <w:t xml:space="preserve">se sont engagés à « </w:t>
      </w:r>
      <w:r w:rsidRPr="00627329">
        <w:rPr>
          <w:rFonts w:ascii="Verdana" w:hAnsi="Verdana" w:cs="Calibri"/>
          <w:i/>
          <w:iCs/>
          <w:sz w:val="20"/>
          <w:szCs w:val="20"/>
        </w:rPr>
        <w:t>promouvoir au niveau national les concepts d’économie circulaire et d’écoconception et à les traduire dans des politiques publiques permettant le développement et la diffusion de pratiques d’économie circulaire dans le tissu économique et entrepreneurial de nos îles. Les réglementations à compléter, moderniser ou élaborer pourront notamment couvrir la conception, la promotion et le réemploi de produits durables et recyclages, l’optimisation de l’utilisation des ressources, la réduction des déchets, et l’encouragement de la responsabilité élargie des producteurs</w:t>
      </w:r>
      <w:r w:rsidRPr="00696720">
        <w:rPr>
          <w:rFonts w:ascii="Verdana" w:hAnsi="Verdana" w:cs="Calibri"/>
          <w:sz w:val="20"/>
          <w:szCs w:val="20"/>
        </w:rPr>
        <w:t>. »</w:t>
      </w:r>
      <w:r>
        <w:rPr>
          <w:rFonts w:ascii="Verdana" w:hAnsi="Verdana" w:cs="Calibri"/>
          <w:sz w:val="20"/>
          <w:szCs w:val="20"/>
        </w:rPr>
        <w:t xml:space="preserve"> </w:t>
      </w:r>
    </w:p>
    <w:p w14:paraId="7DD448E9" w14:textId="1F2D9174" w:rsidR="009F3C0F" w:rsidRDefault="00803332" w:rsidP="00236A45">
      <w:pPr>
        <w:spacing w:after="120"/>
        <w:jc w:val="both"/>
        <w:rPr>
          <w:rFonts w:ascii="Verdana" w:hAnsi="Verdana" w:cs="Calibri"/>
          <w:sz w:val="20"/>
          <w:szCs w:val="20"/>
        </w:rPr>
      </w:pPr>
      <w:r>
        <w:rPr>
          <w:rFonts w:ascii="Verdana" w:hAnsi="Verdana" w:cs="Calibri"/>
          <w:sz w:val="20"/>
          <w:szCs w:val="20"/>
        </w:rPr>
        <w:t>En r</w:t>
      </w:r>
      <w:r w:rsidR="009A565A">
        <w:rPr>
          <w:rFonts w:ascii="Verdana" w:hAnsi="Verdana" w:cs="Calibri"/>
          <w:sz w:val="20"/>
          <w:szCs w:val="20"/>
        </w:rPr>
        <w:t>éponse à la requête de la COI soumise à l</w:t>
      </w:r>
      <w:r w:rsidR="0067468C">
        <w:rPr>
          <w:rFonts w:ascii="Verdana" w:hAnsi="Verdana" w:cs="Calibri"/>
          <w:sz w:val="20"/>
          <w:szCs w:val="20"/>
        </w:rPr>
        <w:t>a Facilité ICR</w:t>
      </w:r>
      <w:r w:rsidR="0067468C">
        <w:rPr>
          <w:rStyle w:val="Appelnotedebasdep"/>
          <w:rFonts w:ascii="Verdana" w:hAnsi="Verdana" w:cs="Calibri"/>
          <w:sz w:val="20"/>
          <w:szCs w:val="20"/>
        </w:rPr>
        <w:footnoteReference w:id="1"/>
      </w:r>
      <w:r w:rsidR="00696720">
        <w:rPr>
          <w:rFonts w:ascii="Verdana" w:hAnsi="Verdana" w:cs="Calibri"/>
          <w:sz w:val="20"/>
          <w:szCs w:val="20"/>
        </w:rPr>
        <w:t xml:space="preserve">, le Secrétariat général </w:t>
      </w:r>
      <w:r w:rsidR="0058689F">
        <w:rPr>
          <w:rFonts w:ascii="Verdana" w:hAnsi="Verdana" w:cs="Calibri"/>
          <w:sz w:val="20"/>
          <w:szCs w:val="20"/>
        </w:rPr>
        <w:t xml:space="preserve">a </w:t>
      </w:r>
      <w:r w:rsidR="0067468C">
        <w:rPr>
          <w:rFonts w:ascii="Verdana" w:hAnsi="Verdana" w:cs="Calibri"/>
          <w:sz w:val="20"/>
          <w:szCs w:val="20"/>
        </w:rPr>
        <w:t>bénéfici</w:t>
      </w:r>
      <w:r w:rsidR="0058689F">
        <w:rPr>
          <w:rFonts w:ascii="Verdana" w:hAnsi="Verdana" w:cs="Calibri"/>
          <w:sz w:val="20"/>
          <w:szCs w:val="20"/>
        </w:rPr>
        <w:t>é</w:t>
      </w:r>
      <w:r w:rsidR="009A565A">
        <w:rPr>
          <w:rFonts w:ascii="Verdana" w:hAnsi="Verdana" w:cs="Calibri"/>
          <w:sz w:val="20"/>
          <w:szCs w:val="20"/>
        </w:rPr>
        <w:t>, depuis octobre 2024,</w:t>
      </w:r>
      <w:r w:rsidR="0067468C">
        <w:rPr>
          <w:rFonts w:ascii="Verdana" w:hAnsi="Verdana" w:cs="Calibri"/>
          <w:sz w:val="20"/>
          <w:szCs w:val="20"/>
        </w:rPr>
        <w:t xml:space="preserve"> d’</w:t>
      </w:r>
      <w:r w:rsidR="00696720">
        <w:rPr>
          <w:rFonts w:ascii="Verdana" w:hAnsi="Verdana" w:cs="Calibri"/>
          <w:sz w:val="20"/>
          <w:szCs w:val="20"/>
        </w:rPr>
        <w:t xml:space="preserve">une assistance technique pour l’accompagner </w:t>
      </w:r>
      <w:r w:rsidR="009F3C0F">
        <w:rPr>
          <w:rFonts w:ascii="Verdana" w:hAnsi="Verdana" w:cs="Calibri"/>
          <w:sz w:val="20"/>
          <w:szCs w:val="20"/>
        </w:rPr>
        <w:t xml:space="preserve">dans le </w:t>
      </w:r>
      <w:r w:rsidR="00696720" w:rsidRPr="00696720">
        <w:rPr>
          <w:rFonts w:ascii="Verdana" w:hAnsi="Verdana" w:cs="Calibri"/>
          <w:sz w:val="20"/>
          <w:szCs w:val="20"/>
        </w:rPr>
        <w:t>renforce</w:t>
      </w:r>
      <w:r w:rsidR="009F3C0F">
        <w:rPr>
          <w:rFonts w:ascii="Verdana" w:hAnsi="Verdana" w:cs="Calibri"/>
          <w:sz w:val="20"/>
          <w:szCs w:val="20"/>
        </w:rPr>
        <w:t>ment de</w:t>
      </w:r>
      <w:r w:rsidR="00696720" w:rsidRPr="00696720">
        <w:rPr>
          <w:rFonts w:ascii="Verdana" w:hAnsi="Verdana" w:cs="Calibri"/>
          <w:sz w:val="20"/>
          <w:szCs w:val="20"/>
        </w:rPr>
        <w:t xml:space="preserve"> la cha</w:t>
      </w:r>
      <w:r w:rsidR="009F3C0F">
        <w:rPr>
          <w:rFonts w:ascii="Verdana" w:hAnsi="Verdana" w:cs="Calibri"/>
          <w:sz w:val="20"/>
          <w:szCs w:val="20"/>
        </w:rPr>
        <w:t>î</w:t>
      </w:r>
      <w:r w:rsidR="00696720" w:rsidRPr="00696720">
        <w:rPr>
          <w:rFonts w:ascii="Verdana" w:hAnsi="Verdana" w:cs="Calibri"/>
          <w:sz w:val="20"/>
          <w:szCs w:val="20"/>
        </w:rPr>
        <w:t>ne de valeur du recyclage et de l’économie circulaire dans ses Etats membres</w:t>
      </w:r>
      <w:r w:rsidR="007E2BB5">
        <w:rPr>
          <w:rFonts w:ascii="Verdana" w:hAnsi="Verdana" w:cs="Calibri"/>
          <w:sz w:val="20"/>
          <w:szCs w:val="20"/>
        </w:rPr>
        <w:t xml:space="preserve">, qui se décline comme suit : </w:t>
      </w:r>
    </w:p>
    <w:p w14:paraId="318BC831" w14:textId="6287E895" w:rsidR="007E2BB5" w:rsidRDefault="007E2BB5" w:rsidP="00236A45">
      <w:pPr>
        <w:pStyle w:val="Paragraphedeliste"/>
        <w:numPr>
          <w:ilvl w:val="0"/>
          <w:numId w:val="19"/>
        </w:numPr>
        <w:spacing w:after="120"/>
        <w:jc w:val="both"/>
        <w:rPr>
          <w:rFonts w:ascii="Verdana" w:hAnsi="Verdana" w:cs="Calibri"/>
          <w:sz w:val="20"/>
          <w:szCs w:val="20"/>
        </w:rPr>
      </w:pPr>
      <w:r w:rsidRPr="007E2BB5">
        <w:rPr>
          <w:rFonts w:ascii="Verdana" w:hAnsi="Verdana" w:cs="Calibri"/>
          <w:sz w:val="20"/>
          <w:szCs w:val="20"/>
        </w:rPr>
        <w:t>Un</w:t>
      </w:r>
      <w:r w:rsidR="00696720" w:rsidRPr="007E2BB5">
        <w:rPr>
          <w:rFonts w:ascii="Verdana" w:hAnsi="Verdana" w:cs="Calibri"/>
          <w:sz w:val="20"/>
          <w:szCs w:val="20"/>
        </w:rPr>
        <w:t xml:space="preserve"> cadre réglementaire </w:t>
      </w:r>
      <w:r w:rsidR="00A75936">
        <w:rPr>
          <w:rFonts w:ascii="Verdana" w:hAnsi="Verdana" w:cs="Calibri"/>
          <w:sz w:val="20"/>
          <w:szCs w:val="20"/>
        </w:rPr>
        <w:t>régional</w:t>
      </w:r>
      <w:r w:rsidR="002E590C">
        <w:rPr>
          <w:rFonts w:ascii="Verdana" w:hAnsi="Verdana" w:cs="Calibri"/>
          <w:sz w:val="20"/>
          <w:szCs w:val="20"/>
        </w:rPr>
        <w:t xml:space="preserve"> </w:t>
      </w:r>
      <w:r w:rsidR="00696720" w:rsidRPr="007E2BB5">
        <w:rPr>
          <w:rFonts w:ascii="Verdana" w:hAnsi="Verdana" w:cs="Calibri"/>
          <w:sz w:val="20"/>
          <w:szCs w:val="20"/>
        </w:rPr>
        <w:t>indicatif pour structurer l’entrepreneuriat social de ces secteurs</w:t>
      </w:r>
      <w:r w:rsidR="00B03531">
        <w:rPr>
          <w:rFonts w:ascii="Verdana" w:hAnsi="Verdana" w:cs="Calibri"/>
          <w:sz w:val="20"/>
          <w:szCs w:val="20"/>
        </w:rPr>
        <w:t xml:space="preserve"> (Annexe 3)</w:t>
      </w:r>
      <w:r w:rsidR="00803332">
        <w:rPr>
          <w:rFonts w:ascii="Verdana" w:hAnsi="Verdana" w:cs="Calibri"/>
          <w:sz w:val="20"/>
          <w:szCs w:val="20"/>
        </w:rPr>
        <w:t>.</w:t>
      </w:r>
    </w:p>
    <w:p w14:paraId="64B73CFB" w14:textId="1CB28227" w:rsidR="007E2BB5" w:rsidRDefault="007E2BB5" w:rsidP="00236A45">
      <w:pPr>
        <w:pStyle w:val="Paragraphedeliste"/>
        <w:numPr>
          <w:ilvl w:val="0"/>
          <w:numId w:val="19"/>
        </w:numPr>
        <w:spacing w:after="120"/>
        <w:jc w:val="both"/>
        <w:rPr>
          <w:rFonts w:ascii="Verdana" w:hAnsi="Verdana" w:cs="Calibri"/>
          <w:sz w:val="20"/>
          <w:szCs w:val="20"/>
        </w:rPr>
      </w:pPr>
      <w:r w:rsidRPr="007E2BB5">
        <w:rPr>
          <w:rFonts w:ascii="Verdana" w:hAnsi="Verdana" w:cs="Calibri"/>
          <w:sz w:val="20"/>
          <w:szCs w:val="20"/>
        </w:rPr>
        <w:t>Une</w:t>
      </w:r>
      <w:r w:rsidR="00696720" w:rsidRPr="007E2BB5">
        <w:rPr>
          <w:rFonts w:ascii="Verdana" w:hAnsi="Verdana" w:cs="Calibri"/>
          <w:sz w:val="20"/>
          <w:szCs w:val="20"/>
        </w:rPr>
        <w:t xml:space="preserve"> charte régionale permettant de proposer une réglementation au niveau des Etats membres, afin de promouvoir des pratiques de travail décentes et sûres pour les travailleurs et travailleuses du secteur informel du recyclage</w:t>
      </w:r>
      <w:r w:rsidR="00B03531">
        <w:rPr>
          <w:rFonts w:ascii="Verdana" w:hAnsi="Verdana" w:cs="Calibri"/>
          <w:sz w:val="20"/>
          <w:szCs w:val="20"/>
        </w:rPr>
        <w:t xml:space="preserve"> (Annexe 4)</w:t>
      </w:r>
      <w:r w:rsidR="00696720" w:rsidRPr="007E2BB5">
        <w:rPr>
          <w:rFonts w:ascii="Verdana" w:hAnsi="Verdana" w:cs="Calibri"/>
          <w:sz w:val="20"/>
          <w:szCs w:val="20"/>
        </w:rPr>
        <w:t xml:space="preserve">. </w:t>
      </w:r>
    </w:p>
    <w:p w14:paraId="3A39256B" w14:textId="74FBC6B2" w:rsidR="007E2BB5" w:rsidRDefault="007E2BB5" w:rsidP="00236A45">
      <w:pPr>
        <w:pStyle w:val="Paragraphedeliste"/>
        <w:numPr>
          <w:ilvl w:val="0"/>
          <w:numId w:val="19"/>
        </w:numPr>
        <w:spacing w:after="120"/>
        <w:jc w:val="both"/>
        <w:rPr>
          <w:rFonts w:ascii="Verdana" w:hAnsi="Verdana" w:cs="Calibri"/>
          <w:sz w:val="20"/>
          <w:szCs w:val="20"/>
        </w:rPr>
      </w:pPr>
      <w:r w:rsidRPr="007E2BB5">
        <w:rPr>
          <w:rFonts w:ascii="Verdana" w:hAnsi="Verdana" w:cs="Calibri"/>
          <w:sz w:val="20"/>
          <w:szCs w:val="20"/>
        </w:rPr>
        <w:t>Un kit de formation des formateurs pour les organisations qui soutiennent les femmes dans les opérations de recyclage, en mettant l'accent sur la santé et la sécurité</w:t>
      </w:r>
      <w:r w:rsidR="004478C3">
        <w:rPr>
          <w:rFonts w:ascii="Verdana" w:hAnsi="Verdana" w:cs="Calibri"/>
          <w:sz w:val="20"/>
          <w:szCs w:val="20"/>
        </w:rPr>
        <w:t>.</w:t>
      </w:r>
    </w:p>
    <w:p w14:paraId="11D5EDB2" w14:textId="6625485B" w:rsidR="007E2BB5" w:rsidRDefault="007E2BB5" w:rsidP="002232E9">
      <w:pPr>
        <w:pStyle w:val="Paragraphedeliste"/>
        <w:numPr>
          <w:ilvl w:val="0"/>
          <w:numId w:val="19"/>
        </w:numPr>
        <w:spacing w:after="120"/>
        <w:jc w:val="both"/>
        <w:rPr>
          <w:rFonts w:ascii="Verdana" w:hAnsi="Verdana" w:cs="Calibri"/>
          <w:sz w:val="20"/>
          <w:szCs w:val="20"/>
        </w:rPr>
      </w:pPr>
      <w:r w:rsidRPr="007E2BB5">
        <w:rPr>
          <w:rFonts w:ascii="Verdana" w:hAnsi="Verdana" w:cs="Calibri"/>
          <w:sz w:val="20"/>
          <w:szCs w:val="20"/>
        </w:rPr>
        <w:t>Un</w:t>
      </w:r>
      <w:r>
        <w:rPr>
          <w:rFonts w:ascii="Verdana" w:hAnsi="Verdana" w:cs="Calibri"/>
          <w:sz w:val="20"/>
          <w:szCs w:val="20"/>
        </w:rPr>
        <w:t xml:space="preserve">e session de formation </w:t>
      </w:r>
      <w:r w:rsidRPr="007E2BB5">
        <w:rPr>
          <w:rFonts w:ascii="Verdana" w:hAnsi="Verdana" w:cs="Calibri"/>
          <w:sz w:val="20"/>
          <w:szCs w:val="20"/>
        </w:rPr>
        <w:t xml:space="preserve">des points focaux nationaux </w:t>
      </w:r>
      <w:r w:rsidR="004478C3">
        <w:rPr>
          <w:rFonts w:ascii="Verdana" w:hAnsi="Verdana" w:cs="Calibri"/>
          <w:sz w:val="20"/>
          <w:szCs w:val="20"/>
        </w:rPr>
        <w:t>(</w:t>
      </w:r>
      <w:r w:rsidRPr="007E2BB5">
        <w:rPr>
          <w:rFonts w:ascii="Verdana" w:hAnsi="Verdana" w:cs="Calibri"/>
          <w:sz w:val="20"/>
          <w:szCs w:val="20"/>
        </w:rPr>
        <w:t>entrepreneuriat, économie bleue et circulaire, gestion des déchets, jeunesse</w:t>
      </w:r>
      <w:r w:rsidR="004478C3">
        <w:rPr>
          <w:rFonts w:ascii="Verdana" w:hAnsi="Verdana" w:cs="Calibri"/>
          <w:sz w:val="20"/>
          <w:szCs w:val="20"/>
        </w:rPr>
        <w:t>)</w:t>
      </w:r>
      <w:r w:rsidRPr="007E2BB5">
        <w:rPr>
          <w:rFonts w:ascii="Verdana" w:hAnsi="Verdana" w:cs="Calibri"/>
          <w:sz w:val="20"/>
          <w:szCs w:val="20"/>
        </w:rPr>
        <w:t xml:space="preserve"> de la COI sur </w:t>
      </w:r>
      <w:r w:rsidR="004478C3" w:rsidRPr="004478C3">
        <w:rPr>
          <w:rFonts w:ascii="Verdana" w:hAnsi="Verdana" w:cs="Calibri"/>
          <w:sz w:val="20"/>
          <w:szCs w:val="20"/>
        </w:rPr>
        <w:t>la réforme de l’environnement des affaires pour soutenir l’autonomisation économique des femmes</w:t>
      </w:r>
      <w:r w:rsidR="004478C3">
        <w:rPr>
          <w:rFonts w:ascii="Verdana" w:hAnsi="Verdana" w:cs="Calibri"/>
          <w:sz w:val="20"/>
          <w:szCs w:val="20"/>
        </w:rPr>
        <w:t xml:space="preserve"> </w:t>
      </w:r>
      <w:r>
        <w:rPr>
          <w:rFonts w:ascii="Verdana" w:hAnsi="Verdana" w:cs="Calibri"/>
          <w:sz w:val="20"/>
          <w:szCs w:val="20"/>
        </w:rPr>
        <w:t>et le plaidoyer</w:t>
      </w:r>
      <w:r w:rsidR="0007029A">
        <w:rPr>
          <w:rFonts w:ascii="Verdana" w:hAnsi="Verdana" w:cs="Calibri"/>
          <w:sz w:val="20"/>
          <w:szCs w:val="20"/>
        </w:rPr>
        <w:t xml:space="preserve"> (27-28 novembre 2024)</w:t>
      </w:r>
      <w:r w:rsidR="004478C3">
        <w:rPr>
          <w:rFonts w:ascii="Verdana" w:hAnsi="Verdana" w:cs="Calibri"/>
          <w:sz w:val="20"/>
          <w:szCs w:val="20"/>
        </w:rPr>
        <w:t>.</w:t>
      </w:r>
    </w:p>
    <w:p w14:paraId="5D176219" w14:textId="118F0F51" w:rsidR="00026D35" w:rsidRPr="0007029A" w:rsidRDefault="007E2BB5" w:rsidP="00E53C5B">
      <w:pPr>
        <w:pStyle w:val="Paragraphedeliste"/>
        <w:numPr>
          <w:ilvl w:val="0"/>
          <w:numId w:val="19"/>
        </w:numPr>
        <w:spacing w:after="120"/>
        <w:jc w:val="both"/>
        <w:rPr>
          <w:rFonts w:ascii="Verdana" w:hAnsi="Verdana" w:cs="Calibri"/>
          <w:sz w:val="20"/>
          <w:szCs w:val="20"/>
        </w:rPr>
      </w:pPr>
      <w:r w:rsidRPr="0007029A">
        <w:rPr>
          <w:rFonts w:ascii="Verdana" w:hAnsi="Verdana" w:cs="Calibri"/>
          <w:sz w:val="20"/>
          <w:szCs w:val="20"/>
        </w:rPr>
        <w:t xml:space="preserve">Une session de formation </w:t>
      </w:r>
      <w:r w:rsidR="00A516F9" w:rsidRPr="0007029A">
        <w:rPr>
          <w:rFonts w:ascii="Verdana" w:hAnsi="Verdana" w:cs="Calibri"/>
          <w:sz w:val="20"/>
          <w:szCs w:val="20"/>
        </w:rPr>
        <w:t xml:space="preserve">en plaidoyer </w:t>
      </w:r>
      <w:r w:rsidRPr="0007029A">
        <w:rPr>
          <w:rFonts w:ascii="Verdana" w:hAnsi="Verdana" w:cs="Calibri"/>
          <w:sz w:val="20"/>
          <w:szCs w:val="20"/>
        </w:rPr>
        <w:t xml:space="preserve">des </w:t>
      </w:r>
      <w:r w:rsidR="00A516F9" w:rsidRPr="0007029A">
        <w:rPr>
          <w:rFonts w:ascii="Verdana" w:hAnsi="Verdana" w:cs="Calibri"/>
          <w:sz w:val="20"/>
          <w:szCs w:val="20"/>
        </w:rPr>
        <w:t xml:space="preserve">points focaux nationaux (entrepreneuriat, économie bleue et circulaire, gestion des déchets, travail décent), des personnes désignées par les Etats-membres concernés par les sujets et les </w:t>
      </w:r>
      <w:r w:rsidR="004478C3" w:rsidRPr="0007029A">
        <w:rPr>
          <w:rFonts w:ascii="Verdana" w:hAnsi="Verdana" w:cs="Calibri"/>
          <w:sz w:val="20"/>
          <w:szCs w:val="20"/>
        </w:rPr>
        <w:t>membres d</w:t>
      </w:r>
      <w:r w:rsidR="00A516F9" w:rsidRPr="0007029A">
        <w:rPr>
          <w:rFonts w:ascii="Verdana" w:hAnsi="Verdana" w:cs="Calibri"/>
          <w:sz w:val="20"/>
          <w:szCs w:val="20"/>
        </w:rPr>
        <w:t xml:space="preserve">u Parlement régional des jeunes de </w:t>
      </w:r>
      <w:r w:rsidR="00870EF1">
        <w:rPr>
          <w:rFonts w:ascii="Verdana" w:hAnsi="Verdana" w:cs="Calibri"/>
          <w:sz w:val="20"/>
          <w:szCs w:val="20"/>
        </w:rPr>
        <w:t>l’Indianocéanie</w:t>
      </w:r>
      <w:r w:rsidR="0007029A">
        <w:rPr>
          <w:rFonts w:ascii="Verdana" w:hAnsi="Verdana" w:cs="Calibri"/>
          <w:sz w:val="20"/>
          <w:szCs w:val="20"/>
        </w:rPr>
        <w:t xml:space="preserve"> (22- 25 juillet 2025)</w:t>
      </w:r>
      <w:r w:rsidR="0007029A" w:rsidRPr="0007029A">
        <w:rPr>
          <w:rFonts w:ascii="Verdana" w:hAnsi="Verdana" w:cs="Calibri"/>
          <w:sz w:val="20"/>
          <w:szCs w:val="20"/>
        </w:rPr>
        <w:t xml:space="preserve">, associée à </w:t>
      </w:r>
      <w:r w:rsidR="0007029A">
        <w:rPr>
          <w:rFonts w:ascii="Verdana" w:hAnsi="Verdana" w:cs="Calibri"/>
          <w:sz w:val="20"/>
          <w:szCs w:val="20"/>
        </w:rPr>
        <w:t>u</w:t>
      </w:r>
      <w:r w:rsidR="00026D35" w:rsidRPr="0007029A">
        <w:rPr>
          <w:rFonts w:ascii="Verdana" w:hAnsi="Verdana" w:cs="Calibri"/>
          <w:sz w:val="20"/>
          <w:szCs w:val="20"/>
        </w:rPr>
        <w:t xml:space="preserve">n kit de plaidoyer par pays, proposé selon le contexte spécifique national.  </w:t>
      </w:r>
    </w:p>
    <w:p w14:paraId="4FFFB4E6" w14:textId="6A5E2048" w:rsidR="00236A45" w:rsidRDefault="00696720" w:rsidP="004478C3">
      <w:pPr>
        <w:spacing w:after="120"/>
        <w:jc w:val="both"/>
        <w:rPr>
          <w:rFonts w:ascii="Verdana" w:hAnsi="Verdana" w:cs="Calibri"/>
          <w:sz w:val="20"/>
          <w:szCs w:val="20"/>
        </w:rPr>
      </w:pPr>
      <w:r w:rsidRPr="004478C3">
        <w:rPr>
          <w:rFonts w:ascii="Verdana" w:hAnsi="Verdana" w:cs="Calibri"/>
          <w:sz w:val="20"/>
          <w:szCs w:val="20"/>
        </w:rPr>
        <w:t>A l</w:t>
      </w:r>
      <w:r w:rsidR="00A516F9">
        <w:rPr>
          <w:rFonts w:ascii="Verdana" w:hAnsi="Verdana" w:cs="Calibri"/>
          <w:sz w:val="20"/>
          <w:szCs w:val="20"/>
        </w:rPr>
        <w:t>’issu de l’atelier régional de validation</w:t>
      </w:r>
      <w:r w:rsidR="00026D35">
        <w:rPr>
          <w:rFonts w:ascii="Verdana" w:hAnsi="Verdana" w:cs="Calibri"/>
          <w:sz w:val="20"/>
          <w:szCs w:val="20"/>
        </w:rPr>
        <w:t xml:space="preserve">, tenu les 16 et 17 juin 2025, en ligne, les deux </w:t>
      </w:r>
      <w:r w:rsidRPr="004478C3">
        <w:rPr>
          <w:rFonts w:ascii="Verdana" w:hAnsi="Verdana" w:cs="Calibri"/>
          <w:sz w:val="20"/>
          <w:szCs w:val="20"/>
        </w:rPr>
        <w:t xml:space="preserve">documents non contraignants (cadre réglementaire </w:t>
      </w:r>
      <w:r w:rsidR="00A75936">
        <w:rPr>
          <w:rFonts w:ascii="Verdana" w:hAnsi="Verdana" w:cs="Calibri"/>
          <w:sz w:val="20"/>
          <w:szCs w:val="20"/>
        </w:rPr>
        <w:t>régional</w:t>
      </w:r>
      <w:r w:rsidR="002E590C">
        <w:rPr>
          <w:rFonts w:ascii="Verdana" w:hAnsi="Verdana" w:cs="Calibri"/>
          <w:sz w:val="20"/>
          <w:szCs w:val="20"/>
        </w:rPr>
        <w:t xml:space="preserve"> </w:t>
      </w:r>
      <w:r w:rsidRPr="004478C3">
        <w:rPr>
          <w:rFonts w:ascii="Verdana" w:hAnsi="Verdana" w:cs="Calibri"/>
          <w:sz w:val="20"/>
          <w:szCs w:val="20"/>
        </w:rPr>
        <w:t xml:space="preserve">et </w:t>
      </w:r>
      <w:r w:rsidR="002905E7" w:rsidRPr="004478C3">
        <w:rPr>
          <w:rFonts w:ascii="Verdana" w:hAnsi="Verdana" w:cs="Calibri"/>
          <w:sz w:val="20"/>
          <w:szCs w:val="20"/>
        </w:rPr>
        <w:t>charte régionale</w:t>
      </w:r>
      <w:r w:rsidRPr="004478C3">
        <w:rPr>
          <w:rFonts w:ascii="Verdana" w:hAnsi="Verdana" w:cs="Calibri"/>
          <w:sz w:val="20"/>
          <w:szCs w:val="20"/>
        </w:rPr>
        <w:t xml:space="preserve">) </w:t>
      </w:r>
      <w:r w:rsidR="00026D35">
        <w:rPr>
          <w:rFonts w:ascii="Verdana" w:hAnsi="Verdana" w:cs="Calibri"/>
          <w:sz w:val="20"/>
          <w:szCs w:val="20"/>
        </w:rPr>
        <w:t xml:space="preserve">ont été circulés auprès des Etats-membres pour amendements. Les versions consolidées permettent aux Etats-membres de la COI, </w:t>
      </w:r>
      <w:r w:rsidRPr="004478C3">
        <w:rPr>
          <w:rFonts w:ascii="Verdana" w:hAnsi="Verdana" w:cs="Calibri"/>
          <w:sz w:val="20"/>
          <w:szCs w:val="20"/>
        </w:rPr>
        <w:t>d’entamer une démarche de plaidoyer envers les autorités publiques pertinentes et de créer une dynamique en faveur de la promotion d’opportunités et de pratiques de travail décentes et durables dans le secteur du recyclage. Les Etats membres dispose</w:t>
      </w:r>
      <w:r w:rsidR="00026D35">
        <w:rPr>
          <w:rFonts w:ascii="Verdana" w:hAnsi="Verdana" w:cs="Calibri"/>
          <w:sz w:val="20"/>
          <w:szCs w:val="20"/>
        </w:rPr>
        <w:t>nt</w:t>
      </w:r>
      <w:r w:rsidRPr="004478C3">
        <w:rPr>
          <w:rFonts w:ascii="Verdana" w:hAnsi="Verdana" w:cs="Calibri"/>
          <w:sz w:val="20"/>
          <w:szCs w:val="20"/>
        </w:rPr>
        <w:t xml:space="preserve"> de documents de base, sur lesquels s’appuyer pour réglementer en fonction des spécificités de leur pays.</w:t>
      </w:r>
    </w:p>
    <w:p w14:paraId="3417435C" w14:textId="3DB8B684" w:rsidR="008F11E8" w:rsidRDefault="002905E7" w:rsidP="00502B59">
      <w:pPr>
        <w:pStyle w:val="Sous-partie2"/>
      </w:pPr>
      <w:r>
        <w:t>Un</w:t>
      </w:r>
      <w:r w:rsidR="00502B59" w:rsidRPr="00502B59">
        <w:t xml:space="preserve"> mécanisme régional de responsabilité élargie des producteurs (REP) </w:t>
      </w:r>
      <w:r w:rsidRPr="00502B59">
        <w:t>pour les pneus usagés et les emballages,</w:t>
      </w:r>
      <w:r>
        <w:t xml:space="preserve"> </w:t>
      </w:r>
      <w:r w:rsidR="00502B59" w:rsidRPr="00502B59">
        <w:t>pour les pays insulaires d'Afrique et de l'océan Indien</w:t>
      </w:r>
    </w:p>
    <w:p w14:paraId="6CCF1ABA" w14:textId="77777777" w:rsidR="002905E7" w:rsidRDefault="00502B59" w:rsidP="008F11E8">
      <w:pPr>
        <w:spacing w:after="120"/>
        <w:jc w:val="both"/>
        <w:rPr>
          <w:rFonts w:ascii="Verdana" w:hAnsi="Verdana" w:cs="Calibri"/>
          <w:sz w:val="20"/>
          <w:szCs w:val="20"/>
        </w:rPr>
      </w:pPr>
      <w:r>
        <w:rPr>
          <w:rFonts w:ascii="Verdana" w:hAnsi="Verdana" w:cs="Calibri"/>
          <w:sz w:val="20"/>
          <w:szCs w:val="20"/>
        </w:rPr>
        <w:t>Dans le cadre du partenariat avec</w:t>
      </w:r>
      <w:r w:rsidR="008F11E8" w:rsidRPr="008F11E8">
        <w:rPr>
          <w:rFonts w:ascii="Verdana" w:hAnsi="Verdana" w:cs="Calibri"/>
          <w:sz w:val="20"/>
          <w:szCs w:val="20"/>
        </w:rPr>
        <w:t xml:space="preserve"> le GIZ- Global Action Partnership</w:t>
      </w:r>
      <w:r>
        <w:rPr>
          <w:rFonts w:ascii="Verdana" w:hAnsi="Verdana" w:cs="Calibri"/>
          <w:sz w:val="20"/>
          <w:szCs w:val="20"/>
        </w:rPr>
        <w:t xml:space="preserve"> et </w:t>
      </w:r>
      <w:r w:rsidR="0007029A">
        <w:rPr>
          <w:rFonts w:ascii="Verdana" w:hAnsi="Verdana" w:cs="Calibri"/>
          <w:sz w:val="20"/>
          <w:szCs w:val="20"/>
        </w:rPr>
        <w:t>Africa Circular (ancien ACEN Foundation)</w:t>
      </w:r>
      <w:r w:rsidR="008F11E8" w:rsidRPr="008F11E8">
        <w:rPr>
          <w:rFonts w:ascii="Verdana" w:hAnsi="Verdana" w:cs="Calibri"/>
          <w:sz w:val="20"/>
          <w:szCs w:val="20"/>
        </w:rPr>
        <w:t xml:space="preserve">, </w:t>
      </w:r>
      <w:r>
        <w:rPr>
          <w:rFonts w:ascii="Verdana" w:hAnsi="Verdana" w:cs="Calibri"/>
          <w:sz w:val="20"/>
          <w:szCs w:val="20"/>
        </w:rPr>
        <w:t xml:space="preserve">le Secrétariat général anime </w:t>
      </w:r>
      <w:r w:rsidR="008F11E8" w:rsidRPr="008F11E8">
        <w:rPr>
          <w:rFonts w:ascii="Verdana" w:hAnsi="Verdana" w:cs="Calibri"/>
          <w:sz w:val="20"/>
          <w:szCs w:val="20"/>
        </w:rPr>
        <w:t xml:space="preserve">la plateforme public-privée régionale de la promotion des chaînes de valeur régionale des déchets pneumatiques, </w:t>
      </w:r>
      <w:r w:rsidR="008F11E8" w:rsidRPr="008F11E8">
        <w:rPr>
          <w:rFonts w:ascii="Verdana" w:hAnsi="Verdana" w:cs="Calibri"/>
          <w:sz w:val="20"/>
          <w:szCs w:val="20"/>
        </w:rPr>
        <w:lastRenderedPageBreak/>
        <w:t>électriques et électroniques</w:t>
      </w:r>
      <w:r>
        <w:rPr>
          <w:rFonts w:ascii="Verdana" w:hAnsi="Verdana" w:cs="Calibri"/>
          <w:sz w:val="20"/>
          <w:szCs w:val="20"/>
        </w:rPr>
        <w:t xml:space="preserve"> mise en place dans le cadre de la conférence ministérielle sur l’économie bleue et circulaire en septembre 2023. </w:t>
      </w:r>
    </w:p>
    <w:p w14:paraId="6DB0CE37" w14:textId="723EC316" w:rsidR="002C2E3F" w:rsidRDefault="00502B59" w:rsidP="008F11E8">
      <w:pPr>
        <w:spacing w:after="120"/>
        <w:jc w:val="both"/>
        <w:rPr>
          <w:rFonts w:ascii="Verdana" w:hAnsi="Verdana" w:cs="Calibri"/>
          <w:sz w:val="20"/>
          <w:szCs w:val="20"/>
        </w:rPr>
      </w:pPr>
      <w:r>
        <w:rPr>
          <w:rFonts w:ascii="Verdana" w:hAnsi="Verdana" w:cs="Calibri"/>
          <w:sz w:val="20"/>
          <w:szCs w:val="20"/>
        </w:rPr>
        <w:t xml:space="preserve">L’objectif étant d’avancer dans la démarche de </w:t>
      </w:r>
      <w:r w:rsidR="008F11E8" w:rsidRPr="008F11E8">
        <w:rPr>
          <w:rFonts w:ascii="Verdana" w:hAnsi="Verdana" w:cs="Calibri"/>
          <w:sz w:val="20"/>
          <w:szCs w:val="20"/>
        </w:rPr>
        <w:t>mise en place d</w:t>
      </w:r>
      <w:r w:rsidR="002C2E3F">
        <w:rPr>
          <w:rFonts w:ascii="Verdana" w:hAnsi="Verdana" w:cs="Calibri"/>
          <w:sz w:val="20"/>
          <w:szCs w:val="20"/>
        </w:rPr>
        <w:t xml:space="preserve">’un schéma de </w:t>
      </w:r>
      <w:r w:rsidR="008F11E8" w:rsidRPr="008F11E8">
        <w:rPr>
          <w:rFonts w:ascii="Verdana" w:hAnsi="Verdana" w:cs="Calibri"/>
          <w:sz w:val="20"/>
          <w:szCs w:val="20"/>
        </w:rPr>
        <w:t xml:space="preserve">Responsabilité Etendue des producteurs (REP) régionale de la chaîne de valeur des déchets pneumatiques, électriques, électroniques et les emballages. </w:t>
      </w:r>
    </w:p>
    <w:p w14:paraId="7E6ACDE1" w14:textId="77777777" w:rsidR="002C2E3F" w:rsidRDefault="002C2E3F" w:rsidP="002C2E3F">
      <w:pPr>
        <w:pStyle w:val="Paragraphedeliste"/>
        <w:numPr>
          <w:ilvl w:val="0"/>
          <w:numId w:val="19"/>
        </w:numPr>
        <w:spacing w:after="120"/>
        <w:jc w:val="both"/>
        <w:rPr>
          <w:rFonts w:ascii="Verdana" w:hAnsi="Verdana" w:cs="Calibri"/>
          <w:sz w:val="20"/>
          <w:szCs w:val="20"/>
        </w:rPr>
      </w:pPr>
      <w:r>
        <w:rPr>
          <w:rFonts w:ascii="Verdana" w:hAnsi="Verdana" w:cs="Calibri"/>
          <w:sz w:val="20"/>
          <w:szCs w:val="20"/>
        </w:rPr>
        <w:t>Un webinaire de renforcement de capacités des acteurs sur le mécanisme financier de la gestion des déchets : la responsabilité élargie des producteurs (septembre 2024)</w:t>
      </w:r>
    </w:p>
    <w:p w14:paraId="45E46DA0" w14:textId="4501959C" w:rsidR="002C2E3F" w:rsidRPr="002C2E3F" w:rsidRDefault="002C2E3F" w:rsidP="009F6B88">
      <w:pPr>
        <w:pStyle w:val="Paragraphedeliste"/>
        <w:numPr>
          <w:ilvl w:val="0"/>
          <w:numId w:val="19"/>
        </w:numPr>
        <w:spacing w:after="120"/>
        <w:jc w:val="both"/>
        <w:rPr>
          <w:rFonts w:ascii="Verdana" w:hAnsi="Verdana" w:cs="Calibri"/>
          <w:sz w:val="20"/>
          <w:szCs w:val="20"/>
        </w:rPr>
      </w:pPr>
      <w:r w:rsidRPr="002C2E3F">
        <w:rPr>
          <w:rFonts w:ascii="Verdana" w:hAnsi="Verdana" w:cs="Calibri"/>
          <w:sz w:val="20"/>
          <w:szCs w:val="20"/>
        </w:rPr>
        <w:t xml:space="preserve">Une </w:t>
      </w:r>
      <w:r w:rsidR="00502B59" w:rsidRPr="002C2E3F">
        <w:rPr>
          <w:rFonts w:ascii="Verdana" w:hAnsi="Verdana" w:cs="Calibri"/>
          <w:sz w:val="20"/>
          <w:szCs w:val="20"/>
        </w:rPr>
        <w:t>note d’orientation sur la « Responsabilité élargie des producteurs : Meilleures pratiques et enseignements tirés pour les pneus usagés et les emballages et un futur mécanisme régional de responsabilité élargie des producteurs (REP) pour les pays insulaires d'Afrique et de l'océan Indien » a été conçue</w:t>
      </w:r>
      <w:r w:rsidRPr="002C2E3F">
        <w:rPr>
          <w:rFonts w:ascii="Verdana" w:hAnsi="Verdana" w:cs="Calibri"/>
          <w:sz w:val="20"/>
          <w:szCs w:val="20"/>
        </w:rPr>
        <w:t>, restituée et validée par les membres de la plateforme (</w:t>
      </w:r>
      <w:r w:rsidR="008F11E8" w:rsidRPr="002C2E3F">
        <w:rPr>
          <w:rFonts w:ascii="Verdana" w:hAnsi="Verdana" w:cs="Calibri"/>
          <w:sz w:val="20"/>
          <w:szCs w:val="20"/>
        </w:rPr>
        <w:t>27 mars 2025</w:t>
      </w:r>
      <w:r>
        <w:rPr>
          <w:rFonts w:ascii="Verdana" w:hAnsi="Verdana" w:cs="Calibri"/>
          <w:sz w:val="20"/>
          <w:szCs w:val="20"/>
        </w:rPr>
        <w:t>)</w:t>
      </w:r>
      <w:r w:rsidR="008F11E8" w:rsidRPr="002C2E3F">
        <w:rPr>
          <w:rFonts w:ascii="Verdana" w:hAnsi="Verdana" w:cs="Calibri"/>
          <w:sz w:val="20"/>
          <w:szCs w:val="20"/>
        </w:rPr>
        <w:t>.</w:t>
      </w:r>
      <w:r w:rsidRPr="002C2E3F">
        <w:rPr>
          <w:rFonts w:ascii="Verdana" w:hAnsi="Verdana" w:cs="Calibri"/>
          <w:sz w:val="20"/>
          <w:szCs w:val="20"/>
        </w:rPr>
        <w:t xml:space="preserve"> </w:t>
      </w:r>
    </w:p>
    <w:p w14:paraId="74C82F81" w14:textId="111E98E0" w:rsidR="008F11E8" w:rsidRDefault="002C2E3F" w:rsidP="00286161">
      <w:pPr>
        <w:pStyle w:val="Paragraphedeliste"/>
        <w:numPr>
          <w:ilvl w:val="0"/>
          <w:numId w:val="19"/>
        </w:numPr>
        <w:spacing w:after="120"/>
        <w:jc w:val="both"/>
        <w:rPr>
          <w:rFonts w:ascii="Verdana" w:hAnsi="Verdana" w:cs="Calibri"/>
          <w:sz w:val="20"/>
          <w:szCs w:val="20"/>
        </w:rPr>
      </w:pPr>
      <w:r w:rsidRPr="002C2E3F">
        <w:rPr>
          <w:rFonts w:ascii="Verdana" w:hAnsi="Verdana" w:cs="Calibri"/>
          <w:sz w:val="20"/>
          <w:szCs w:val="20"/>
        </w:rPr>
        <w:t xml:space="preserve">Une proposition de feuille de route </w:t>
      </w:r>
      <w:r>
        <w:rPr>
          <w:rFonts w:ascii="Verdana" w:hAnsi="Verdana" w:cs="Calibri"/>
          <w:sz w:val="20"/>
          <w:szCs w:val="20"/>
        </w:rPr>
        <w:t>du futur mécanisme REP régional validée par les membres de la plateforme (27 mars 2025).</w:t>
      </w:r>
    </w:p>
    <w:p w14:paraId="0E8CFDF0" w14:textId="623D1862" w:rsidR="002C2E3F" w:rsidRDefault="00D00158" w:rsidP="00286161">
      <w:pPr>
        <w:pStyle w:val="Paragraphedeliste"/>
        <w:numPr>
          <w:ilvl w:val="0"/>
          <w:numId w:val="19"/>
        </w:numPr>
        <w:spacing w:after="120"/>
        <w:jc w:val="both"/>
        <w:rPr>
          <w:rFonts w:ascii="Verdana" w:hAnsi="Verdana" w:cs="Calibri"/>
          <w:sz w:val="20"/>
          <w:szCs w:val="20"/>
        </w:rPr>
      </w:pPr>
      <w:r>
        <w:rPr>
          <w:rFonts w:ascii="Verdana" w:hAnsi="Verdana" w:cs="Calibri"/>
          <w:sz w:val="20"/>
          <w:szCs w:val="20"/>
        </w:rPr>
        <w:t>L</w:t>
      </w:r>
      <w:r w:rsidR="00F50B20">
        <w:rPr>
          <w:rFonts w:ascii="Verdana" w:hAnsi="Verdana" w:cs="Calibri"/>
          <w:sz w:val="20"/>
          <w:szCs w:val="20"/>
        </w:rPr>
        <w:t xml:space="preserve">a mise en œuvre de la feuille de route </w:t>
      </w:r>
      <w:r w:rsidR="002905E7">
        <w:rPr>
          <w:rFonts w:ascii="Verdana" w:hAnsi="Verdana" w:cs="Calibri"/>
          <w:sz w:val="20"/>
          <w:szCs w:val="20"/>
        </w:rPr>
        <w:t>du</w:t>
      </w:r>
      <w:r w:rsidR="00F50B20">
        <w:rPr>
          <w:rFonts w:ascii="Verdana" w:hAnsi="Verdana" w:cs="Calibri"/>
          <w:sz w:val="20"/>
          <w:szCs w:val="20"/>
        </w:rPr>
        <w:t xml:space="preserve"> mécanisme REP régional validée par les membres de la plateforme</w:t>
      </w:r>
      <w:r w:rsidR="002905E7">
        <w:rPr>
          <w:rFonts w:ascii="Verdana" w:hAnsi="Verdana" w:cs="Calibri"/>
          <w:sz w:val="20"/>
          <w:szCs w:val="20"/>
        </w:rPr>
        <w:t xml:space="preserve"> le 27 mars 2025</w:t>
      </w:r>
      <w:r>
        <w:rPr>
          <w:rFonts w:ascii="Verdana" w:hAnsi="Verdana" w:cs="Calibri"/>
          <w:sz w:val="20"/>
          <w:szCs w:val="20"/>
        </w:rPr>
        <w:t>, avec l’assistance technique de Common Seas</w:t>
      </w:r>
      <w:r w:rsidR="00F50B20">
        <w:rPr>
          <w:rFonts w:ascii="Verdana" w:hAnsi="Verdana" w:cs="Calibri"/>
          <w:sz w:val="20"/>
          <w:szCs w:val="20"/>
        </w:rPr>
        <w:t xml:space="preserve">. </w:t>
      </w:r>
    </w:p>
    <w:p w14:paraId="2F7F5914" w14:textId="608AD6BB" w:rsidR="00955BB3" w:rsidRPr="0008468B" w:rsidRDefault="00955BB3" w:rsidP="00A70123">
      <w:pPr>
        <w:pStyle w:val="Titrepartie"/>
      </w:pPr>
      <w:r w:rsidRPr="0008468B">
        <w:t>Proposition de décision</w:t>
      </w:r>
    </w:p>
    <w:p w14:paraId="05F1F967" w14:textId="1F40FACF" w:rsidR="0008468B" w:rsidRPr="004F5C4B" w:rsidRDefault="0008468B" w:rsidP="00FE285D">
      <w:pPr>
        <w:pStyle w:val="Paragraphe"/>
      </w:pPr>
      <w:r w:rsidRPr="004F5C4B">
        <w:t>Le Comité des OPL</w:t>
      </w:r>
      <w:r w:rsidR="00777426">
        <w:t xml:space="preserve"> </w:t>
      </w:r>
      <w:r w:rsidR="00A76B07">
        <w:t>:</w:t>
      </w:r>
    </w:p>
    <w:p w14:paraId="24B6014E" w14:textId="30463BE8" w:rsidR="002905E7" w:rsidRDefault="002905E7" w:rsidP="00013D57">
      <w:pPr>
        <w:pStyle w:val="Paragraphe"/>
        <w:numPr>
          <w:ilvl w:val="0"/>
          <w:numId w:val="6"/>
        </w:numPr>
      </w:pPr>
      <w:r>
        <w:t>Mandate le Secrétariat général de prendre les dispositions nécessaires pour la mise en œuvre des résolutions prises lors de l’atelier régional de validation du plan d’action régional de l’économie circulaire des Etats insulaires d’Afrique et de l’océan Indien.</w:t>
      </w:r>
    </w:p>
    <w:p w14:paraId="649186B3" w14:textId="384B5178" w:rsidR="00CB679A" w:rsidRDefault="00CB679A" w:rsidP="00CB679A">
      <w:pPr>
        <w:pStyle w:val="Paragraphe"/>
        <w:numPr>
          <w:ilvl w:val="0"/>
          <w:numId w:val="6"/>
        </w:numPr>
      </w:pPr>
      <w:r>
        <w:t>Remercie la Commission économique pour l’Afrique pour le partenariat dans la promotion de l’économie bleue et circulaire, ayant permis l’élaboration du plan d’action régional de l’économie circulaire des Etats insulaires d’Afrique et de l’océan Indien et du mécanisme de financement innovant adapté,</w:t>
      </w:r>
      <w:r w:rsidRPr="00550977">
        <w:t xml:space="preserve"> y compris les priorités de l'économie circulaire et bleue</w:t>
      </w:r>
      <w:r>
        <w:t>, tel qu’indiqué par la feuille de route de l’économie circulaire.</w:t>
      </w:r>
    </w:p>
    <w:p w14:paraId="26B62C21" w14:textId="77777777" w:rsidR="000B11E4" w:rsidRDefault="009B2F20" w:rsidP="00981447">
      <w:pPr>
        <w:pStyle w:val="Paragraphe"/>
        <w:numPr>
          <w:ilvl w:val="0"/>
          <w:numId w:val="6"/>
        </w:numPr>
      </w:pPr>
      <w:r>
        <w:t>Recommande au Conseil des ministres d</w:t>
      </w:r>
      <w:r w:rsidR="000B11E4">
        <w:t xml:space="preserve">e : </w:t>
      </w:r>
    </w:p>
    <w:p w14:paraId="2FF3546A" w14:textId="22B4D049" w:rsidR="00D00158" w:rsidRDefault="000B11E4" w:rsidP="00FC41C2">
      <w:pPr>
        <w:pStyle w:val="Paragraphe"/>
        <w:numPr>
          <w:ilvl w:val="1"/>
          <w:numId w:val="38"/>
        </w:numPr>
      </w:pPr>
      <w:r>
        <w:t>A</w:t>
      </w:r>
      <w:r w:rsidR="009B2F20">
        <w:t>pprouver le plan d’action régional de l’économie circulaire des Etats insulaires d’Afrique et de l’océan Indien</w:t>
      </w:r>
      <w:r w:rsidR="00D25219">
        <w:t xml:space="preserve"> et le mécanisme de financement innovant, adapté aux</w:t>
      </w:r>
      <w:r w:rsidR="00D25219" w:rsidRPr="00550977">
        <w:t xml:space="preserve"> spécificités des </w:t>
      </w:r>
      <w:r w:rsidR="00D25219">
        <w:t>Etats insulaires</w:t>
      </w:r>
      <w:r w:rsidR="009B2F20">
        <w:t>.</w:t>
      </w:r>
    </w:p>
    <w:p w14:paraId="2A1E5E4B" w14:textId="7994F2FA" w:rsidR="009B2F20" w:rsidRDefault="00D25219" w:rsidP="00FC41C2">
      <w:pPr>
        <w:pStyle w:val="Paragraphe"/>
        <w:numPr>
          <w:ilvl w:val="1"/>
          <w:numId w:val="38"/>
        </w:numPr>
      </w:pPr>
      <w:r>
        <w:t>Valider</w:t>
      </w:r>
      <w:r w:rsidR="009B2F20">
        <w:t xml:space="preserve"> le cadre règlementaire régional </w:t>
      </w:r>
      <w:r w:rsidR="009B2F20" w:rsidRPr="007E2BB5">
        <w:t xml:space="preserve">indicatif </w:t>
      </w:r>
      <w:r w:rsidR="009B2F20">
        <w:t xml:space="preserve">sur l’économie sociale et solidaire, </w:t>
      </w:r>
      <w:r w:rsidR="009B2F20" w:rsidRPr="007E2BB5">
        <w:t>pour structurer l’entrepreneuriat social d</w:t>
      </w:r>
      <w:r w:rsidR="009B2F20">
        <w:t>u recyclage et de l’économie circulaire</w:t>
      </w:r>
      <w:r w:rsidR="00435784">
        <w:t xml:space="preserve"> ainsi que la </w:t>
      </w:r>
      <w:r w:rsidR="00435784" w:rsidRPr="007E2BB5">
        <w:t xml:space="preserve">charte régionale </w:t>
      </w:r>
      <w:r w:rsidR="00435784">
        <w:t>promouvant</w:t>
      </w:r>
      <w:r w:rsidR="00435784" w:rsidRPr="007E2BB5">
        <w:t xml:space="preserve"> des pratiques de travail décentes et sûres pour les travailleurs et travailleuses du secteur informel du recyclage</w:t>
      </w:r>
      <w:r w:rsidR="009B2F20">
        <w:t>.</w:t>
      </w:r>
    </w:p>
    <w:p w14:paraId="2DCD7E47" w14:textId="7D497AC5" w:rsidR="00435784" w:rsidRDefault="00435784" w:rsidP="00FC41C2">
      <w:pPr>
        <w:pStyle w:val="Paragraphe"/>
        <w:numPr>
          <w:ilvl w:val="1"/>
          <w:numId w:val="38"/>
        </w:numPr>
      </w:pPr>
      <w:r>
        <w:t>Remercier les partenaires mobilisés par le Secrétariat général de la COI</w:t>
      </w:r>
      <w:r w:rsidR="00981447">
        <w:t xml:space="preserve"> en faveur d’initiatives structurantes portant sur l’économie bleue et circulaire, notamment la Commission économique des Nations unies pour l’Afrique (CEA), l’ICR Facility et l’Union européenne. </w:t>
      </w:r>
    </w:p>
    <w:p w14:paraId="460FA8F0" w14:textId="77777777" w:rsidR="00BB4F9A" w:rsidRDefault="00BB4F9A" w:rsidP="00BB4F9A">
      <w:pPr>
        <w:pStyle w:val="Paragraphe"/>
        <w:ind w:left="720"/>
      </w:pPr>
    </w:p>
    <w:p w14:paraId="7EAEB404" w14:textId="72ACB4A7" w:rsidR="00955BB3" w:rsidRPr="0008468B" w:rsidRDefault="00955BB3" w:rsidP="00FE285D">
      <w:pPr>
        <w:pStyle w:val="Titrepartie"/>
      </w:pPr>
      <w:r w:rsidRPr="0008468B">
        <w:t>Rappel des décisions antérieures</w:t>
      </w:r>
    </w:p>
    <w:bookmarkEnd w:id="0"/>
    <w:p w14:paraId="1A09A3AD" w14:textId="77777777" w:rsidR="0055059B" w:rsidRDefault="00FE285D" w:rsidP="00060CA0">
      <w:pPr>
        <w:pStyle w:val="Exergue"/>
      </w:pPr>
      <w:r>
        <w:t>Cf.</w:t>
      </w:r>
      <w:r w:rsidR="0008468B" w:rsidRPr="00FE285D">
        <w:t xml:space="preserve"> </w:t>
      </w:r>
    </w:p>
    <w:p w14:paraId="73CEFE06" w14:textId="73CD39B8" w:rsidR="00E93901" w:rsidRDefault="0008468B" w:rsidP="00E93901">
      <w:pPr>
        <w:spacing w:after="120" w:line="276" w:lineRule="auto"/>
        <w:jc w:val="both"/>
        <w:rPr>
          <w:rFonts w:ascii="Verdana" w:eastAsia="Times New Roman" w:hAnsi="Verdana" w:cs="Calibri"/>
          <w:b/>
          <w:bCs/>
          <w:i/>
          <w:sz w:val="20"/>
          <w:szCs w:val="20"/>
        </w:rPr>
      </w:pPr>
      <w:r w:rsidRPr="00E93901">
        <w:rPr>
          <w:rFonts w:ascii="Verdana" w:eastAsia="Times New Roman" w:hAnsi="Verdana" w:cs="Calibri"/>
          <w:b/>
          <w:bCs/>
          <w:i/>
          <w:sz w:val="20"/>
          <w:szCs w:val="20"/>
        </w:rPr>
        <w:t xml:space="preserve">Décision </w:t>
      </w:r>
      <w:r w:rsidR="00663459" w:rsidRPr="00E93901">
        <w:rPr>
          <w:rFonts w:ascii="Verdana" w:eastAsia="Times New Roman" w:hAnsi="Verdana" w:cs="Calibri"/>
          <w:b/>
          <w:bCs/>
          <w:i/>
          <w:sz w:val="20"/>
          <w:szCs w:val="20"/>
        </w:rPr>
        <w:t>7,</w:t>
      </w:r>
      <w:r w:rsidR="005725B7" w:rsidRPr="00E93901">
        <w:rPr>
          <w:rFonts w:ascii="Verdana" w:eastAsia="Times New Roman" w:hAnsi="Verdana" w:cs="Calibri"/>
          <w:b/>
          <w:bCs/>
          <w:i/>
          <w:sz w:val="20"/>
          <w:szCs w:val="20"/>
        </w:rPr>
        <w:t xml:space="preserve"> COPL 02-2023 du 21 et 22 novembre 2023</w:t>
      </w:r>
      <w:r w:rsidR="00E93901" w:rsidRPr="00E93901">
        <w:rPr>
          <w:rFonts w:ascii="Verdana" w:eastAsia="Times New Roman" w:hAnsi="Verdana" w:cs="Calibri"/>
          <w:b/>
          <w:bCs/>
          <w:i/>
          <w:sz w:val="20"/>
          <w:szCs w:val="20"/>
        </w:rPr>
        <w:t xml:space="preserve"> Conférence ministérielle </w:t>
      </w:r>
      <w:r w:rsidR="00E93901">
        <w:rPr>
          <w:rFonts w:ascii="Verdana" w:eastAsia="Times New Roman" w:hAnsi="Verdana" w:cs="Calibri"/>
          <w:b/>
          <w:bCs/>
          <w:i/>
          <w:sz w:val="20"/>
          <w:szCs w:val="20"/>
        </w:rPr>
        <w:t>s</w:t>
      </w:r>
      <w:r w:rsidR="00E93901" w:rsidRPr="00E93901">
        <w:rPr>
          <w:rFonts w:ascii="Verdana" w:eastAsia="Times New Roman" w:hAnsi="Verdana" w:cs="Calibri"/>
          <w:b/>
          <w:bCs/>
          <w:i/>
          <w:sz w:val="20"/>
          <w:szCs w:val="20"/>
        </w:rPr>
        <w:t>ur l’économie circulaire et suite à donner</w:t>
      </w:r>
    </w:p>
    <w:p w14:paraId="07B48760" w14:textId="77777777" w:rsidR="00345C92" w:rsidRPr="00CA52B8" w:rsidRDefault="00345C92" w:rsidP="00345C92">
      <w:pPr>
        <w:pStyle w:val="Paragraphedeliste"/>
        <w:numPr>
          <w:ilvl w:val="0"/>
          <w:numId w:val="22"/>
        </w:numPr>
        <w:ind w:left="714" w:hanging="357"/>
        <w:contextualSpacing w:val="0"/>
        <w:jc w:val="both"/>
        <w:rPr>
          <w:rFonts w:ascii="Verdana" w:hAnsi="Verdana" w:cs="Calibri"/>
          <w:sz w:val="20"/>
          <w:szCs w:val="20"/>
        </w:rPr>
      </w:pPr>
      <w:r w:rsidRPr="00CA52B8">
        <w:rPr>
          <w:rFonts w:ascii="Verdana" w:hAnsi="Verdana" w:cs="Calibri"/>
          <w:sz w:val="20"/>
          <w:szCs w:val="20"/>
        </w:rPr>
        <w:lastRenderedPageBreak/>
        <w:t xml:space="preserve">Demande au Secrétariat général de rechercher des partenariats en vue d’un programme régional sur l’économie bleue et circulaire participant à la mise en œuvre de la Déclaration ministérielle sur l’économie bleue et circulaire et d’en faire le point aux prochaines réunions des instances ; </w:t>
      </w:r>
    </w:p>
    <w:p w14:paraId="33BA3548" w14:textId="77777777" w:rsidR="00345C92" w:rsidRPr="00CA52B8" w:rsidRDefault="00345C92" w:rsidP="00345C92">
      <w:pPr>
        <w:pStyle w:val="Paragraphedeliste"/>
        <w:numPr>
          <w:ilvl w:val="0"/>
          <w:numId w:val="22"/>
        </w:numPr>
        <w:ind w:left="714" w:hanging="357"/>
        <w:contextualSpacing w:val="0"/>
        <w:jc w:val="both"/>
        <w:rPr>
          <w:rFonts w:ascii="Verdana" w:hAnsi="Verdana" w:cs="Calibri"/>
          <w:sz w:val="20"/>
          <w:szCs w:val="20"/>
        </w:rPr>
      </w:pPr>
      <w:r w:rsidRPr="00CA52B8">
        <w:rPr>
          <w:rFonts w:ascii="Verdana" w:hAnsi="Verdana" w:cs="Calibri"/>
          <w:sz w:val="20"/>
          <w:szCs w:val="20"/>
        </w:rPr>
        <w:t>Demande au Secrétariat général, en consultation avec les Etats membres, de faciliter la mise en place d’un mécanisme de coopération régionale chargé d’examiner les implications légales, techniques, environnementales et financières d’un plan pour permettre la circulation des déchets pneumatiques, électriques et électroniques entre les îles comme stipulé dans la Déclaration ministérielle AIODIS ;</w:t>
      </w:r>
    </w:p>
    <w:p w14:paraId="099AE8F8" w14:textId="77777777" w:rsidR="00345C92" w:rsidRPr="00CA52B8" w:rsidRDefault="00345C92" w:rsidP="00345C92">
      <w:pPr>
        <w:pStyle w:val="Sous-partie2"/>
        <w:numPr>
          <w:ilvl w:val="0"/>
          <w:numId w:val="22"/>
        </w:numPr>
        <w:rPr>
          <w:color w:val="auto"/>
        </w:rPr>
      </w:pPr>
      <w:r w:rsidRPr="00CA52B8">
        <w:rPr>
          <w:color w:val="auto"/>
        </w:rPr>
        <w:t>Encourage le Secrétariat général à poursuivre son plaidoyer au bénéfice de l’ensemble des Etats insulaires d’Afrique et de l’océan Indien, à saisir les occasions des foras régionaux et internationaux pour promouvoir nos positions en faveur de l’économie circulaire et à nouer un dialogue confiant avec la communauté des partenaires au développement, notamment avec la Banque mondiale, en vue de la mobilisation de ressources additionnelles en soutien aux initiatives régionales en faveur de l’économie circulaire.</w:t>
      </w:r>
    </w:p>
    <w:p w14:paraId="16E83575" w14:textId="77777777" w:rsidR="00345C92" w:rsidRPr="00CA52B8" w:rsidRDefault="00345C92" w:rsidP="00345C92">
      <w:pPr>
        <w:pStyle w:val="Paragraphedeliste"/>
        <w:numPr>
          <w:ilvl w:val="0"/>
          <w:numId w:val="22"/>
        </w:numPr>
        <w:jc w:val="both"/>
        <w:rPr>
          <w:rFonts w:ascii="Verdana" w:hAnsi="Verdana" w:cs="Calibri"/>
          <w:sz w:val="20"/>
          <w:szCs w:val="20"/>
        </w:rPr>
      </w:pPr>
      <w:r w:rsidRPr="00CA52B8">
        <w:rPr>
          <w:rFonts w:ascii="Verdana" w:hAnsi="Verdana" w:cs="Calibri"/>
          <w:sz w:val="20"/>
          <w:szCs w:val="20"/>
        </w:rPr>
        <w:t xml:space="preserve">Demande au Secrétariat général de mobiliser les partenaires au développement pour la mise en place d’un dispositif régional de financement et d’accompagnement approprié pour les entrepreneurs et innovateurs, notamment les jeunes et les femmes, dans le domaine de l’économie circulaire. </w:t>
      </w:r>
    </w:p>
    <w:p w14:paraId="45FA0B0B" w14:textId="79ED0015" w:rsidR="00E93901" w:rsidRDefault="00E93901" w:rsidP="00060CA0">
      <w:pPr>
        <w:pStyle w:val="Exergue"/>
        <w:rPr>
          <w:rFonts w:cs="Calibri"/>
        </w:rPr>
      </w:pPr>
      <w:r w:rsidRPr="00C635C3">
        <w:rPr>
          <w:rFonts w:cs="Calibri"/>
        </w:rPr>
        <w:t>Décisions 10(a) d</w:t>
      </w:r>
      <w:r>
        <w:rPr>
          <w:rFonts w:cs="Calibri"/>
        </w:rPr>
        <w:t>u COPL 02-2024</w:t>
      </w:r>
      <w:r w:rsidR="00690C42">
        <w:rPr>
          <w:rFonts w:cs="Calibri"/>
        </w:rPr>
        <w:t>, réponse au 4</w:t>
      </w:r>
      <w:r w:rsidR="00690C42" w:rsidRPr="00690C42">
        <w:rPr>
          <w:rFonts w:cs="Calibri"/>
          <w:vertAlign w:val="superscript"/>
        </w:rPr>
        <w:t>ème</w:t>
      </w:r>
      <w:r w:rsidR="00690C42">
        <w:rPr>
          <w:rFonts w:cs="Calibri"/>
        </w:rPr>
        <w:t xml:space="preserve"> appel du Fonds pour les changements climatiques en Afrique- Projet BAD</w:t>
      </w:r>
    </w:p>
    <w:p w14:paraId="06729299" w14:textId="77777777" w:rsidR="00690C42" w:rsidRPr="00FE285D" w:rsidRDefault="00690C42" w:rsidP="00060CA0">
      <w:pPr>
        <w:pStyle w:val="Exergue"/>
      </w:pPr>
    </w:p>
    <w:p w14:paraId="1A08E46E" w14:textId="726732F0" w:rsidR="0008468B" w:rsidRPr="00345C92" w:rsidRDefault="00345C92" w:rsidP="00F0674E">
      <w:pPr>
        <w:pStyle w:val="Paragraphedeliste"/>
        <w:numPr>
          <w:ilvl w:val="0"/>
          <w:numId w:val="23"/>
        </w:numPr>
        <w:jc w:val="both"/>
        <w:rPr>
          <w:rFonts w:ascii="Verdana" w:hAnsi="Verdana"/>
          <w:sz w:val="20"/>
          <w:szCs w:val="20"/>
        </w:rPr>
      </w:pPr>
      <w:r w:rsidRPr="00345C92">
        <w:rPr>
          <w:rFonts w:ascii="Verdana" w:hAnsi="Verdana"/>
          <w:sz w:val="20"/>
          <w:szCs w:val="20"/>
        </w:rPr>
        <w:t xml:space="preserve">Réitère </w:t>
      </w:r>
      <w:r>
        <w:rPr>
          <w:rFonts w:ascii="Verdana" w:hAnsi="Verdana"/>
          <w:sz w:val="20"/>
          <w:szCs w:val="20"/>
        </w:rPr>
        <w:t xml:space="preserve">la demande faite au Secrétaire général </w:t>
      </w:r>
      <w:r w:rsidR="00F0674E">
        <w:rPr>
          <w:rFonts w:ascii="Verdana" w:hAnsi="Verdana"/>
          <w:sz w:val="20"/>
          <w:szCs w:val="20"/>
        </w:rPr>
        <w:t xml:space="preserve">de mobiliser les partenaires au développement </w:t>
      </w:r>
      <w:r w:rsidR="00D53346">
        <w:rPr>
          <w:rFonts w:ascii="Verdana" w:hAnsi="Verdana"/>
          <w:sz w:val="20"/>
          <w:szCs w:val="20"/>
        </w:rPr>
        <w:t xml:space="preserve">pour la mise en œuvre de la feuille de route sur l’économie circulaire. </w:t>
      </w:r>
    </w:p>
    <w:p w14:paraId="1D6F1669" w14:textId="72833CAD" w:rsidR="00417683" w:rsidRPr="0008468B" w:rsidRDefault="00417683" w:rsidP="00060CA0">
      <w:pPr>
        <w:pStyle w:val="Titrepartie"/>
      </w:pPr>
      <w:r w:rsidRPr="0008468B">
        <w:t>Annexe</w:t>
      </w:r>
      <w:r w:rsidR="008F173C" w:rsidRPr="0008468B">
        <w:t>s</w:t>
      </w:r>
      <w:r w:rsidRPr="0008468B">
        <w:t> :</w:t>
      </w:r>
    </w:p>
    <w:p w14:paraId="649B8179" w14:textId="5FD20225" w:rsidR="00614A8F" w:rsidRPr="00550977" w:rsidRDefault="00620B90" w:rsidP="00614A8F">
      <w:pPr>
        <w:pStyle w:val="Paragraphe"/>
        <w:numPr>
          <w:ilvl w:val="0"/>
          <w:numId w:val="9"/>
        </w:numPr>
      </w:pPr>
      <w:r>
        <w:t>Annexe 1 </w:t>
      </w:r>
      <w:r w:rsidR="0055059B">
        <w:t xml:space="preserve">: </w:t>
      </w:r>
      <w:r w:rsidR="00614A8F">
        <w:t>Le</w:t>
      </w:r>
      <w:r w:rsidR="00614A8F" w:rsidRPr="00550977">
        <w:t xml:space="preserve"> plan d'action </w:t>
      </w:r>
      <w:r w:rsidR="00614A8F">
        <w:t>de</w:t>
      </w:r>
      <w:r w:rsidR="00614A8F" w:rsidRPr="00550977">
        <w:t xml:space="preserve"> l'économie circulaire</w:t>
      </w:r>
      <w:r w:rsidR="00614A8F">
        <w:t xml:space="preserve"> (PAEC)</w:t>
      </w:r>
      <w:r w:rsidR="00614A8F" w:rsidRPr="00550977">
        <w:t xml:space="preserve"> </w:t>
      </w:r>
      <w:r w:rsidR="00614A8F">
        <w:t xml:space="preserve">des Etats insulaires d’Afrique et </w:t>
      </w:r>
      <w:r w:rsidR="00614A8F" w:rsidRPr="00550977">
        <w:t>de l'océan Indie</w:t>
      </w:r>
      <w:r w:rsidR="00614A8F">
        <w:t>n.</w:t>
      </w:r>
    </w:p>
    <w:p w14:paraId="4648F921" w14:textId="7A1970EC" w:rsidR="008F173C" w:rsidRDefault="00614A8F" w:rsidP="00A52A06">
      <w:pPr>
        <w:pStyle w:val="Paragraphe"/>
        <w:numPr>
          <w:ilvl w:val="0"/>
          <w:numId w:val="9"/>
        </w:numPr>
      </w:pPr>
      <w:r>
        <w:t xml:space="preserve">Annexe 2 : </w:t>
      </w:r>
      <w:r w:rsidRPr="00550977">
        <w:t xml:space="preserve">Un mécanisme de financement </w:t>
      </w:r>
      <w:r>
        <w:t>innovant de l’économie bleue et circulaire.</w:t>
      </w:r>
    </w:p>
    <w:p w14:paraId="5D763650" w14:textId="4F3F0198" w:rsidR="00614A8F" w:rsidRDefault="00614A8F" w:rsidP="00A52A06">
      <w:pPr>
        <w:pStyle w:val="Paragraphe"/>
        <w:numPr>
          <w:ilvl w:val="0"/>
          <w:numId w:val="9"/>
        </w:numPr>
      </w:pPr>
      <w:r w:rsidRPr="00961E12">
        <w:t xml:space="preserve">Annexe 3 : </w:t>
      </w:r>
      <w:r w:rsidR="00B81BAA">
        <w:t xml:space="preserve">La proposition de </w:t>
      </w:r>
      <w:r w:rsidR="00CF6E0E">
        <w:t xml:space="preserve">cadre réglementaire indicatif </w:t>
      </w:r>
      <w:r w:rsidR="00B81BAA">
        <w:t xml:space="preserve">de l’économie sociale et solidaire permettant la mise en place de l’entrepreneuriat social </w:t>
      </w:r>
      <w:r w:rsidR="00CF6E0E">
        <w:t>dans le secteur informel du recyclage et l’économie circulaire</w:t>
      </w:r>
      <w:r w:rsidR="00F51D7B">
        <w:t>.</w:t>
      </w:r>
    </w:p>
    <w:p w14:paraId="2A6FD946" w14:textId="77777777" w:rsidR="00B81BAA" w:rsidRDefault="00CF6E0E" w:rsidP="00B51E57">
      <w:pPr>
        <w:pStyle w:val="Paragraphe"/>
        <w:numPr>
          <w:ilvl w:val="0"/>
          <w:numId w:val="9"/>
        </w:numPr>
      </w:pPr>
      <w:r>
        <w:t xml:space="preserve">Annexe 4 : </w:t>
      </w:r>
      <w:r w:rsidR="00B81BAA">
        <w:t xml:space="preserve">La proposition de charte régionale </w:t>
      </w:r>
      <w:r w:rsidR="00B81BAA" w:rsidRPr="007E2BB5">
        <w:t>permettant de proposer une réglementation au niveau des Etats membres, afin de promouvoir des pratiques de travail décentes et sûres pour les travailleurs et travailleuses du secteur informel du recyclage</w:t>
      </w:r>
    </w:p>
    <w:p w14:paraId="5A63A014" w14:textId="5F9E4E5F" w:rsidR="00CF6E0E" w:rsidRDefault="00F51D7B" w:rsidP="00B51E57">
      <w:pPr>
        <w:pStyle w:val="Paragraphe"/>
        <w:numPr>
          <w:ilvl w:val="0"/>
          <w:numId w:val="9"/>
        </w:numPr>
      </w:pPr>
      <w:r>
        <w:t xml:space="preserve">Annexe 5 : </w:t>
      </w:r>
      <w:r w:rsidR="00E52E01">
        <w:t>Note</w:t>
      </w:r>
      <w:r w:rsidRPr="00502B59">
        <w:t xml:space="preserve"> d’orientation sur la « Responsabilité élargie des producteurs : Meilleures pratiques et enseignements tirés pour les pneus usagés et les emballages et un futur mécanisme régional de responsabilité élargie des producteurs (REP) pour les pays insulaires d'Afrique et de l'océan Indien »</w:t>
      </w:r>
      <w:r>
        <w:t>.</w:t>
      </w:r>
    </w:p>
    <w:p w14:paraId="7F019825" w14:textId="77777777" w:rsidR="00AB6C58" w:rsidRPr="00961E12" w:rsidRDefault="00AB6C58" w:rsidP="00AC144A">
      <w:pPr>
        <w:pStyle w:val="Paragraphe"/>
        <w:ind w:left="720"/>
      </w:pPr>
    </w:p>
    <w:sectPr w:rsidR="00AB6C58" w:rsidRPr="00961E12" w:rsidSect="00063A26">
      <w:headerReference w:type="default" r:id="rId8"/>
      <w:footerReference w:type="default" r:id="rId9"/>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0533A" w14:textId="77777777" w:rsidR="00B5101B" w:rsidRDefault="00B5101B">
      <w:pPr>
        <w:spacing w:after="0" w:line="240" w:lineRule="auto"/>
      </w:pPr>
      <w:r>
        <w:separator/>
      </w:r>
    </w:p>
  </w:endnote>
  <w:endnote w:type="continuationSeparator" w:id="0">
    <w:p w14:paraId="6E601F27" w14:textId="77777777" w:rsidR="00B5101B" w:rsidRDefault="00B51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36460" w14:textId="77777777" w:rsidR="00B5101B" w:rsidRDefault="00B5101B">
      <w:pPr>
        <w:spacing w:after="0" w:line="240" w:lineRule="auto"/>
      </w:pPr>
      <w:r>
        <w:separator/>
      </w:r>
    </w:p>
  </w:footnote>
  <w:footnote w:type="continuationSeparator" w:id="0">
    <w:p w14:paraId="346C83B2" w14:textId="77777777" w:rsidR="00B5101B" w:rsidRDefault="00B5101B">
      <w:pPr>
        <w:spacing w:after="0" w:line="240" w:lineRule="auto"/>
      </w:pPr>
      <w:r>
        <w:continuationSeparator/>
      </w:r>
    </w:p>
  </w:footnote>
  <w:footnote w:id="1">
    <w:p w14:paraId="752AB621" w14:textId="6D0513AF" w:rsidR="0067468C" w:rsidRPr="0067468C" w:rsidRDefault="0067468C">
      <w:pPr>
        <w:pStyle w:val="Notedebasdepage"/>
        <w:rPr>
          <w:sz w:val="18"/>
          <w:szCs w:val="18"/>
        </w:rPr>
      </w:pPr>
      <w:r>
        <w:rPr>
          <w:rStyle w:val="Appelnotedebasdep"/>
        </w:rPr>
        <w:footnoteRef/>
      </w:r>
      <w:r>
        <w:t xml:space="preserve"> </w:t>
      </w:r>
      <w:r w:rsidRPr="0067468C">
        <w:rPr>
          <w:sz w:val="18"/>
          <w:szCs w:val="18"/>
        </w:rPr>
        <w:t xml:space="preserve">La Facilité ICR </w:t>
      </w:r>
      <w:r>
        <w:rPr>
          <w:sz w:val="18"/>
          <w:szCs w:val="18"/>
        </w:rPr>
        <w:t>« </w:t>
      </w:r>
      <w:r w:rsidRPr="0067468C">
        <w:rPr>
          <w:sz w:val="18"/>
          <w:szCs w:val="18"/>
        </w:rPr>
        <w:t>Facilité d'assistance technique visant à améliorer l'environnement des entreprises et le climat des affaires par un dialogue structuré</w:t>
      </w:r>
      <w:r>
        <w:rPr>
          <w:sz w:val="18"/>
          <w:szCs w:val="18"/>
        </w:rPr>
        <w:t> »</w:t>
      </w:r>
      <w:r w:rsidRPr="0067468C">
        <w:rPr>
          <w:sz w:val="18"/>
          <w:szCs w:val="18"/>
        </w:rPr>
        <w:t xml:space="preserve"> est mise en œuvre par Expertise France, British Council</w:t>
      </w:r>
      <w:r>
        <w:rPr>
          <w:sz w:val="18"/>
          <w:szCs w:val="18"/>
        </w:rPr>
        <w:t xml:space="preserve">, GIZ et SNV. Elle est </w:t>
      </w:r>
      <w:r w:rsidRPr="0067468C">
        <w:rPr>
          <w:sz w:val="18"/>
          <w:szCs w:val="18"/>
        </w:rPr>
        <w:t>cofinancée par l’OEACP, l’UE, British Council et le BMZ</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380BE1AC" w:rsidR="00AA63A3" w:rsidRDefault="00854EEA" w:rsidP="00E527C0">
    <w:pPr>
      <w:pStyle w:val="En-tte"/>
      <w:pBdr>
        <w:bottom w:val="single" w:sz="4" w:space="1" w:color="0070C0"/>
      </w:pBdr>
      <w:tabs>
        <w:tab w:val="clear" w:pos="4536"/>
        <w:tab w:val="clear" w:pos="9072"/>
        <w:tab w:val="center" w:pos="0"/>
      </w:tabs>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AD1EC1">
      <w:rPr>
        <w:rFonts w:ascii="Verdana" w:hAnsi="Verdana"/>
        <w:b/>
        <w:bCs/>
        <w:sz w:val="20"/>
        <w:szCs w:val="20"/>
      </w:rPr>
      <w:t xml:space="preserve">Point. </w:t>
    </w:r>
    <w:r w:rsidR="00AD1EC1">
      <w:rPr>
        <w:rFonts w:ascii="Verdana" w:hAnsi="Verdana"/>
        <w:b/>
        <w:bCs/>
        <w:sz w:val="20"/>
        <w:szCs w:val="20"/>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A82884"/>
    <w:multiLevelType w:val="hybridMultilevel"/>
    <w:tmpl w:val="C36EF94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BC369C"/>
    <w:multiLevelType w:val="hybridMultilevel"/>
    <w:tmpl w:val="20548D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511746E"/>
    <w:multiLevelType w:val="hybridMultilevel"/>
    <w:tmpl w:val="DAC8BF5C"/>
    <w:lvl w:ilvl="0" w:tplc="7F600106">
      <w:numFmt w:val="bullet"/>
      <w:lvlText w:val="-"/>
      <w:lvlJc w:val="left"/>
      <w:pPr>
        <w:ind w:left="360" w:hanging="360"/>
      </w:pPr>
      <w:rPr>
        <w:rFonts w:ascii="Trebuchet MS" w:eastAsiaTheme="minorHAnsi" w:hAnsi="Trebuchet MS"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D035C9"/>
    <w:multiLevelType w:val="multilevel"/>
    <w:tmpl w:val="2D0448BE"/>
    <w:lvl w:ilvl="0">
      <w:start w:val="1"/>
      <w:numFmt w:val="decimal"/>
      <w:lvlText w:val="%1."/>
      <w:lvlJc w:val="left"/>
      <w:pPr>
        <w:ind w:left="360" w:hanging="360"/>
      </w:pPr>
      <w:rPr>
        <w:rFonts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452C6603"/>
    <w:multiLevelType w:val="hybridMultilevel"/>
    <w:tmpl w:val="F6244796"/>
    <w:lvl w:ilvl="0" w:tplc="C5E80D92">
      <w:numFmt w:val="bullet"/>
      <w:lvlText w:val="-"/>
      <w:lvlJc w:val="left"/>
      <w:pPr>
        <w:ind w:left="1065" w:hanging="705"/>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5B610C"/>
    <w:multiLevelType w:val="hybridMultilevel"/>
    <w:tmpl w:val="53FA0FBE"/>
    <w:lvl w:ilvl="0" w:tplc="AB2E9CA6">
      <w:numFmt w:val="bullet"/>
      <w:lvlText w:val="-"/>
      <w:lvlJc w:val="left"/>
      <w:pPr>
        <w:ind w:left="360" w:hanging="360"/>
      </w:pPr>
      <w:rPr>
        <w:rFonts w:ascii="Verdana" w:eastAsiaTheme="minorHAnsi" w:hAnsi="Verdana"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7832A94"/>
    <w:multiLevelType w:val="multilevel"/>
    <w:tmpl w:val="EA461D2C"/>
    <w:lvl w:ilvl="0">
      <w:numFmt w:val="bullet"/>
      <w:lvlText w:val="-"/>
      <w:lvlJc w:val="left"/>
      <w:pPr>
        <w:ind w:left="360" w:hanging="360"/>
      </w:pPr>
      <w:rPr>
        <w:rFonts w:ascii="Aptos" w:eastAsiaTheme="minorHAnsi" w:hAnsi="Aptos" w:cstheme="minorBidi"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55D477A8"/>
    <w:multiLevelType w:val="hybridMultilevel"/>
    <w:tmpl w:val="55F283F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62F12A2"/>
    <w:multiLevelType w:val="multilevel"/>
    <w:tmpl w:val="5D1083C0"/>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907A1E"/>
    <w:multiLevelType w:val="hybridMultilevel"/>
    <w:tmpl w:val="92E4D5A2"/>
    <w:lvl w:ilvl="0" w:tplc="7F600106">
      <w:numFmt w:val="bullet"/>
      <w:lvlText w:val="-"/>
      <w:lvlJc w:val="left"/>
      <w:pPr>
        <w:ind w:left="360" w:hanging="360"/>
      </w:pPr>
      <w:rPr>
        <w:rFonts w:ascii="Trebuchet MS" w:eastAsiaTheme="minorHAnsi" w:hAnsi="Trebuchet MS" w:cs="Aria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77718C"/>
    <w:multiLevelType w:val="hybridMultilevel"/>
    <w:tmpl w:val="C346DC64"/>
    <w:lvl w:ilvl="0" w:tplc="FFFFFFFF">
      <w:start w:val="1"/>
      <w:numFmt w:val="lowerLetter"/>
      <w:lvlText w:val="%1)"/>
      <w:lvlJc w:val="left"/>
      <w:pPr>
        <w:ind w:left="720" w:hanging="360"/>
      </w:pPr>
    </w:lvl>
    <w:lvl w:ilvl="1" w:tplc="CD443798">
      <w:start w:val="1"/>
      <w:numFmt w:val="lowerRoman"/>
      <w:lvlText w:val="%2)"/>
      <w:lvlJc w:val="left"/>
      <w:pPr>
        <w:ind w:left="1440" w:hanging="360"/>
      </w:pPr>
      <w:rPr>
        <w:rFonts w:ascii="Verdana" w:eastAsiaTheme="minorHAnsi" w:hAnsi="Verdana" w:cs="Calibr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0A177D"/>
    <w:multiLevelType w:val="hybridMultilevel"/>
    <w:tmpl w:val="0D0E46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52060334">
    <w:abstractNumId w:val="7"/>
  </w:num>
  <w:num w:numId="2" w16cid:durableId="730155708">
    <w:abstractNumId w:val="17"/>
  </w:num>
  <w:num w:numId="3" w16cid:durableId="1226992778">
    <w:abstractNumId w:val="4"/>
  </w:num>
  <w:num w:numId="4" w16cid:durableId="131143113">
    <w:abstractNumId w:val="0"/>
  </w:num>
  <w:num w:numId="5" w16cid:durableId="2012178635">
    <w:abstractNumId w:val="15"/>
  </w:num>
  <w:num w:numId="6" w16cid:durableId="758718310">
    <w:abstractNumId w:val="6"/>
  </w:num>
  <w:num w:numId="7" w16cid:durableId="1547988449">
    <w:abstractNumId w:val="8"/>
  </w:num>
  <w:num w:numId="8" w16cid:durableId="1117337497">
    <w:abstractNumId w:val="4"/>
    <w:lvlOverride w:ilvl="0">
      <w:startOverride w:val="1"/>
    </w:lvlOverride>
  </w:num>
  <w:num w:numId="9" w16cid:durableId="1107774655">
    <w:abstractNumId w:val="3"/>
  </w:num>
  <w:num w:numId="10" w16cid:durableId="1865903141">
    <w:abstractNumId w:val="1"/>
  </w:num>
  <w:num w:numId="11" w16cid:durableId="409931527">
    <w:abstractNumId w:val="4"/>
  </w:num>
  <w:num w:numId="12" w16cid:durableId="1956594569">
    <w:abstractNumId w:val="14"/>
  </w:num>
  <w:num w:numId="13" w16cid:durableId="568005613">
    <w:abstractNumId w:val="9"/>
  </w:num>
  <w:num w:numId="14" w16cid:durableId="1140994487">
    <w:abstractNumId w:val="4"/>
  </w:num>
  <w:num w:numId="15" w16cid:durableId="752436064">
    <w:abstractNumId w:val="12"/>
  </w:num>
  <w:num w:numId="16" w16cid:durableId="1242790777">
    <w:abstractNumId w:val="4"/>
  </w:num>
  <w:num w:numId="17" w16cid:durableId="1205292131">
    <w:abstractNumId w:val="11"/>
  </w:num>
  <w:num w:numId="18" w16cid:durableId="1190029721">
    <w:abstractNumId w:val="13"/>
  </w:num>
  <w:num w:numId="19" w16cid:durableId="800463630">
    <w:abstractNumId w:val="16"/>
  </w:num>
  <w:num w:numId="20" w16cid:durableId="16612275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5375351">
    <w:abstractNumId w:val="4"/>
  </w:num>
  <w:num w:numId="22" w16cid:durableId="132063604">
    <w:abstractNumId w:val="2"/>
  </w:num>
  <w:num w:numId="23" w16cid:durableId="1913083392">
    <w:abstractNumId w:val="19"/>
  </w:num>
  <w:num w:numId="24" w16cid:durableId="1078208974">
    <w:abstractNumId w:val="4"/>
  </w:num>
  <w:num w:numId="25" w16cid:durableId="1617759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5180513">
    <w:abstractNumId w:val="4"/>
  </w:num>
  <w:num w:numId="27" w16cid:durableId="1180200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737385">
    <w:abstractNumId w:val="4"/>
  </w:num>
  <w:num w:numId="29" w16cid:durableId="1274897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086481">
    <w:abstractNumId w:val="4"/>
  </w:num>
  <w:num w:numId="31" w16cid:durableId="844828479">
    <w:abstractNumId w:val="4"/>
  </w:num>
  <w:num w:numId="32" w16cid:durableId="357375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6630148">
    <w:abstractNumId w:val="4"/>
  </w:num>
  <w:num w:numId="34" w16cid:durableId="1964535627">
    <w:abstractNumId w:val="4"/>
  </w:num>
  <w:num w:numId="35" w16cid:durableId="1942836215">
    <w:abstractNumId w:val="4"/>
  </w:num>
  <w:num w:numId="36" w16cid:durableId="948665145">
    <w:abstractNumId w:val="5"/>
  </w:num>
  <w:num w:numId="37" w16cid:durableId="1005477789">
    <w:abstractNumId w:val="10"/>
  </w:num>
  <w:num w:numId="38" w16cid:durableId="13316352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26D35"/>
    <w:rsid w:val="000373B2"/>
    <w:rsid w:val="00042CF5"/>
    <w:rsid w:val="00060CA0"/>
    <w:rsid w:val="00063A26"/>
    <w:rsid w:val="0007029A"/>
    <w:rsid w:val="0008468B"/>
    <w:rsid w:val="000A468A"/>
    <w:rsid w:val="000B0FBD"/>
    <w:rsid w:val="000B11E4"/>
    <w:rsid w:val="000B489A"/>
    <w:rsid w:val="000B5884"/>
    <w:rsid w:val="000B6940"/>
    <w:rsid w:val="000F4728"/>
    <w:rsid w:val="00107D9D"/>
    <w:rsid w:val="00117B4E"/>
    <w:rsid w:val="00117F1A"/>
    <w:rsid w:val="00150C9A"/>
    <w:rsid w:val="00171522"/>
    <w:rsid w:val="0018252D"/>
    <w:rsid w:val="001A56F1"/>
    <w:rsid w:val="001B3F3A"/>
    <w:rsid w:val="001B4738"/>
    <w:rsid w:val="001D2ACA"/>
    <w:rsid w:val="001F0C27"/>
    <w:rsid w:val="001F6CDE"/>
    <w:rsid w:val="0020446F"/>
    <w:rsid w:val="00217D63"/>
    <w:rsid w:val="00236A45"/>
    <w:rsid w:val="002573FA"/>
    <w:rsid w:val="0026279A"/>
    <w:rsid w:val="00265437"/>
    <w:rsid w:val="002764E2"/>
    <w:rsid w:val="002905E7"/>
    <w:rsid w:val="002A0933"/>
    <w:rsid w:val="002A096E"/>
    <w:rsid w:val="002C2E3F"/>
    <w:rsid w:val="002C56ED"/>
    <w:rsid w:val="002D3C5B"/>
    <w:rsid w:val="002E590C"/>
    <w:rsid w:val="002F10DA"/>
    <w:rsid w:val="00345C92"/>
    <w:rsid w:val="00354CE2"/>
    <w:rsid w:val="003604B9"/>
    <w:rsid w:val="003772FB"/>
    <w:rsid w:val="00391152"/>
    <w:rsid w:val="00391D47"/>
    <w:rsid w:val="003975E7"/>
    <w:rsid w:val="003B2862"/>
    <w:rsid w:val="003B4B20"/>
    <w:rsid w:val="003C2538"/>
    <w:rsid w:val="003D485F"/>
    <w:rsid w:val="003D5328"/>
    <w:rsid w:val="003F16E6"/>
    <w:rsid w:val="003F6A7D"/>
    <w:rsid w:val="0041278C"/>
    <w:rsid w:val="00417683"/>
    <w:rsid w:val="00422748"/>
    <w:rsid w:val="0042468B"/>
    <w:rsid w:val="00426673"/>
    <w:rsid w:val="00435784"/>
    <w:rsid w:val="00441824"/>
    <w:rsid w:val="00444C58"/>
    <w:rsid w:val="004478C3"/>
    <w:rsid w:val="004607F7"/>
    <w:rsid w:val="00485E88"/>
    <w:rsid w:val="00491466"/>
    <w:rsid w:val="004F5C4B"/>
    <w:rsid w:val="00502B59"/>
    <w:rsid w:val="00512B71"/>
    <w:rsid w:val="0053773D"/>
    <w:rsid w:val="00544F07"/>
    <w:rsid w:val="0055059B"/>
    <w:rsid w:val="00550977"/>
    <w:rsid w:val="005725B7"/>
    <w:rsid w:val="005813A2"/>
    <w:rsid w:val="0058689F"/>
    <w:rsid w:val="005B3A11"/>
    <w:rsid w:val="005C1713"/>
    <w:rsid w:val="005E217A"/>
    <w:rsid w:val="00614A8F"/>
    <w:rsid w:val="00620B90"/>
    <w:rsid w:val="00627329"/>
    <w:rsid w:val="006356AF"/>
    <w:rsid w:val="006548BF"/>
    <w:rsid w:val="00660504"/>
    <w:rsid w:val="00663459"/>
    <w:rsid w:val="0067468C"/>
    <w:rsid w:val="0069014A"/>
    <w:rsid w:val="00690C42"/>
    <w:rsid w:val="00696720"/>
    <w:rsid w:val="006B416E"/>
    <w:rsid w:val="006E2D9E"/>
    <w:rsid w:val="00721142"/>
    <w:rsid w:val="0077195E"/>
    <w:rsid w:val="00774A1D"/>
    <w:rsid w:val="00776B0C"/>
    <w:rsid w:val="00777426"/>
    <w:rsid w:val="007B245C"/>
    <w:rsid w:val="007C0735"/>
    <w:rsid w:val="007C78FC"/>
    <w:rsid w:val="007E2BB5"/>
    <w:rsid w:val="007F3CE9"/>
    <w:rsid w:val="0080295F"/>
    <w:rsid w:val="00803332"/>
    <w:rsid w:val="00810A2C"/>
    <w:rsid w:val="00812361"/>
    <w:rsid w:val="00816DAC"/>
    <w:rsid w:val="00823B65"/>
    <w:rsid w:val="00827004"/>
    <w:rsid w:val="0083290E"/>
    <w:rsid w:val="008372E0"/>
    <w:rsid w:val="00843FF2"/>
    <w:rsid w:val="008453AB"/>
    <w:rsid w:val="00854EEA"/>
    <w:rsid w:val="008551DA"/>
    <w:rsid w:val="008623C9"/>
    <w:rsid w:val="00870EF1"/>
    <w:rsid w:val="008A435C"/>
    <w:rsid w:val="008D193F"/>
    <w:rsid w:val="008D6EA7"/>
    <w:rsid w:val="008F11E8"/>
    <w:rsid w:val="008F173C"/>
    <w:rsid w:val="00937B52"/>
    <w:rsid w:val="00955BB3"/>
    <w:rsid w:val="00961E12"/>
    <w:rsid w:val="00981447"/>
    <w:rsid w:val="009A38AD"/>
    <w:rsid w:val="009A565A"/>
    <w:rsid w:val="009B0DE6"/>
    <w:rsid w:val="009B2F20"/>
    <w:rsid w:val="009F3C0F"/>
    <w:rsid w:val="009F496C"/>
    <w:rsid w:val="009F75C8"/>
    <w:rsid w:val="00A10495"/>
    <w:rsid w:val="00A148A1"/>
    <w:rsid w:val="00A36C09"/>
    <w:rsid w:val="00A37C9F"/>
    <w:rsid w:val="00A516F9"/>
    <w:rsid w:val="00A65270"/>
    <w:rsid w:val="00A70123"/>
    <w:rsid w:val="00A75936"/>
    <w:rsid w:val="00A76B07"/>
    <w:rsid w:val="00A81B98"/>
    <w:rsid w:val="00A90305"/>
    <w:rsid w:val="00A97E6D"/>
    <w:rsid w:val="00AA63A3"/>
    <w:rsid w:val="00AB5308"/>
    <w:rsid w:val="00AB5EB7"/>
    <w:rsid w:val="00AB6C58"/>
    <w:rsid w:val="00AB7F34"/>
    <w:rsid w:val="00AC144A"/>
    <w:rsid w:val="00AD1EC1"/>
    <w:rsid w:val="00AD4D97"/>
    <w:rsid w:val="00AE2453"/>
    <w:rsid w:val="00AE2695"/>
    <w:rsid w:val="00B03531"/>
    <w:rsid w:val="00B05DFC"/>
    <w:rsid w:val="00B11F5E"/>
    <w:rsid w:val="00B25DA2"/>
    <w:rsid w:val="00B36EEA"/>
    <w:rsid w:val="00B5101B"/>
    <w:rsid w:val="00B81BAA"/>
    <w:rsid w:val="00B8535E"/>
    <w:rsid w:val="00BA4B55"/>
    <w:rsid w:val="00BB368C"/>
    <w:rsid w:val="00BB4F9A"/>
    <w:rsid w:val="00BD5927"/>
    <w:rsid w:val="00C04D0C"/>
    <w:rsid w:val="00C12C93"/>
    <w:rsid w:val="00C14FA2"/>
    <w:rsid w:val="00C26D0E"/>
    <w:rsid w:val="00C325F5"/>
    <w:rsid w:val="00C457E8"/>
    <w:rsid w:val="00C609B9"/>
    <w:rsid w:val="00C635C3"/>
    <w:rsid w:val="00CB2BBA"/>
    <w:rsid w:val="00CB679A"/>
    <w:rsid w:val="00CD4906"/>
    <w:rsid w:val="00CE2386"/>
    <w:rsid w:val="00CE4290"/>
    <w:rsid w:val="00CF6E0E"/>
    <w:rsid w:val="00D00158"/>
    <w:rsid w:val="00D14691"/>
    <w:rsid w:val="00D20D13"/>
    <w:rsid w:val="00D25219"/>
    <w:rsid w:val="00D32E49"/>
    <w:rsid w:val="00D47564"/>
    <w:rsid w:val="00D53346"/>
    <w:rsid w:val="00D657AE"/>
    <w:rsid w:val="00E10479"/>
    <w:rsid w:val="00E17FF8"/>
    <w:rsid w:val="00E3047A"/>
    <w:rsid w:val="00E31D44"/>
    <w:rsid w:val="00E32408"/>
    <w:rsid w:val="00E34CAE"/>
    <w:rsid w:val="00E3648C"/>
    <w:rsid w:val="00E415A2"/>
    <w:rsid w:val="00E463B3"/>
    <w:rsid w:val="00E527C0"/>
    <w:rsid w:val="00E52E01"/>
    <w:rsid w:val="00E57F4E"/>
    <w:rsid w:val="00E71669"/>
    <w:rsid w:val="00E82EB8"/>
    <w:rsid w:val="00E845D4"/>
    <w:rsid w:val="00E93901"/>
    <w:rsid w:val="00EC22CC"/>
    <w:rsid w:val="00EC2430"/>
    <w:rsid w:val="00ED1576"/>
    <w:rsid w:val="00ED6B69"/>
    <w:rsid w:val="00EE34F4"/>
    <w:rsid w:val="00EF22A4"/>
    <w:rsid w:val="00F0674E"/>
    <w:rsid w:val="00F124E6"/>
    <w:rsid w:val="00F50B20"/>
    <w:rsid w:val="00F50B52"/>
    <w:rsid w:val="00F51D7B"/>
    <w:rsid w:val="00F54EA0"/>
    <w:rsid w:val="00F86E4C"/>
    <w:rsid w:val="00F96EE9"/>
    <w:rsid w:val="00FA5668"/>
    <w:rsid w:val="00FB4683"/>
    <w:rsid w:val="00FC41C2"/>
    <w:rsid w:val="00FD747C"/>
    <w:rsid w:val="00FE2366"/>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9F496C"/>
    <w:pPr>
      <w:spacing w:after="0" w:line="240" w:lineRule="auto"/>
      <w:jc w:val="both"/>
    </w:pPr>
    <w:rPr>
      <w:rFonts w:ascii="Verdana" w:hAnsi="Verdana"/>
      <w:sz w:val="20"/>
      <w:szCs w:val="20"/>
      <w14:ligatures w14:val="standardContextual"/>
    </w:rPr>
  </w:style>
  <w:style w:type="character" w:customStyle="1" w:styleId="NotedebasdepageCar">
    <w:name w:val="Note de bas de page Car"/>
    <w:basedOn w:val="Policepardfaut"/>
    <w:link w:val="Notedebasdepage"/>
    <w:uiPriority w:val="99"/>
    <w:semiHidden/>
    <w:rsid w:val="009F496C"/>
    <w:rPr>
      <w:rFonts w:ascii="Verdana" w:hAnsi="Verdana"/>
      <w:sz w:val="20"/>
      <w:szCs w:val="20"/>
      <w14:ligatures w14:val="standardContextual"/>
    </w:rPr>
  </w:style>
  <w:style w:type="character" w:styleId="Appelnotedebasdep">
    <w:name w:val="footnote reference"/>
    <w:basedOn w:val="Policepardfaut"/>
    <w:uiPriority w:val="99"/>
    <w:semiHidden/>
    <w:unhideWhenUsed/>
    <w:rsid w:val="009F496C"/>
    <w:rPr>
      <w:vertAlign w:val="superscript"/>
    </w:rPr>
  </w:style>
  <w:style w:type="paragraph" w:styleId="Corpsdetexte2">
    <w:name w:val="Body Text 2"/>
    <w:basedOn w:val="Normal"/>
    <w:link w:val="Corpsdetexte2Car"/>
    <w:rsid w:val="00721142"/>
    <w:pPr>
      <w:spacing w:after="120" w:line="480" w:lineRule="auto"/>
    </w:pPr>
    <w:rPr>
      <w:rFonts w:ascii="Tahoma" w:eastAsia="Times New Roman" w:hAnsi="Tahoma" w:cs="Times New Roman"/>
      <w:szCs w:val="20"/>
      <w:lang w:eastAsia="fr-FR"/>
    </w:rPr>
  </w:style>
  <w:style w:type="character" w:customStyle="1" w:styleId="Corpsdetexte2Car">
    <w:name w:val="Corps de texte 2 Car"/>
    <w:basedOn w:val="Policepardfaut"/>
    <w:link w:val="Corpsdetexte2"/>
    <w:rsid w:val="00721142"/>
    <w:rPr>
      <w:rFonts w:ascii="Tahoma" w:eastAsia="Times New Roman" w:hAnsi="Tahoma" w:cs="Times New Roman"/>
      <w:szCs w:val="20"/>
      <w:lang w:eastAsia="fr-FR"/>
    </w:rPr>
  </w:style>
  <w:style w:type="paragraph" w:styleId="Rvision">
    <w:name w:val="Revision"/>
    <w:hidden/>
    <w:uiPriority w:val="99"/>
    <w:semiHidden/>
    <w:rsid w:val="00117B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739064326">
      <w:bodyDiv w:val="1"/>
      <w:marLeft w:val="0"/>
      <w:marRight w:val="0"/>
      <w:marTop w:val="0"/>
      <w:marBottom w:val="0"/>
      <w:divBdr>
        <w:top w:val="none" w:sz="0" w:space="0" w:color="auto"/>
        <w:left w:val="none" w:sz="0" w:space="0" w:color="auto"/>
        <w:bottom w:val="none" w:sz="0" w:space="0" w:color="auto"/>
        <w:right w:val="none" w:sz="0" w:space="0" w:color="auto"/>
      </w:divBdr>
    </w:div>
    <w:div w:id="155919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202B-E6C4-4A10-8208-740EB96D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2547</Words>
  <Characters>14337</Characters>
  <Application>Microsoft Office Word</Application>
  <DocSecurity>0</DocSecurity>
  <Lines>240</Lines>
  <Paragraphs>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dcterms:created xsi:type="dcterms:W3CDTF">2025-10-27T13:56:00Z</dcterms:created>
  <dcterms:modified xsi:type="dcterms:W3CDTF">2025-10-27T13:56:00Z</dcterms:modified>
</cp:coreProperties>
</file>