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0D191BD0" w:rsidR="00C12C93" w:rsidRPr="00492055" w:rsidRDefault="00D25B68" w:rsidP="00854EEA">
      <w:pPr>
        <w:jc w:val="center"/>
        <w:rPr>
          <w:rFonts w:ascii="Verdana" w:hAnsi="Verdana"/>
          <w:b/>
          <w:bCs/>
          <w:sz w:val="2"/>
          <w:szCs w:val="2"/>
        </w:rPr>
      </w:pPr>
      <w:r w:rsidRPr="00492055">
        <w:rPr>
          <w:rFonts w:ascii="Verdana" w:hAnsi="Verdana"/>
          <w:b/>
          <w:bCs/>
          <w:sz w:val="2"/>
          <w:szCs w:val="2"/>
        </w:rPr>
        <w:t>32e</w:t>
      </w:r>
    </w:p>
    <w:tbl>
      <w:tblPr>
        <w:tblStyle w:val="Grilledutableau"/>
        <w:tblW w:w="0" w:type="auto"/>
        <w:tblLook w:val="04A0" w:firstRow="1" w:lastRow="0" w:firstColumn="1" w:lastColumn="0" w:noHBand="0" w:noVBand="1"/>
      </w:tblPr>
      <w:tblGrid>
        <w:gridCol w:w="7225"/>
        <w:gridCol w:w="1837"/>
      </w:tblGrid>
      <w:tr w:rsidR="00EC22CC" w:rsidRPr="00492055" w14:paraId="51109D41" w14:textId="77777777" w:rsidTr="000E2E1E">
        <w:tc>
          <w:tcPr>
            <w:tcW w:w="9062" w:type="dxa"/>
            <w:gridSpan w:val="2"/>
          </w:tcPr>
          <w:p w14:paraId="6FC76F95" w14:textId="74475681" w:rsidR="00EC22CC" w:rsidRPr="00492055" w:rsidRDefault="00A91E87" w:rsidP="00854EEA">
            <w:pPr>
              <w:jc w:val="center"/>
              <w:rPr>
                <w:rFonts w:ascii="Verdana" w:hAnsi="Verdana"/>
                <w:b/>
                <w:bCs/>
              </w:rPr>
            </w:pPr>
            <w:r w:rsidRPr="00492055">
              <w:rPr>
                <w:rFonts w:ascii="Verdana" w:eastAsia="Times New Roman" w:hAnsi="Verdana"/>
                <w:b/>
                <w:bCs/>
                <w:color w:val="000000" w:themeColor="text1"/>
              </w:rPr>
              <w:t>Financements climatiques </w:t>
            </w:r>
            <w:r w:rsidRPr="00492055">
              <w:rPr>
                <w:rFonts w:ascii="Verdana" w:hAnsi="Verdana"/>
                <w:b/>
                <w:bCs/>
              </w:rPr>
              <w:t xml:space="preserve"> </w:t>
            </w:r>
          </w:p>
        </w:tc>
      </w:tr>
      <w:tr w:rsidR="00EC22CC" w:rsidRPr="00492055" w14:paraId="7F1B63D2" w14:textId="77777777" w:rsidTr="002A0933">
        <w:tc>
          <w:tcPr>
            <w:tcW w:w="7225" w:type="dxa"/>
          </w:tcPr>
          <w:p w14:paraId="056D9B10" w14:textId="30622CBB" w:rsidR="00EC22CC" w:rsidRPr="00492055" w:rsidRDefault="00A44A56" w:rsidP="00C61BC2">
            <w:pPr>
              <w:spacing w:after="100"/>
              <w:rPr>
                <w:rFonts w:ascii="Verdana" w:hAnsi="Verdana"/>
                <w:b/>
                <w:bCs/>
                <w:sz w:val="20"/>
                <w:szCs w:val="20"/>
              </w:rPr>
            </w:pPr>
            <w:r w:rsidRPr="00492055">
              <w:rPr>
                <w:rFonts w:ascii="Verdana" w:hAnsi="Verdana"/>
                <w:b/>
                <w:bCs/>
                <w:sz w:val="20"/>
                <w:szCs w:val="20"/>
              </w:rPr>
              <w:t>COPL0</w:t>
            </w:r>
            <w:r w:rsidR="004368A7" w:rsidRPr="00492055">
              <w:rPr>
                <w:rFonts w:ascii="Verdana" w:hAnsi="Verdana"/>
                <w:b/>
                <w:bCs/>
                <w:sz w:val="20"/>
                <w:szCs w:val="20"/>
              </w:rPr>
              <w:t>2</w:t>
            </w:r>
            <w:r w:rsidR="00A91E87" w:rsidRPr="00492055">
              <w:rPr>
                <w:rFonts w:ascii="Verdana" w:hAnsi="Verdana"/>
                <w:b/>
                <w:bCs/>
                <w:sz w:val="20"/>
                <w:szCs w:val="20"/>
              </w:rPr>
              <w:t>/2</w:t>
            </w:r>
            <w:r w:rsidRPr="00492055">
              <w:rPr>
                <w:rFonts w:ascii="Verdana" w:hAnsi="Verdana"/>
                <w:b/>
                <w:bCs/>
                <w:sz w:val="20"/>
                <w:szCs w:val="20"/>
              </w:rPr>
              <w:t>5</w:t>
            </w:r>
            <w:r w:rsidR="00A91E87" w:rsidRPr="00492055">
              <w:rPr>
                <w:rFonts w:ascii="Verdana" w:hAnsi="Verdana"/>
                <w:b/>
                <w:bCs/>
                <w:sz w:val="20"/>
                <w:szCs w:val="20"/>
              </w:rPr>
              <w:t xml:space="preserve">, </w:t>
            </w:r>
            <w:r w:rsidR="00C61BC2" w:rsidRPr="00492055">
              <w:rPr>
                <w:rFonts w:ascii="Verdana" w:hAnsi="Verdana"/>
                <w:b/>
                <w:bCs/>
                <w:sz w:val="20"/>
                <w:szCs w:val="20"/>
              </w:rPr>
              <w:t>Ebène</w:t>
            </w:r>
            <w:r w:rsidR="00A91E87" w:rsidRPr="00492055">
              <w:rPr>
                <w:rFonts w:ascii="Verdana" w:hAnsi="Verdana"/>
                <w:b/>
                <w:bCs/>
                <w:sz w:val="20"/>
                <w:szCs w:val="20"/>
              </w:rPr>
              <w:t xml:space="preserve"> Maurice, </w:t>
            </w:r>
            <w:r w:rsidR="004368A7" w:rsidRPr="00492055">
              <w:rPr>
                <w:rFonts w:ascii="Verdana" w:hAnsi="Verdana"/>
                <w:b/>
                <w:bCs/>
                <w:sz w:val="20"/>
                <w:szCs w:val="20"/>
              </w:rPr>
              <w:t>11</w:t>
            </w:r>
            <w:r w:rsidR="00A91E87" w:rsidRPr="00492055">
              <w:rPr>
                <w:rFonts w:ascii="Verdana" w:hAnsi="Verdana"/>
                <w:b/>
                <w:bCs/>
                <w:sz w:val="20"/>
                <w:szCs w:val="20"/>
              </w:rPr>
              <w:t>-</w:t>
            </w:r>
            <w:r w:rsidR="004368A7" w:rsidRPr="00492055">
              <w:rPr>
                <w:rFonts w:ascii="Verdana" w:hAnsi="Verdana"/>
                <w:b/>
                <w:bCs/>
                <w:sz w:val="20"/>
                <w:szCs w:val="20"/>
              </w:rPr>
              <w:t>13</w:t>
            </w:r>
            <w:r w:rsidRPr="00492055">
              <w:rPr>
                <w:rFonts w:ascii="Verdana" w:hAnsi="Verdana"/>
                <w:b/>
                <w:bCs/>
                <w:sz w:val="20"/>
                <w:szCs w:val="20"/>
              </w:rPr>
              <w:t xml:space="preserve"> </w:t>
            </w:r>
            <w:r w:rsidR="004368A7" w:rsidRPr="00492055">
              <w:rPr>
                <w:rFonts w:ascii="Verdana" w:hAnsi="Verdana"/>
                <w:b/>
                <w:bCs/>
                <w:sz w:val="20"/>
                <w:szCs w:val="20"/>
              </w:rPr>
              <w:t>novembre</w:t>
            </w:r>
          </w:p>
        </w:tc>
        <w:tc>
          <w:tcPr>
            <w:tcW w:w="1837" w:type="dxa"/>
          </w:tcPr>
          <w:p w14:paraId="58E25D1F" w14:textId="34201AFB" w:rsidR="00EC22CC" w:rsidRPr="00492055" w:rsidRDefault="002A096E" w:rsidP="00854EEA">
            <w:pPr>
              <w:jc w:val="center"/>
              <w:rPr>
                <w:rFonts w:ascii="Verdana" w:hAnsi="Verdana"/>
                <w:sz w:val="20"/>
                <w:szCs w:val="20"/>
              </w:rPr>
            </w:pPr>
            <w:r w:rsidRPr="00492055">
              <w:rPr>
                <w:rFonts w:ascii="Verdana" w:hAnsi="Verdana"/>
                <w:sz w:val="20"/>
                <w:szCs w:val="20"/>
              </w:rPr>
              <w:t xml:space="preserve">Point </w:t>
            </w:r>
            <w:r w:rsidR="00A91E87" w:rsidRPr="00492055">
              <w:rPr>
                <w:rFonts w:ascii="Verdana" w:hAnsi="Verdana"/>
                <w:sz w:val="20"/>
                <w:szCs w:val="20"/>
              </w:rPr>
              <w:t>2.1</w:t>
            </w:r>
            <w:r w:rsidR="00A44A56" w:rsidRPr="00492055">
              <w:rPr>
                <w:rFonts w:ascii="Verdana" w:hAnsi="Verdana"/>
                <w:sz w:val="20"/>
                <w:szCs w:val="20"/>
              </w:rPr>
              <w:t>1</w:t>
            </w:r>
          </w:p>
        </w:tc>
      </w:tr>
      <w:tr w:rsidR="00EC22CC" w:rsidRPr="00492055" w14:paraId="537D1DE5" w14:textId="77777777" w:rsidTr="002A0933">
        <w:tc>
          <w:tcPr>
            <w:tcW w:w="7225" w:type="dxa"/>
          </w:tcPr>
          <w:p w14:paraId="43DEF09E" w14:textId="394A470B" w:rsidR="00EC22CC" w:rsidRPr="00492055" w:rsidRDefault="00A148A1" w:rsidP="002A096E">
            <w:pPr>
              <w:rPr>
                <w:rFonts w:ascii="Verdana" w:hAnsi="Verdana"/>
                <w:sz w:val="20"/>
                <w:szCs w:val="20"/>
              </w:rPr>
            </w:pPr>
            <w:r w:rsidRPr="00492055">
              <w:rPr>
                <w:rFonts w:ascii="Verdana" w:hAnsi="Verdana"/>
                <w:i/>
                <w:iCs/>
                <w:sz w:val="20"/>
                <w:szCs w:val="20"/>
              </w:rPr>
              <w:t>Dossier suivi par :</w:t>
            </w:r>
            <w:r w:rsidR="00EC22CC" w:rsidRPr="00492055">
              <w:rPr>
                <w:rFonts w:ascii="Verdana" w:hAnsi="Verdana"/>
                <w:sz w:val="20"/>
                <w:szCs w:val="20"/>
              </w:rPr>
              <w:t xml:space="preserve"> </w:t>
            </w:r>
            <w:r w:rsidR="00A91E87" w:rsidRPr="00492055">
              <w:rPr>
                <w:rFonts w:ascii="Verdana" w:hAnsi="Verdana"/>
                <w:sz w:val="20"/>
                <w:szCs w:val="20"/>
              </w:rPr>
              <w:t xml:space="preserve">Gina BONNE, Chargée de mission </w:t>
            </w:r>
          </w:p>
        </w:tc>
        <w:tc>
          <w:tcPr>
            <w:tcW w:w="1837" w:type="dxa"/>
          </w:tcPr>
          <w:p w14:paraId="5AC1AFAB" w14:textId="642A6325" w:rsidR="00EC22CC" w:rsidRPr="00492055" w:rsidRDefault="004607F7" w:rsidP="00854EEA">
            <w:pPr>
              <w:jc w:val="center"/>
              <w:rPr>
                <w:rFonts w:ascii="Verdana" w:hAnsi="Verdana"/>
                <w:sz w:val="20"/>
                <w:szCs w:val="20"/>
              </w:rPr>
            </w:pPr>
            <w:r w:rsidRPr="00492055">
              <w:rPr>
                <w:rFonts w:ascii="Verdana" w:hAnsi="Verdana"/>
                <w:sz w:val="20"/>
                <w:szCs w:val="20"/>
              </w:rPr>
              <w:t>Décision</w:t>
            </w:r>
          </w:p>
        </w:tc>
      </w:tr>
      <w:tr w:rsidR="00A90305" w:rsidRPr="00492055" w14:paraId="6896DB30" w14:textId="77777777" w:rsidTr="009F5233">
        <w:tc>
          <w:tcPr>
            <w:tcW w:w="9062" w:type="dxa"/>
            <w:gridSpan w:val="2"/>
          </w:tcPr>
          <w:p w14:paraId="0495241B" w14:textId="71688E27" w:rsidR="00A90305" w:rsidRPr="00492055" w:rsidRDefault="00A90305" w:rsidP="00A90305">
            <w:pPr>
              <w:rPr>
                <w:rFonts w:ascii="Verdana" w:hAnsi="Verdana"/>
                <w:sz w:val="20"/>
                <w:szCs w:val="20"/>
              </w:rPr>
            </w:pPr>
            <w:r w:rsidRPr="00492055">
              <w:rPr>
                <w:rFonts w:ascii="Verdana" w:hAnsi="Verdana"/>
                <w:i/>
                <w:iCs/>
                <w:sz w:val="20"/>
                <w:szCs w:val="20"/>
              </w:rPr>
              <w:t xml:space="preserve">Version du </w:t>
            </w:r>
            <w:r w:rsidR="00810526" w:rsidRPr="00492055">
              <w:rPr>
                <w:rFonts w:ascii="Verdana" w:hAnsi="Verdana"/>
                <w:i/>
                <w:iCs/>
                <w:sz w:val="20"/>
                <w:szCs w:val="20"/>
              </w:rPr>
              <w:t>23</w:t>
            </w:r>
            <w:r w:rsidR="00A44A56" w:rsidRPr="00492055">
              <w:rPr>
                <w:rFonts w:ascii="Verdana" w:hAnsi="Verdana"/>
                <w:i/>
                <w:iCs/>
                <w:sz w:val="20"/>
                <w:szCs w:val="20"/>
              </w:rPr>
              <w:t>/</w:t>
            </w:r>
            <w:r w:rsidR="00810526" w:rsidRPr="00492055">
              <w:rPr>
                <w:rFonts w:ascii="Verdana" w:hAnsi="Verdana"/>
                <w:i/>
                <w:iCs/>
                <w:sz w:val="20"/>
                <w:szCs w:val="20"/>
              </w:rPr>
              <w:t>10</w:t>
            </w:r>
            <w:r w:rsidR="00A44A56" w:rsidRPr="00492055">
              <w:rPr>
                <w:rFonts w:ascii="Verdana" w:hAnsi="Verdana"/>
                <w:i/>
                <w:iCs/>
                <w:sz w:val="20"/>
                <w:szCs w:val="20"/>
              </w:rPr>
              <w:t>/25</w:t>
            </w:r>
            <w:r w:rsidRPr="00492055">
              <w:rPr>
                <w:rFonts w:ascii="Verdana" w:hAnsi="Verdana"/>
                <w:i/>
                <w:iCs/>
                <w:sz w:val="20"/>
                <w:szCs w:val="20"/>
              </w:rPr>
              <w:t xml:space="preserve"> </w:t>
            </w:r>
          </w:p>
        </w:tc>
      </w:tr>
    </w:tbl>
    <w:p w14:paraId="1611BCC4" w14:textId="77777777" w:rsidR="00854EEA" w:rsidRPr="00492055" w:rsidRDefault="00854EEA" w:rsidP="00A44A56">
      <w:pPr>
        <w:pStyle w:val="Paragraphe"/>
        <w:spacing w:after="120" w:line="276" w:lineRule="auto"/>
      </w:pPr>
      <w:bookmarkStart w:id="0" w:name="_Hlk24535240"/>
    </w:p>
    <w:p w14:paraId="678F0DFC" w14:textId="3923B394" w:rsidR="00854EEA" w:rsidRPr="00492055" w:rsidRDefault="00955BB3" w:rsidP="00A44A56">
      <w:pPr>
        <w:pStyle w:val="Titrepartie"/>
        <w:spacing w:after="120" w:line="276" w:lineRule="auto"/>
        <w:contextualSpacing w:val="0"/>
      </w:pPr>
      <w:r w:rsidRPr="00492055">
        <w:t>Résumé</w:t>
      </w:r>
    </w:p>
    <w:p w14:paraId="7F92233B" w14:textId="1950EF51"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Le financement des actions de lutte contre le changement climatique est aujourd’hui un enjeu stratégique pour les États de la région de l’océan Indien. L’accès aux financements climatiques représente un levier pour soutenir la mise en œuvre des engagements pris par les États membres, tant au niveau international, notamment dans le cadre de l’Accord de Paris, qu’au niveau régional, à travers les initiatives coordonnées par la COI</w:t>
      </w:r>
    </w:p>
    <w:p w14:paraId="245E7CCE" w14:textId="77777777"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Consciente de ces enjeux, la COI, à travers son Secrétariat général, a intensifié ses efforts pour renforcer l’accompagnement de ses États membres et faciliter leur accès à des ressources financières destinées à financer des programmes d’adaptation et d’atténuation. Ces efforts s’inscrivent dans une dynamique visant à diversifier les partenariats au-delà des bailleurs traditionnels, tels que l’Agence française de développement (AFD) et l’Union européenne, afin de mobiliser de nouvelles opportunités de financement adaptées aux besoins régionaux.</w:t>
      </w:r>
    </w:p>
    <w:p w14:paraId="57E6B3BD" w14:textId="1FA84046"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 xml:space="preserve">À ce jour, la COI est engagée dans des discussions avancées avec trois entités en vue de la mise en place d’accords-cadres. Il s’agit du Fonds vert pour le climat (FVC), auprès duquel la COI est déjà accréditée dans le cadre du mécanisme </w:t>
      </w:r>
      <w:r w:rsidRPr="00492055">
        <w:rPr>
          <w:rFonts w:ascii="Verdana" w:hAnsi="Verdana"/>
          <w:i/>
          <w:iCs/>
          <w:sz w:val="20"/>
          <w:szCs w:val="20"/>
        </w:rPr>
        <w:t>Readiness</w:t>
      </w:r>
      <w:r w:rsidRPr="00492055">
        <w:rPr>
          <w:rFonts w:ascii="Verdana" w:hAnsi="Verdana"/>
          <w:sz w:val="20"/>
          <w:szCs w:val="20"/>
        </w:rPr>
        <w:t xml:space="preserve"> ; du Fonds d’adaptation, pour lequel la procédure d’accréditation est en cours ; et du Fonds de l’OPEP pour le développement international (OFID), avec lequel des avancées ont été enregistrées, bien que la conclusion des démarches soit actuellement suspendue dans l’attente d’une décision des instances concernées.</w:t>
      </w:r>
    </w:p>
    <w:p w14:paraId="488A4FBF" w14:textId="54581903"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Ces initiatives illustrent la volonté du Secrétariat général de renforcer le rôle de la COI en tant qu’acteur régional dans la coordination et la facilitation de l’accès aux financements climatiques. Elles visent également à doter l’organisation d’une capacité à soutenir ses États membres dans la formulation, la mise en œuvre et le suivi de projets structurants en matière de résilience climatique, de gestion durable des ressources naturelles et de développement bas carbone.</w:t>
      </w:r>
    </w:p>
    <w:p w14:paraId="1E08C5D0" w14:textId="794A28DD"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Cependant, la COI fait face à plusieurs défis structurels qui freinent la pleine concrétisation de ces démarches. Parmi ceux-ci figurent la complexité des procédures d’accréditation, la nécessité de se conformer aux exigences juridiques et administratives imposées par les fonds internationaux, ainsi que le manque de ressources internes spécialisées, notamment en appui juridique. Cette lacune institutionnelle limite la capacité du Secrétariat général à assurer un suivi rigoureux des engagements contractuels et à anticiper les risques liés à la conformité.</w:t>
      </w:r>
    </w:p>
    <w:p w14:paraId="0BE6C594" w14:textId="77777777" w:rsidR="00E95E3D" w:rsidRPr="00492055" w:rsidRDefault="00E95E3D" w:rsidP="00A44A56">
      <w:pPr>
        <w:spacing w:after="120" w:line="276" w:lineRule="auto"/>
        <w:ind w:left="360"/>
        <w:jc w:val="both"/>
        <w:rPr>
          <w:rFonts w:ascii="Verdana" w:hAnsi="Verdana" w:cs="Helvetica"/>
          <w:color w:val="000000"/>
          <w:sz w:val="20"/>
          <w:szCs w:val="20"/>
        </w:rPr>
      </w:pPr>
    </w:p>
    <w:p w14:paraId="4B9E6043" w14:textId="77777777" w:rsidR="00492055" w:rsidRPr="00492055" w:rsidRDefault="00492055" w:rsidP="00A44A56">
      <w:pPr>
        <w:spacing w:after="120" w:line="276" w:lineRule="auto"/>
        <w:ind w:left="360"/>
        <w:jc w:val="both"/>
        <w:rPr>
          <w:rFonts w:ascii="Verdana" w:hAnsi="Verdana" w:cs="Helvetica"/>
          <w:color w:val="000000"/>
          <w:sz w:val="20"/>
          <w:szCs w:val="20"/>
        </w:rPr>
      </w:pPr>
    </w:p>
    <w:p w14:paraId="27987CF8" w14:textId="77777777" w:rsidR="00492055" w:rsidRPr="00492055" w:rsidRDefault="00492055" w:rsidP="00A44A56">
      <w:pPr>
        <w:spacing w:after="120" w:line="276" w:lineRule="auto"/>
        <w:ind w:left="360"/>
        <w:jc w:val="both"/>
        <w:rPr>
          <w:rFonts w:ascii="Verdana" w:hAnsi="Verdana" w:cs="Helvetica"/>
          <w:color w:val="000000"/>
          <w:sz w:val="20"/>
          <w:szCs w:val="20"/>
        </w:rPr>
      </w:pPr>
    </w:p>
    <w:p w14:paraId="173F0085" w14:textId="77777777" w:rsidR="00492055" w:rsidRPr="00492055" w:rsidRDefault="00492055" w:rsidP="00A44A56">
      <w:pPr>
        <w:spacing w:after="120" w:line="276" w:lineRule="auto"/>
        <w:ind w:left="360"/>
        <w:jc w:val="both"/>
        <w:rPr>
          <w:rFonts w:ascii="Verdana" w:hAnsi="Verdana" w:cs="Helvetica"/>
          <w:color w:val="000000"/>
          <w:sz w:val="20"/>
          <w:szCs w:val="20"/>
        </w:rPr>
      </w:pPr>
    </w:p>
    <w:p w14:paraId="56EC8131" w14:textId="77777777" w:rsidR="00492055" w:rsidRPr="00492055" w:rsidRDefault="00492055" w:rsidP="00A44A56">
      <w:pPr>
        <w:spacing w:after="120" w:line="276" w:lineRule="auto"/>
        <w:ind w:left="360"/>
        <w:jc w:val="both"/>
        <w:rPr>
          <w:rFonts w:ascii="Verdana" w:hAnsi="Verdana" w:cs="Helvetica"/>
          <w:color w:val="000000"/>
          <w:sz w:val="20"/>
          <w:szCs w:val="20"/>
        </w:rPr>
      </w:pPr>
    </w:p>
    <w:p w14:paraId="68009DDB" w14:textId="06AAE9C2" w:rsidR="0008468B" w:rsidRPr="00492055" w:rsidRDefault="00955BB3" w:rsidP="00A44A56">
      <w:pPr>
        <w:pStyle w:val="Titrepartie"/>
        <w:spacing w:after="120" w:line="276" w:lineRule="auto"/>
        <w:contextualSpacing w:val="0"/>
      </w:pPr>
      <w:r w:rsidRPr="00492055">
        <w:lastRenderedPageBreak/>
        <w:t>Etat d’avancement</w:t>
      </w:r>
    </w:p>
    <w:p w14:paraId="048832B2" w14:textId="23503371" w:rsidR="00F1487B" w:rsidRPr="00492055" w:rsidRDefault="00F1487B" w:rsidP="00A44A56">
      <w:pPr>
        <w:spacing w:after="120" w:line="276" w:lineRule="auto"/>
        <w:ind w:left="360"/>
        <w:jc w:val="both"/>
        <w:rPr>
          <w:rFonts w:ascii="Verdana" w:hAnsi="Verdana" w:cs="Calibri"/>
          <w:sz w:val="2"/>
          <w:szCs w:val="2"/>
        </w:rPr>
      </w:pPr>
    </w:p>
    <w:p w14:paraId="48AB0783" w14:textId="7DCED0B1" w:rsidR="00426673" w:rsidRPr="00492055" w:rsidRDefault="00D52352" w:rsidP="00A44A56">
      <w:pPr>
        <w:pStyle w:val="Sous-partie2"/>
        <w:spacing w:after="120" w:line="276" w:lineRule="auto"/>
        <w:contextualSpacing w:val="0"/>
      </w:pPr>
      <w:r w:rsidRPr="00492055">
        <w:t>Fond</w:t>
      </w:r>
      <w:r w:rsidR="007E7145" w:rsidRPr="00492055">
        <w:t>s</w:t>
      </w:r>
      <w:r w:rsidRPr="00492055">
        <w:t xml:space="preserve"> vert pour le climat </w:t>
      </w:r>
    </w:p>
    <w:p w14:paraId="79F77427" w14:textId="0B1C73F7" w:rsidR="005964CE" w:rsidRPr="00492055" w:rsidRDefault="009D6D6F" w:rsidP="00D44FB7">
      <w:pPr>
        <w:pStyle w:val="Paragraphe"/>
        <w:spacing w:after="120" w:line="276" w:lineRule="auto"/>
        <w:ind w:left="786"/>
      </w:pPr>
      <w:r w:rsidRPr="00492055">
        <w:t xml:space="preserve">2.1.1. </w:t>
      </w:r>
      <w:r w:rsidR="005964CE" w:rsidRPr="00492055">
        <w:t>Accr</w:t>
      </w:r>
      <w:r w:rsidRPr="00492055">
        <w:t>é</w:t>
      </w:r>
      <w:r w:rsidR="005964CE" w:rsidRPr="00492055">
        <w:t xml:space="preserve">ditation </w:t>
      </w:r>
    </w:p>
    <w:p w14:paraId="23FB4054" w14:textId="783460E4" w:rsidR="00A70279" w:rsidRPr="00492055" w:rsidRDefault="00A70279" w:rsidP="00D44FB7">
      <w:pPr>
        <w:pStyle w:val="NormalWeb"/>
        <w:ind w:left="426"/>
        <w:jc w:val="both"/>
        <w:rPr>
          <w:rFonts w:ascii="Verdana" w:hAnsi="Verdana"/>
          <w:sz w:val="20"/>
          <w:szCs w:val="20"/>
        </w:rPr>
      </w:pPr>
      <w:r w:rsidRPr="00492055">
        <w:rPr>
          <w:rFonts w:ascii="Verdana" w:hAnsi="Verdana"/>
          <w:sz w:val="20"/>
          <w:szCs w:val="20"/>
        </w:rPr>
        <w:t xml:space="preserve">La COI a obtenu en </w:t>
      </w:r>
      <w:r w:rsidRPr="00492055">
        <w:rPr>
          <w:rStyle w:val="lev"/>
          <w:rFonts w:ascii="Verdana" w:hAnsi="Verdana"/>
          <w:b w:val="0"/>
          <w:bCs w:val="0"/>
          <w:sz w:val="20"/>
          <w:szCs w:val="20"/>
        </w:rPr>
        <w:t>juillet 2024</w:t>
      </w:r>
      <w:r w:rsidRPr="00492055">
        <w:rPr>
          <w:rFonts w:ascii="Verdana" w:hAnsi="Verdana"/>
          <w:sz w:val="20"/>
          <w:szCs w:val="20"/>
        </w:rPr>
        <w:t xml:space="preserve"> son </w:t>
      </w:r>
      <w:r w:rsidRPr="00492055">
        <w:rPr>
          <w:rStyle w:val="lev"/>
          <w:rFonts w:ascii="Verdana" w:hAnsi="Verdana"/>
          <w:b w:val="0"/>
          <w:bCs w:val="0"/>
          <w:sz w:val="20"/>
          <w:szCs w:val="20"/>
        </w:rPr>
        <w:t xml:space="preserve">accréditation officielle auprès du </w:t>
      </w:r>
      <w:r w:rsidR="0046716F" w:rsidRPr="00492055">
        <w:rPr>
          <w:rStyle w:val="lev"/>
          <w:rFonts w:ascii="Verdana" w:hAnsi="Verdana"/>
          <w:b w:val="0"/>
          <w:bCs w:val="0"/>
          <w:sz w:val="20"/>
          <w:szCs w:val="20"/>
        </w:rPr>
        <w:t xml:space="preserve">FVC, </w:t>
      </w:r>
      <w:r w:rsidR="0046716F" w:rsidRPr="00492055">
        <w:rPr>
          <w:rFonts w:ascii="Verdana" w:hAnsi="Verdana"/>
          <w:sz w:val="20"/>
          <w:szCs w:val="20"/>
        </w:rPr>
        <w:t>marquant</w:t>
      </w:r>
      <w:r w:rsidRPr="00492055">
        <w:rPr>
          <w:rFonts w:ascii="Verdana" w:hAnsi="Verdana"/>
          <w:sz w:val="20"/>
          <w:szCs w:val="20"/>
        </w:rPr>
        <w:t xml:space="preserve"> une étape dans la reconnaissance de sa capacité à gérer des financements climatiques. Cette accréditation est régie par un </w:t>
      </w:r>
      <w:r w:rsidRPr="00492055">
        <w:rPr>
          <w:rStyle w:val="lev"/>
          <w:rFonts w:ascii="Verdana" w:hAnsi="Verdana"/>
          <w:b w:val="0"/>
          <w:bCs w:val="0"/>
          <w:sz w:val="20"/>
          <w:szCs w:val="20"/>
        </w:rPr>
        <w:t>accord-cadre (Acreditation Master Agreement-AMA)</w:t>
      </w:r>
      <w:r w:rsidRPr="00492055">
        <w:rPr>
          <w:rFonts w:ascii="Verdana" w:hAnsi="Verdana"/>
          <w:sz w:val="20"/>
          <w:szCs w:val="20"/>
        </w:rPr>
        <w:t xml:space="preserve"> signé pour une durée de cinq ans, qui définit les engagements respectifs des deux parties.</w:t>
      </w:r>
    </w:p>
    <w:p w14:paraId="583984E0" w14:textId="743548E3" w:rsidR="00A70279" w:rsidRPr="00492055" w:rsidRDefault="00A70279" w:rsidP="00D44FB7">
      <w:pPr>
        <w:pStyle w:val="NormalWeb"/>
        <w:ind w:left="426"/>
        <w:jc w:val="both"/>
        <w:rPr>
          <w:rFonts w:ascii="Verdana" w:hAnsi="Verdana"/>
          <w:sz w:val="20"/>
          <w:szCs w:val="20"/>
        </w:rPr>
      </w:pPr>
      <w:r w:rsidRPr="00492055">
        <w:rPr>
          <w:rFonts w:ascii="Verdana" w:hAnsi="Verdana"/>
          <w:sz w:val="20"/>
          <w:szCs w:val="20"/>
        </w:rPr>
        <w:t xml:space="preserve">Toutefois, au stade de la mise en œuvre de cet accord, le Secrétariat général rencontre des </w:t>
      </w:r>
      <w:r w:rsidRPr="00492055">
        <w:rPr>
          <w:rStyle w:val="lev"/>
          <w:rFonts w:ascii="Verdana" w:hAnsi="Verdana"/>
          <w:b w:val="0"/>
          <w:bCs w:val="0"/>
          <w:sz w:val="20"/>
          <w:szCs w:val="20"/>
        </w:rPr>
        <w:t>difficultés à satisfaire certaines exigences du FVC</w:t>
      </w:r>
      <w:r w:rsidRPr="00492055">
        <w:rPr>
          <w:rFonts w:ascii="Verdana" w:hAnsi="Verdana"/>
          <w:sz w:val="20"/>
          <w:szCs w:val="20"/>
        </w:rPr>
        <w:t xml:space="preserve">, notamment celle relative à la </w:t>
      </w:r>
      <w:r w:rsidRPr="00492055">
        <w:rPr>
          <w:rStyle w:val="lev"/>
          <w:rFonts w:ascii="Verdana" w:hAnsi="Verdana"/>
          <w:b w:val="0"/>
          <w:bCs w:val="0"/>
          <w:sz w:val="20"/>
          <w:szCs w:val="20"/>
        </w:rPr>
        <w:t>soumission d’une opinion légale</w:t>
      </w:r>
      <w:r w:rsidRPr="00492055">
        <w:rPr>
          <w:rFonts w:ascii="Verdana" w:hAnsi="Verdana"/>
          <w:sz w:val="20"/>
          <w:szCs w:val="20"/>
        </w:rPr>
        <w:t xml:space="preserve"> prévue à la clause 2.02(b) de l’AMA. Selon cette clause, l’avis juridique doit être émis soit par un </w:t>
      </w:r>
      <w:r w:rsidRPr="00492055">
        <w:rPr>
          <w:rStyle w:val="lev"/>
          <w:rFonts w:ascii="Verdana" w:hAnsi="Verdana"/>
          <w:b w:val="0"/>
          <w:bCs w:val="0"/>
          <w:sz w:val="20"/>
          <w:szCs w:val="20"/>
        </w:rPr>
        <w:t>cabinet d’avocats reconnu au niveau national</w:t>
      </w:r>
      <w:r w:rsidRPr="00492055">
        <w:rPr>
          <w:rFonts w:ascii="Verdana" w:hAnsi="Verdana"/>
          <w:sz w:val="20"/>
          <w:szCs w:val="20"/>
        </w:rPr>
        <w:t xml:space="preserve">, soit par le </w:t>
      </w:r>
      <w:r w:rsidRPr="00492055">
        <w:rPr>
          <w:rStyle w:val="lev"/>
          <w:rFonts w:ascii="Verdana" w:hAnsi="Verdana"/>
          <w:b w:val="0"/>
          <w:bCs w:val="0"/>
          <w:sz w:val="20"/>
          <w:szCs w:val="20"/>
        </w:rPr>
        <w:t>plus haut responsable juridique de l’organisation</w:t>
      </w:r>
      <w:r w:rsidRPr="00492055">
        <w:rPr>
          <w:rFonts w:ascii="Verdana" w:hAnsi="Verdana"/>
          <w:sz w:val="20"/>
          <w:szCs w:val="20"/>
        </w:rPr>
        <w:t xml:space="preserve">. Conformément à la pratique habituelle, le Secrétariat avait soumis une opinion préparée par la juriste externe intervenant régulièrement auprès de la COI. Cependant, le FVC n’a pas accepté ce document, celui-ci ne provenant pas d’un cabinet d’avocats agréé. En l’absence d’un </w:t>
      </w:r>
      <w:r w:rsidRPr="00492055">
        <w:rPr>
          <w:rStyle w:val="lev"/>
          <w:rFonts w:ascii="Verdana" w:hAnsi="Verdana"/>
          <w:b w:val="0"/>
          <w:bCs w:val="0"/>
          <w:sz w:val="20"/>
          <w:szCs w:val="20"/>
        </w:rPr>
        <w:t>juriste interne dédié</w:t>
      </w:r>
      <w:r w:rsidRPr="00492055">
        <w:rPr>
          <w:rFonts w:ascii="Verdana" w:hAnsi="Verdana"/>
          <w:sz w:val="20"/>
          <w:szCs w:val="20"/>
        </w:rPr>
        <w:t xml:space="preserve">, la COI devra recourir à un </w:t>
      </w:r>
      <w:r w:rsidRPr="00492055">
        <w:rPr>
          <w:rStyle w:val="lev"/>
          <w:rFonts w:ascii="Verdana" w:hAnsi="Verdana"/>
          <w:b w:val="0"/>
          <w:bCs w:val="0"/>
          <w:sz w:val="20"/>
          <w:szCs w:val="20"/>
        </w:rPr>
        <w:t>cabinet privé (</w:t>
      </w:r>
      <w:r w:rsidRPr="00492055">
        <w:rPr>
          <w:rStyle w:val="lev"/>
          <w:rFonts w:ascii="Verdana" w:hAnsi="Verdana"/>
          <w:b w:val="0"/>
          <w:bCs w:val="0"/>
          <w:i/>
          <w:iCs/>
          <w:sz w:val="20"/>
          <w:szCs w:val="20"/>
        </w:rPr>
        <w:t xml:space="preserve">Law </w:t>
      </w:r>
      <w:proofErr w:type="spellStart"/>
      <w:r w:rsidR="003F2AC4" w:rsidRPr="00492055">
        <w:rPr>
          <w:rStyle w:val="lev"/>
          <w:rFonts w:ascii="Verdana" w:hAnsi="Verdana"/>
          <w:b w:val="0"/>
          <w:bCs w:val="0"/>
          <w:i/>
          <w:iCs/>
          <w:sz w:val="20"/>
          <w:szCs w:val="20"/>
        </w:rPr>
        <w:t>firm</w:t>
      </w:r>
      <w:proofErr w:type="spellEnd"/>
      <w:r w:rsidR="003F2AC4" w:rsidRPr="00492055">
        <w:rPr>
          <w:rStyle w:val="lev"/>
          <w:rFonts w:ascii="Verdana" w:hAnsi="Verdana"/>
          <w:b w:val="0"/>
          <w:bCs w:val="0"/>
          <w:sz w:val="20"/>
          <w:szCs w:val="20"/>
        </w:rPr>
        <w:t>) à</w:t>
      </w:r>
      <w:r w:rsidRPr="00492055">
        <w:rPr>
          <w:rStyle w:val="lev"/>
          <w:rFonts w:ascii="Verdana" w:hAnsi="Verdana"/>
          <w:b w:val="0"/>
          <w:bCs w:val="0"/>
          <w:sz w:val="20"/>
          <w:szCs w:val="20"/>
        </w:rPr>
        <w:t xml:space="preserve"> Maurice</w:t>
      </w:r>
      <w:r w:rsidRPr="00492055">
        <w:rPr>
          <w:rFonts w:ascii="Verdana" w:hAnsi="Verdana"/>
          <w:sz w:val="20"/>
          <w:szCs w:val="20"/>
        </w:rPr>
        <w:t xml:space="preserve"> afin d’émettre l’avis juridique requis pour finaliser le dossier d’accréditation et se conformer pleinement aux standards du FVC.</w:t>
      </w:r>
    </w:p>
    <w:p w14:paraId="4BB3A04C" w14:textId="77777777" w:rsidR="00A70279" w:rsidRPr="00492055" w:rsidRDefault="00A70279" w:rsidP="00D44FB7">
      <w:pPr>
        <w:pStyle w:val="NormalWeb"/>
        <w:ind w:left="426"/>
        <w:jc w:val="both"/>
        <w:rPr>
          <w:rFonts w:ascii="Verdana" w:hAnsi="Verdana"/>
          <w:sz w:val="20"/>
          <w:szCs w:val="20"/>
        </w:rPr>
      </w:pPr>
      <w:r w:rsidRPr="00492055">
        <w:rPr>
          <w:rFonts w:ascii="Verdana" w:hAnsi="Verdana"/>
          <w:sz w:val="20"/>
          <w:szCs w:val="20"/>
        </w:rPr>
        <w:t xml:space="preserve">Cette situation met en évidence les </w:t>
      </w:r>
      <w:r w:rsidRPr="00492055">
        <w:rPr>
          <w:rStyle w:val="lev"/>
          <w:rFonts w:ascii="Verdana" w:hAnsi="Verdana"/>
          <w:b w:val="0"/>
          <w:bCs w:val="0"/>
          <w:sz w:val="20"/>
          <w:szCs w:val="20"/>
        </w:rPr>
        <w:t>limites actuelles du dispositif juridique</w:t>
      </w:r>
      <w:r w:rsidRPr="00492055">
        <w:rPr>
          <w:rFonts w:ascii="Verdana" w:hAnsi="Verdana"/>
          <w:sz w:val="20"/>
          <w:szCs w:val="20"/>
        </w:rPr>
        <w:t xml:space="preserve"> du Secrétariat général et souligne la </w:t>
      </w:r>
      <w:r w:rsidRPr="00492055">
        <w:rPr>
          <w:rStyle w:val="lev"/>
          <w:rFonts w:ascii="Verdana" w:hAnsi="Verdana"/>
          <w:b w:val="0"/>
          <w:bCs w:val="0"/>
          <w:sz w:val="20"/>
          <w:szCs w:val="20"/>
        </w:rPr>
        <w:t>nécessité de doter l’organisation d’une expertise juridique permanente</w:t>
      </w:r>
      <w:r w:rsidRPr="00492055">
        <w:rPr>
          <w:rFonts w:ascii="Verdana" w:hAnsi="Verdana"/>
          <w:sz w:val="20"/>
          <w:szCs w:val="20"/>
        </w:rPr>
        <w:t>. Une telle ressource permettrait non seulement de garantir la conformité institutionnelle dans le cadre des relations avec les bailleurs internationaux, mais aussi d’assurer une meilleure gestion des risques contractuels, financiers et administratifs.</w:t>
      </w:r>
    </w:p>
    <w:p w14:paraId="6365CB9F" w14:textId="77777777" w:rsidR="00A70279" w:rsidRPr="00492055" w:rsidRDefault="00A70279" w:rsidP="00D44FB7">
      <w:pPr>
        <w:pStyle w:val="NormalWeb"/>
        <w:ind w:left="426"/>
        <w:jc w:val="both"/>
        <w:rPr>
          <w:rFonts w:ascii="Verdana" w:hAnsi="Verdana"/>
          <w:sz w:val="20"/>
          <w:szCs w:val="20"/>
        </w:rPr>
      </w:pPr>
      <w:r w:rsidRPr="00492055">
        <w:rPr>
          <w:rFonts w:ascii="Verdana" w:hAnsi="Verdana"/>
          <w:sz w:val="20"/>
          <w:szCs w:val="20"/>
        </w:rPr>
        <w:t xml:space="preserve">L’expérience du FVC révèle également que les mêmes difficultés pourraient se reproduire lors de futures démarches d’accréditation, notamment auprès de l’Union européenne ou lors du dépôt de projets d’envergure auprès du FVC et d’autres partenaires. Il est important de rappeler qu’une entité accréditée devient responsable de l’application de ses </w:t>
      </w:r>
      <w:r w:rsidRPr="00492055">
        <w:rPr>
          <w:rStyle w:val="lev"/>
          <w:rFonts w:ascii="Verdana" w:hAnsi="Verdana"/>
          <w:b w:val="0"/>
          <w:bCs w:val="0"/>
          <w:sz w:val="20"/>
          <w:szCs w:val="20"/>
        </w:rPr>
        <w:t>propres procédures de passation de marchés et de gestion financière</w:t>
      </w:r>
      <w:r w:rsidRPr="00492055">
        <w:rPr>
          <w:rFonts w:ascii="Verdana" w:hAnsi="Verdana"/>
          <w:sz w:val="20"/>
          <w:szCs w:val="20"/>
        </w:rPr>
        <w:t xml:space="preserve">, ainsi que du </w:t>
      </w:r>
      <w:r w:rsidRPr="00492055">
        <w:rPr>
          <w:rStyle w:val="lev"/>
          <w:rFonts w:ascii="Verdana" w:hAnsi="Verdana"/>
          <w:b w:val="0"/>
          <w:bCs w:val="0"/>
          <w:sz w:val="20"/>
          <w:szCs w:val="20"/>
        </w:rPr>
        <w:t>traitement des plaintes et réclamations</w:t>
      </w:r>
      <w:r w:rsidRPr="00492055">
        <w:rPr>
          <w:rFonts w:ascii="Verdana" w:hAnsi="Verdana"/>
          <w:sz w:val="20"/>
          <w:szCs w:val="20"/>
        </w:rPr>
        <w:t>.</w:t>
      </w:r>
    </w:p>
    <w:p w14:paraId="43B1D7CC" w14:textId="621802A3" w:rsidR="00A70279" w:rsidRPr="00492055" w:rsidRDefault="00A70279" w:rsidP="00C15CE7">
      <w:pPr>
        <w:pStyle w:val="NormalWeb"/>
        <w:ind w:left="426"/>
        <w:jc w:val="both"/>
        <w:rPr>
          <w:rFonts w:ascii="Verdana" w:hAnsi="Verdana"/>
          <w:sz w:val="20"/>
          <w:szCs w:val="20"/>
        </w:rPr>
      </w:pPr>
      <w:r w:rsidRPr="00492055">
        <w:rPr>
          <w:rFonts w:ascii="Verdana" w:hAnsi="Verdana"/>
          <w:sz w:val="20"/>
          <w:szCs w:val="20"/>
        </w:rPr>
        <w:t xml:space="preserve">Dans ce contexte, le </w:t>
      </w:r>
      <w:r w:rsidRPr="00492055">
        <w:rPr>
          <w:rStyle w:val="lev"/>
          <w:rFonts w:ascii="Verdana" w:hAnsi="Verdana"/>
          <w:b w:val="0"/>
          <w:bCs w:val="0"/>
          <w:sz w:val="20"/>
          <w:szCs w:val="20"/>
        </w:rPr>
        <w:t>renforcement des capacités juridiques internes</w:t>
      </w:r>
      <w:r w:rsidRPr="00492055">
        <w:rPr>
          <w:rFonts w:ascii="Verdana" w:hAnsi="Verdana"/>
          <w:sz w:val="20"/>
          <w:szCs w:val="20"/>
        </w:rPr>
        <w:t xml:space="preserve"> est nécessaire pour assurer la crédibilité, la conformité et la durabilité des mécanismes d’accès au financement climatique, et ainsi consolider le rôle de la COI comme acteur régional de référence en matière de gouvernance climatique. </w:t>
      </w:r>
      <w:r w:rsidR="00C15CE7" w:rsidRPr="00492055">
        <w:rPr>
          <w:rFonts w:ascii="Verdana" w:hAnsi="Verdana"/>
          <w:sz w:val="20"/>
          <w:szCs w:val="20"/>
        </w:rPr>
        <w:t xml:space="preserve">À cet effet, il est prévu, dans le cadre du programme Horizon 2030, de recourir à une expertise externe à travers le recrutement d’un consultant chargé d’identifier les besoins en expertise juridique au sein du Secrétariat général, qui appuiera à définir les compétences et les dispositifs nécessaires pour renforcer les capacités institutionnelles de la COI dans la gestion des obligations juridiques et contractuelles. </w:t>
      </w:r>
    </w:p>
    <w:p w14:paraId="1D75C053" w14:textId="4BB8D7A0" w:rsidR="009D6D6F" w:rsidRPr="00492055" w:rsidRDefault="009D6D6F" w:rsidP="00E150F3">
      <w:pPr>
        <w:pStyle w:val="Paragraphe"/>
        <w:numPr>
          <w:ilvl w:val="2"/>
          <w:numId w:val="18"/>
        </w:numPr>
        <w:spacing w:after="120" w:line="276" w:lineRule="auto"/>
        <w:ind w:hanging="513"/>
      </w:pPr>
      <w:r w:rsidRPr="00492055">
        <w:t xml:space="preserve">Projets </w:t>
      </w:r>
    </w:p>
    <w:p w14:paraId="008C7391" w14:textId="56D24BD8" w:rsidR="009D6D6F" w:rsidRPr="00492055" w:rsidRDefault="009D6D6F" w:rsidP="00E150F3">
      <w:pPr>
        <w:pStyle w:val="Paragraphe"/>
        <w:spacing w:after="120" w:line="276" w:lineRule="auto"/>
        <w:ind w:left="426"/>
      </w:pPr>
      <w:r w:rsidRPr="00492055">
        <w:t>Deux projets « </w:t>
      </w:r>
      <w:proofErr w:type="spellStart"/>
      <w:r w:rsidRPr="00492055">
        <w:t>Readiness</w:t>
      </w:r>
      <w:proofErr w:type="spellEnd"/>
      <w:r w:rsidRPr="00492055">
        <w:t xml:space="preserve"> » sont en cours avec le FVC. Un Readiness Régional en appui à l’accréditation des structures nationaux à l’accréditation, appui à la Gouvernance de la Commission Climat des Etats insulaire et appui à la formulation d’un projet régional.    </w:t>
      </w:r>
      <w:r w:rsidR="0046716F" w:rsidRPr="00492055">
        <w:t>Un</w:t>
      </w:r>
      <w:r w:rsidRPr="00492055">
        <w:t xml:space="preserve"> Readiness National en appui à Maurice pour développer le plan national d’adaptation.    </w:t>
      </w:r>
    </w:p>
    <w:p w14:paraId="273A3707" w14:textId="77777777" w:rsidR="009D6D6F" w:rsidRPr="00492055" w:rsidRDefault="009D6D6F" w:rsidP="009D6D6F">
      <w:pPr>
        <w:pStyle w:val="Paragraphe"/>
        <w:numPr>
          <w:ilvl w:val="0"/>
          <w:numId w:val="17"/>
        </w:numPr>
        <w:spacing w:after="120" w:line="276" w:lineRule="auto"/>
      </w:pPr>
      <w:r w:rsidRPr="00492055">
        <w:lastRenderedPageBreak/>
        <w:t xml:space="preserve">Readiness régional – COI </w:t>
      </w:r>
    </w:p>
    <w:p w14:paraId="4BBF7643" w14:textId="0CE5F1A4" w:rsidR="009D6D6F" w:rsidRPr="00492055" w:rsidRDefault="009D6D6F" w:rsidP="00E150F3">
      <w:pPr>
        <w:pStyle w:val="Paragraphe"/>
        <w:spacing w:after="120" w:line="276" w:lineRule="auto"/>
        <w:ind w:left="426"/>
      </w:pPr>
      <w:r w:rsidRPr="00492055">
        <w:t>La COI à travers l’enveloppe de Seychelles a bénéficié d’un projet « Readiness » en 2018 d’un montant de 503 000 euros. Ce projet a pour objectif de renforcer les capacités institutionnelles et techniques de la COI et de ses États membres afin de faciliter leur accès aux mécanismes d’accréditation auprès du FVC et de soutenir la formulation de projets climatiques régionaux.</w:t>
      </w:r>
    </w:p>
    <w:p w14:paraId="0B28CE9F" w14:textId="77777777" w:rsidR="009D6D6F" w:rsidRPr="00492055" w:rsidRDefault="009D6D6F" w:rsidP="00E150F3">
      <w:pPr>
        <w:pStyle w:val="Paragraphe"/>
        <w:spacing w:after="120" w:line="276" w:lineRule="auto"/>
        <w:ind w:left="426"/>
      </w:pPr>
      <w:r w:rsidRPr="00492055">
        <w:t>La réactivation du projet a permis au Secrétariat général d’appuyer l’organisation des réunions de la Commission Climat des États insulaires, contribuant ainsi à renforcer la coordination régionale sur les priorités d’adaptation et d’atténuation.</w:t>
      </w:r>
    </w:p>
    <w:p w14:paraId="378B5AEA" w14:textId="77777777" w:rsidR="009D6D6F" w:rsidRPr="00492055" w:rsidRDefault="009D6D6F" w:rsidP="00E150F3">
      <w:pPr>
        <w:pStyle w:val="Paragraphe"/>
        <w:spacing w:after="120" w:line="276" w:lineRule="auto"/>
        <w:ind w:left="426"/>
      </w:pPr>
      <w:r w:rsidRPr="00492055">
        <w:t>Par ailleurs, des consultations sont en cours avec les Seychelles en vue d’accompagner deux entités nationales dans la finalisation de leur procédure d’accréditation auprès du FVC. Les consultations régionales destinées à la formulation de projets climatiques ont quant à elles été reportées à 2026, conformément au calendrier révisé du projet</w:t>
      </w:r>
    </w:p>
    <w:p w14:paraId="782BA2D7" w14:textId="5CB4767B" w:rsidR="009D6D6F" w:rsidRDefault="009D6D6F" w:rsidP="00E150F3">
      <w:pPr>
        <w:pStyle w:val="Paragraphe"/>
        <w:spacing w:after="120" w:line="276" w:lineRule="auto"/>
        <w:ind w:left="426"/>
      </w:pPr>
      <w:r w:rsidRPr="00492055">
        <w:t>Dans le prolongement de cette dynamique, et forte de son accréditation auprès du FVC, la COI sera désormais en mesure de soumettre une nouvelle demande d’enveloppe « Readiness ». Cette enveloppe visera à appuyer le montage et la formulation de projets régionaux d’adaptation et d’atténuation, en étroite collaboration avec les États membres, et à renforcer les capacités institutionnelles et techniques de la COI dans la mobilisation des financements climatiques.</w:t>
      </w:r>
      <w:r w:rsidR="003A5A17" w:rsidRPr="00492055">
        <w:t xml:space="preserve"> Le SG-COI est approché par différents organismes pour monter des projets en collaboration avec la COI, dont le Climate Finance Access Hub du Secrétariat du Commonwealth, l’UNDRR</w:t>
      </w:r>
      <w:r w:rsidR="0046716F" w:rsidRPr="00492055">
        <w:t>, le Secr</w:t>
      </w:r>
      <w:r w:rsidR="00492055" w:rsidRPr="00492055">
        <w:t>é</w:t>
      </w:r>
      <w:r w:rsidR="0046716F" w:rsidRPr="00492055">
        <w:t xml:space="preserve">tariat de la Convention de Nairobi </w:t>
      </w:r>
      <w:r w:rsidR="003A5A17" w:rsidRPr="00492055">
        <w:t xml:space="preserve">… </w:t>
      </w:r>
    </w:p>
    <w:p w14:paraId="0A985180" w14:textId="77777777" w:rsidR="00E150F3" w:rsidRPr="00492055" w:rsidRDefault="00E150F3" w:rsidP="00E150F3">
      <w:pPr>
        <w:pStyle w:val="Paragraphe"/>
        <w:spacing w:after="120" w:line="276" w:lineRule="auto"/>
        <w:ind w:left="426"/>
      </w:pPr>
    </w:p>
    <w:p w14:paraId="1BC6FFA8" w14:textId="77777777" w:rsidR="009D6D6F" w:rsidRPr="00492055" w:rsidRDefault="009D6D6F" w:rsidP="00E150F3">
      <w:pPr>
        <w:pStyle w:val="Paragraphe"/>
        <w:numPr>
          <w:ilvl w:val="0"/>
          <w:numId w:val="17"/>
        </w:numPr>
        <w:spacing w:after="120" w:line="276" w:lineRule="auto"/>
        <w:ind w:left="993" w:hanging="567"/>
      </w:pPr>
      <w:proofErr w:type="spellStart"/>
      <w:r w:rsidRPr="00492055">
        <w:t>Readiness</w:t>
      </w:r>
      <w:proofErr w:type="spellEnd"/>
      <w:r w:rsidRPr="00492055">
        <w:t xml:space="preserve"> Maurice - Développement du Plan d’adaptation pour la République de Maurice </w:t>
      </w:r>
    </w:p>
    <w:p w14:paraId="3C4AA3CD" w14:textId="123244CC" w:rsidR="009D6D6F" w:rsidRPr="00492055" w:rsidRDefault="009D6D6F" w:rsidP="00E150F3">
      <w:pPr>
        <w:pStyle w:val="Paragraphe"/>
        <w:spacing w:after="120" w:line="276" w:lineRule="auto"/>
        <w:ind w:left="426"/>
      </w:pPr>
      <w:r w:rsidRPr="00492055">
        <w:t xml:space="preserve">Le projet Readiness de Maurice est approuvé pour un montant de 1.8M d’euro sur la durée de 30mois.  Grâce à son accréditation auprès du FVC, la COI a été identifiée comme partenaire de mise en œuvre de ce </w:t>
      </w:r>
      <w:r w:rsidR="0046716F" w:rsidRPr="00492055">
        <w:t>projet</w:t>
      </w:r>
      <w:r w:rsidRPr="00492055">
        <w:t>. Il vise à renforcer la résilience du pays face aux impacts du changement climatique en appuyant la planification et la mise en œuvre d’actions d’adaptation prioritaires.</w:t>
      </w:r>
    </w:p>
    <w:p w14:paraId="167ACC29" w14:textId="77777777" w:rsidR="009D6D6F" w:rsidRPr="00492055" w:rsidRDefault="009D6D6F" w:rsidP="00E150F3">
      <w:pPr>
        <w:pStyle w:val="Paragraphe"/>
        <w:spacing w:after="120" w:line="276" w:lineRule="auto"/>
        <w:ind w:left="426"/>
      </w:pPr>
      <w:r w:rsidRPr="00492055">
        <w:t>Une lettre d’entente a été signée entre la COI et le Bureau des Nations Unies pour les services d’appui aux projets (UNOPS) pour la mise en œuvre opérationnelle du projet. Actuellement en phase de démarrage, la COI finalise les aspects administratifs et contractuels afin de permettre un lancement effectif des activités dans les prochains mois.</w:t>
      </w:r>
    </w:p>
    <w:p w14:paraId="7FF70ED1" w14:textId="77777777" w:rsidR="009D6D6F" w:rsidRPr="00492055" w:rsidRDefault="009D6D6F" w:rsidP="00E150F3">
      <w:pPr>
        <w:pStyle w:val="Paragraphe"/>
        <w:spacing w:after="120" w:line="276" w:lineRule="auto"/>
        <w:ind w:left="426"/>
      </w:pPr>
      <w:r w:rsidRPr="00492055">
        <w:t>Cette collaboration illustre la volonté de la COI de renforcer l’accompagnement de ses États membres dans la mobilisation de financements climatiques et dans le développement de projets d’adaptation et d’atténuation alignés sur les priorités nationales et régionales.</w:t>
      </w:r>
    </w:p>
    <w:p w14:paraId="68284E94" w14:textId="61B84036" w:rsidR="00230544" w:rsidRPr="00492055" w:rsidRDefault="009D6D6F" w:rsidP="00D44FB7">
      <w:pPr>
        <w:pStyle w:val="Sous-partie2"/>
        <w:numPr>
          <w:ilvl w:val="0"/>
          <w:numId w:val="0"/>
        </w:numPr>
        <w:spacing w:after="120" w:line="276" w:lineRule="auto"/>
        <w:ind w:left="426"/>
        <w:contextualSpacing w:val="0"/>
      </w:pPr>
      <w:r w:rsidRPr="00492055">
        <w:rPr>
          <w:color w:val="auto"/>
        </w:rPr>
        <w:t xml:space="preserve"> </w:t>
      </w:r>
    </w:p>
    <w:p w14:paraId="6D5B68FE" w14:textId="77777777" w:rsidR="00230544" w:rsidRPr="00492055" w:rsidRDefault="00230544" w:rsidP="00230544">
      <w:pPr>
        <w:pStyle w:val="Sous-partie2"/>
        <w:spacing w:after="120" w:line="276" w:lineRule="auto"/>
        <w:contextualSpacing w:val="0"/>
      </w:pPr>
      <w:r w:rsidRPr="00492055">
        <w:t xml:space="preserve">Fonds d’adaptation </w:t>
      </w:r>
    </w:p>
    <w:p w14:paraId="66D7C152" w14:textId="77777777" w:rsidR="00230544" w:rsidRPr="00492055" w:rsidRDefault="00230544" w:rsidP="00E150F3">
      <w:pPr>
        <w:pStyle w:val="Paragraphe"/>
        <w:ind w:left="284"/>
      </w:pPr>
      <w:r w:rsidRPr="00492055">
        <w:t xml:space="preserve">Le </w:t>
      </w:r>
      <w:r w:rsidRPr="00492055">
        <w:rPr>
          <w:rStyle w:val="lev"/>
        </w:rPr>
        <w:t>Fonds d’adaptation</w:t>
      </w:r>
      <w:r w:rsidRPr="00492055">
        <w:t xml:space="preserve"> a été créé en </w:t>
      </w:r>
      <w:r w:rsidRPr="00492055">
        <w:rPr>
          <w:rStyle w:val="lev"/>
        </w:rPr>
        <w:t>2001</w:t>
      </w:r>
      <w:r w:rsidRPr="00492055">
        <w:t xml:space="preserve"> afin de financer des </w:t>
      </w:r>
      <w:r w:rsidRPr="00492055">
        <w:rPr>
          <w:rStyle w:val="lev"/>
        </w:rPr>
        <w:t>projets et programmes d’adaptation concrets</w:t>
      </w:r>
      <w:r w:rsidRPr="00492055">
        <w:t xml:space="preserve"> dans les </w:t>
      </w:r>
      <w:r w:rsidRPr="00492055">
        <w:rPr>
          <w:rStyle w:val="lev"/>
        </w:rPr>
        <w:t>pays en développement</w:t>
      </w:r>
      <w:r w:rsidRPr="00492055">
        <w:t xml:space="preserve"> parties au </w:t>
      </w:r>
      <w:r w:rsidRPr="00492055">
        <w:rPr>
          <w:rStyle w:val="lev"/>
        </w:rPr>
        <w:t>Protocole de Kyoto</w:t>
      </w:r>
      <w:r w:rsidRPr="00492055">
        <w:t>, particulièrement vulnérables aux effets néfastes du changement climatique.</w:t>
      </w:r>
    </w:p>
    <w:p w14:paraId="7E205A1A" w14:textId="77777777" w:rsidR="00230544" w:rsidRPr="00492055" w:rsidRDefault="00230544" w:rsidP="00E150F3">
      <w:pPr>
        <w:pStyle w:val="Paragraphe"/>
        <w:ind w:left="284"/>
      </w:pPr>
      <w:r w:rsidRPr="00492055">
        <w:lastRenderedPageBreak/>
        <w:t xml:space="preserve">Le Fonds est </w:t>
      </w:r>
      <w:r w:rsidRPr="00492055">
        <w:rPr>
          <w:rStyle w:val="lev"/>
        </w:rPr>
        <w:t>supervisé et géré par le Conseil du Fonds d’adaptation</w:t>
      </w:r>
      <w:r w:rsidRPr="00492055">
        <w:t xml:space="preserve">, composé de </w:t>
      </w:r>
      <w:r w:rsidRPr="00492055">
        <w:rPr>
          <w:rStyle w:val="lev"/>
        </w:rPr>
        <w:t>16 membres titulaires et 16 suppléants</w:t>
      </w:r>
      <w:r w:rsidRPr="00492055">
        <w:t xml:space="preserve">, qui se réunit </w:t>
      </w:r>
      <w:r w:rsidRPr="00492055">
        <w:rPr>
          <w:rStyle w:val="lev"/>
        </w:rPr>
        <w:t>au moins deux fois par an</w:t>
      </w:r>
      <w:r w:rsidRPr="00492055">
        <w:t xml:space="preserve">. Son </w:t>
      </w:r>
      <w:r w:rsidRPr="00492055">
        <w:rPr>
          <w:rStyle w:val="lev"/>
        </w:rPr>
        <w:t>siège</w:t>
      </w:r>
      <w:r w:rsidRPr="00492055">
        <w:t xml:space="preserve"> est établi à </w:t>
      </w:r>
      <w:r w:rsidRPr="00492055">
        <w:rPr>
          <w:rStyle w:val="lev"/>
        </w:rPr>
        <w:t>Washington, D.C.</w:t>
      </w:r>
    </w:p>
    <w:p w14:paraId="3A2D8631" w14:textId="77777777" w:rsidR="00230544" w:rsidRPr="00492055" w:rsidRDefault="00230544" w:rsidP="00E150F3">
      <w:pPr>
        <w:pStyle w:val="Paragraphe"/>
        <w:ind w:left="284"/>
      </w:pPr>
      <w:r w:rsidRPr="00492055">
        <w:t xml:space="preserve">Pour rappel, la </w:t>
      </w:r>
      <w:r w:rsidRPr="00492055">
        <w:rPr>
          <w:rStyle w:val="lev"/>
        </w:rPr>
        <w:t>COI</w:t>
      </w:r>
      <w:r w:rsidRPr="00492055">
        <w:t xml:space="preserve"> a été </w:t>
      </w:r>
      <w:r w:rsidRPr="00492055">
        <w:rPr>
          <w:rStyle w:val="lev"/>
        </w:rPr>
        <w:t>mandatée par ses États membres</w:t>
      </w:r>
      <w:r w:rsidRPr="00492055">
        <w:t xml:space="preserve"> pour engager la procédure d’</w:t>
      </w:r>
      <w:r w:rsidRPr="00492055">
        <w:rPr>
          <w:rStyle w:val="lev"/>
        </w:rPr>
        <w:t>accréditation</w:t>
      </w:r>
      <w:r w:rsidRPr="00492055">
        <w:t xml:space="preserve"> auprès de ce Fonds. La </w:t>
      </w:r>
      <w:r w:rsidRPr="00492055">
        <w:rPr>
          <w:rStyle w:val="lev"/>
        </w:rPr>
        <w:t>demande d’accréditation</w:t>
      </w:r>
      <w:r w:rsidRPr="00492055">
        <w:t xml:space="preserve"> a été initialement </w:t>
      </w:r>
      <w:r w:rsidRPr="00492055">
        <w:rPr>
          <w:rStyle w:val="lev"/>
        </w:rPr>
        <w:t>soumise en 2015</w:t>
      </w:r>
      <w:r w:rsidRPr="00492055">
        <w:t>.</w:t>
      </w:r>
    </w:p>
    <w:p w14:paraId="7F81CB41" w14:textId="5D998180" w:rsidR="00230544" w:rsidRPr="00492055" w:rsidRDefault="00230544" w:rsidP="00E150F3">
      <w:pPr>
        <w:pStyle w:val="Paragraphe"/>
        <w:ind w:left="284"/>
      </w:pPr>
      <w:r w:rsidRPr="00492055">
        <w:t>À la suite de l’</w:t>
      </w:r>
      <w:r w:rsidRPr="00492055">
        <w:rPr>
          <w:rStyle w:val="lev"/>
        </w:rPr>
        <w:t>accréditation de la COI auprès du FVC</w:t>
      </w:r>
      <w:r w:rsidR="003A5A17" w:rsidRPr="00492055">
        <w:rPr>
          <w:rStyle w:val="lev"/>
        </w:rPr>
        <w:t>,</w:t>
      </w:r>
      <w:r w:rsidRPr="00492055">
        <w:rPr>
          <w:rStyle w:val="lev"/>
        </w:rPr>
        <w:t xml:space="preserve"> </w:t>
      </w:r>
      <w:r w:rsidRPr="00492055">
        <w:t>le Secrétariat général a réactivé la démarche d’accréditation auprès du Fonds d’adaptation. La majorité des documents requis ont déjà été téléchargés sur la plateforme numérique du Fonds, en vue de leur examen par les instances compétentes. La COI procède actuellement à la finalisation des derniers ajustements techniques du dossier.</w:t>
      </w:r>
    </w:p>
    <w:p w14:paraId="61BAFDF6" w14:textId="757B2325" w:rsidR="008560F4" w:rsidRPr="00492055" w:rsidRDefault="003A5A17" w:rsidP="00546025">
      <w:pPr>
        <w:pStyle w:val="Sous-partie2"/>
        <w:spacing w:after="120" w:line="276" w:lineRule="auto"/>
        <w:contextualSpacing w:val="0"/>
      </w:pPr>
      <w:r w:rsidRPr="00492055">
        <w:t>Le Fonds de l’OPEP pour le développement international</w:t>
      </w:r>
    </w:p>
    <w:p w14:paraId="64C086EF" w14:textId="593A640E" w:rsidR="00B235AB" w:rsidRPr="00492055" w:rsidRDefault="00B235AB" w:rsidP="00E150F3">
      <w:pPr>
        <w:pStyle w:val="Paragraphe"/>
        <w:ind w:left="426"/>
      </w:pPr>
      <w:r w:rsidRPr="00492055">
        <w:t xml:space="preserve">La </w:t>
      </w:r>
      <w:r w:rsidRPr="00492055">
        <w:rPr>
          <w:rStyle w:val="lev"/>
          <w:b w:val="0"/>
          <w:bCs w:val="0"/>
        </w:rPr>
        <w:t>COI</w:t>
      </w:r>
      <w:r w:rsidRPr="00492055">
        <w:t xml:space="preserve"> a été mise en relation avec le </w:t>
      </w:r>
      <w:r w:rsidRPr="00492055">
        <w:rPr>
          <w:rStyle w:val="lev"/>
          <w:b w:val="0"/>
          <w:bCs w:val="0"/>
        </w:rPr>
        <w:t>Fonds de l’OPEP</w:t>
      </w:r>
      <w:r w:rsidRPr="00492055">
        <w:t xml:space="preserve"> par le </w:t>
      </w:r>
      <w:r w:rsidRPr="00492055">
        <w:rPr>
          <w:rStyle w:val="lev"/>
          <w:b w:val="0"/>
          <w:bCs w:val="0"/>
        </w:rPr>
        <w:t>Secrétariat de la Convention-Cadre des Nations Unies sur les changements climatiques (CCNUCC)</w:t>
      </w:r>
      <w:r w:rsidRPr="00492055">
        <w:t>, avec lequel le Fonds entretient une collaboration étroite.</w:t>
      </w:r>
    </w:p>
    <w:p w14:paraId="49057583" w14:textId="77777777" w:rsidR="00B235AB" w:rsidRPr="00492055" w:rsidRDefault="00B235AB" w:rsidP="00E150F3">
      <w:pPr>
        <w:pStyle w:val="Paragraphe"/>
        <w:ind w:left="426"/>
      </w:pPr>
      <w:r w:rsidRPr="00492055">
        <w:t xml:space="preserve">Créé en </w:t>
      </w:r>
      <w:r w:rsidRPr="00492055">
        <w:rPr>
          <w:rStyle w:val="lev"/>
          <w:b w:val="0"/>
          <w:bCs w:val="0"/>
        </w:rPr>
        <w:t>1976</w:t>
      </w:r>
      <w:r w:rsidRPr="00492055">
        <w:t xml:space="preserve">, le </w:t>
      </w:r>
      <w:r w:rsidRPr="00492055">
        <w:rPr>
          <w:rStyle w:val="lev"/>
          <w:b w:val="0"/>
          <w:bCs w:val="0"/>
        </w:rPr>
        <w:t>Fonds de l’OPEP pour le développement international (OPEC Fund)</w:t>
      </w:r>
      <w:r w:rsidRPr="00492055">
        <w:t xml:space="preserve"> est un </w:t>
      </w:r>
      <w:r w:rsidRPr="00492055">
        <w:rPr>
          <w:rStyle w:val="lev"/>
          <w:b w:val="0"/>
          <w:bCs w:val="0"/>
        </w:rPr>
        <w:t>fonds intergouvernemental</w:t>
      </w:r>
      <w:r w:rsidRPr="00492055">
        <w:t xml:space="preserve"> établi par les </w:t>
      </w:r>
      <w:r w:rsidRPr="00492055">
        <w:rPr>
          <w:rStyle w:val="lev"/>
          <w:b w:val="0"/>
          <w:bCs w:val="0"/>
        </w:rPr>
        <w:t>pays exportateurs de pétrole</w:t>
      </w:r>
      <w:r w:rsidRPr="00492055">
        <w:t xml:space="preserve"> membres de l’OPEP. Son objectif principal est de </w:t>
      </w:r>
      <w:r w:rsidRPr="00492055">
        <w:rPr>
          <w:rStyle w:val="lev"/>
          <w:b w:val="0"/>
          <w:bCs w:val="0"/>
        </w:rPr>
        <w:t>renforcer la coopération financière</w:t>
      </w:r>
      <w:r w:rsidRPr="00492055">
        <w:t xml:space="preserve"> entre les pays membres de l’OPEP et les </w:t>
      </w:r>
      <w:r w:rsidRPr="00492055">
        <w:rPr>
          <w:rStyle w:val="lev"/>
          <w:b w:val="0"/>
          <w:bCs w:val="0"/>
        </w:rPr>
        <w:t>pays en développement</w:t>
      </w:r>
      <w:r w:rsidRPr="00492055">
        <w:t xml:space="preserve">, en leur apportant le </w:t>
      </w:r>
      <w:r w:rsidRPr="00492055">
        <w:rPr>
          <w:rStyle w:val="lev"/>
          <w:b w:val="0"/>
          <w:bCs w:val="0"/>
        </w:rPr>
        <w:t>soutien financier nécessaire à leur développement socio-économique</w:t>
      </w:r>
      <w:r w:rsidRPr="00492055">
        <w:t>.</w:t>
      </w:r>
    </w:p>
    <w:p w14:paraId="7179F1A3" w14:textId="77777777" w:rsidR="00B235AB" w:rsidRPr="00492055" w:rsidRDefault="00B235AB" w:rsidP="00E150F3">
      <w:pPr>
        <w:pStyle w:val="Paragraphe"/>
        <w:ind w:left="426"/>
      </w:pPr>
      <w:r w:rsidRPr="00492055">
        <w:t xml:space="preserve">L’institution a pour </w:t>
      </w:r>
      <w:r w:rsidRPr="00492055">
        <w:rPr>
          <w:rStyle w:val="lev"/>
          <w:b w:val="0"/>
          <w:bCs w:val="0"/>
        </w:rPr>
        <w:t>mission première</w:t>
      </w:r>
      <w:r w:rsidRPr="00492055">
        <w:t xml:space="preserve"> de promouvoir le </w:t>
      </w:r>
      <w:r w:rsidRPr="00492055">
        <w:rPr>
          <w:rStyle w:val="lev"/>
          <w:b w:val="0"/>
          <w:bCs w:val="0"/>
        </w:rPr>
        <w:t>partenariat Sud-Sud</w:t>
      </w:r>
      <w:r w:rsidRPr="00492055">
        <w:t xml:space="preserve"> et de </w:t>
      </w:r>
      <w:r w:rsidRPr="00492055">
        <w:rPr>
          <w:rStyle w:val="lev"/>
          <w:b w:val="0"/>
          <w:bCs w:val="0"/>
        </w:rPr>
        <w:t>contribuer à la réduction de la pauvreté</w:t>
      </w:r>
      <w:r w:rsidRPr="00492055">
        <w:t xml:space="preserve"> à travers des investissements ciblés. Son </w:t>
      </w:r>
      <w:r w:rsidRPr="00492055">
        <w:rPr>
          <w:rStyle w:val="lev"/>
          <w:b w:val="0"/>
          <w:bCs w:val="0"/>
        </w:rPr>
        <w:t>siège</w:t>
      </w:r>
      <w:r w:rsidRPr="00492055">
        <w:t xml:space="preserve"> est basé à </w:t>
      </w:r>
      <w:r w:rsidRPr="00492055">
        <w:rPr>
          <w:rStyle w:val="lev"/>
          <w:b w:val="0"/>
          <w:bCs w:val="0"/>
        </w:rPr>
        <w:t>Vienne, en Autriche</w:t>
      </w:r>
      <w:r w:rsidRPr="00492055">
        <w:t xml:space="preserve">. Les </w:t>
      </w:r>
      <w:r w:rsidRPr="00492055">
        <w:rPr>
          <w:rStyle w:val="lev"/>
          <w:b w:val="0"/>
          <w:bCs w:val="0"/>
        </w:rPr>
        <w:t>domaines prioritaires d’intervention</w:t>
      </w:r>
      <w:r w:rsidRPr="00492055">
        <w:t xml:space="preserve"> du Fonds couvrent notamment </w:t>
      </w:r>
      <w:r w:rsidRPr="00492055">
        <w:rPr>
          <w:rStyle w:val="lev"/>
          <w:b w:val="0"/>
          <w:bCs w:val="0"/>
        </w:rPr>
        <w:t>l’agriculture</w:t>
      </w:r>
      <w:r w:rsidRPr="00492055">
        <w:t xml:space="preserve">, </w:t>
      </w:r>
      <w:r w:rsidRPr="00492055">
        <w:rPr>
          <w:rStyle w:val="lev"/>
          <w:b w:val="0"/>
          <w:bCs w:val="0"/>
        </w:rPr>
        <w:t>la santé</w:t>
      </w:r>
      <w:r w:rsidRPr="00492055">
        <w:t xml:space="preserve">, </w:t>
      </w:r>
      <w:r w:rsidRPr="00492055">
        <w:rPr>
          <w:rStyle w:val="lev"/>
          <w:b w:val="0"/>
          <w:bCs w:val="0"/>
        </w:rPr>
        <w:t>l’éducation</w:t>
      </w:r>
      <w:r w:rsidRPr="00492055">
        <w:t xml:space="preserve">, </w:t>
      </w:r>
      <w:r w:rsidRPr="00492055">
        <w:rPr>
          <w:rStyle w:val="lev"/>
          <w:b w:val="0"/>
          <w:bCs w:val="0"/>
        </w:rPr>
        <w:t>l’énergie</w:t>
      </w:r>
      <w:r w:rsidRPr="00492055">
        <w:t xml:space="preserve">, </w:t>
      </w:r>
      <w:r w:rsidRPr="00492055">
        <w:rPr>
          <w:rStyle w:val="lev"/>
          <w:b w:val="0"/>
          <w:bCs w:val="0"/>
        </w:rPr>
        <w:t>l’eau et l’assainissement</w:t>
      </w:r>
      <w:r w:rsidRPr="00492055">
        <w:t xml:space="preserve">, entre autres. Le Fonds collabore également étroitement avec des institutions internationales telles que la </w:t>
      </w:r>
      <w:r w:rsidRPr="00492055">
        <w:rPr>
          <w:rStyle w:val="lev"/>
          <w:b w:val="0"/>
          <w:bCs w:val="0"/>
        </w:rPr>
        <w:t>FAO</w:t>
      </w:r>
      <w:r w:rsidRPr="00492055">
        <w:t xml:space="preserve"> et le </w:t>
      </w:r>
      <w:r w:rsidRPr="00492055">
        <w:rPr>
          <w:rStyle w:val="lev"/>
          <w:b w:val="0"/>
          <w:bCs w:val="0"/>
        </w:rPr>
        <w:t>FIDA</w:t>
      </w:r>
      <w:r w:rsidRPr="00492055">
        <w:t xml:space="preserve"> dans le domaine de l’agriculture.</w:t>
      </w:r>
    </w:p>
    <w:p w14:paraId="6E37EC41" w14:textId="77777777" w:rsidR="00B235AB" w:rsidRPr="00492055" w:rsidRDefault="00B235AB" w:rsidP="00E150F3">
      <w:pPr>
        <w:pStyle w:val="Paragraphe"/>
        <w:ind w:left="426"/>
      </w:pPr>
      <w:r w:rsidRPr="00492055">
        <w:t xml:space="preserve">Le </w:t>
      </w:r>
      <w:r w:rsidRPr="00492055">
        <w:rPr>
          <w:rStyle w:val="lev"/>
          <w:b w:val="0"/>
          <w:bCs w:val="0"/>
        </w:rPr>
        <w:t>Fonds de l’OPEP pour le développement</w:t>
      </w:r>
      <w:r w:rsidRPr="00492055">
        <w:t xml:space="preserve"> dispose de </w:t>
      </w:r>
      <w:r w:rsidRPr="00492055">
        <w:rPr>
          <w:rStyle w:val="lev"/>
          <w:b w:val="0"/>
          <w:bCs w:val="0"/>
        </w:rPr>
        <w:t>divers mécanismes de financement</w:t>
      </w:r>
      <w:r w:rsidRPr="00492055">
        <w:t xml:space="preserve">, comprenant des </w:t>
      </w:r>
      <w:r w:rsidRPr="00492055">
        <w:rPr>
          <w:rStyle w:val="lev"/>
          <w:b w:val="0"/>
          <w:bCs w:val="0"/>
        </w:rPr>
        <w:t>prêts concessionnels</w:t>
      </w:r>
      <w:r w:rsidRPr="00492055">
        <w:t xml:space="preserve">, des </w:t>
      </w:r>
      <w:r w:rsidRPr="00492055">
        <w:rPr>
          <w:rStyle w:val="lev"/>
          <w:b w:val="0"/>
          <w:bCs w:val="0"/>
        </w:rPr>
        <w:t>dons</w:t>
      </w:r>
      <w:r w:rsidRPr="00492055">
        <w:t xml:space="preserve"> et des </w:t>
      </w:r>
      <w:r w:rsidRPr="00492055">
        <w:rPr>
          <w:rStyle w:val="lev"/>
          <w:b w:val="0"/>
          <w:bCs w:val="0"/>
        </w:rPr>
        <w:t>assistance techniques</w:t>
      </w:r>
      <w:r w:rsidRPr="00492055">
        <w:t xml:space="preserve">, octroyés en fonction du type de projet et des résultats attendus. Il accompagne déjà plusieurs </w:t>
      </w:r>
      <w:r w:rsidRPr="00492055">
        <w:rPr>
          <w:rStyle w:val="lev"/>
          <w:b w:val="0"/>
          <w:bCs w:val="0"/>
        </w:rPr>
        <w:t>États insulaires des Caraïbes et du Pacifique</w:t>
      </w:r>
      <w:r w:rsidRPr="00492055">
        <w:t xml:space="preserve"> dans le développement de </w:t>
      </w:r>
      <w:r w:rsidRPr="00492055">
        <w:rPr>
          <w:rStyle w:val="lev"/>
          <w:b w:val="0"/>
          <w:bCs w:val="0"/>
        </w:rPr>
        <w:t>projets bancables</w:t>
      </w:r>
      <w:r w:rsidRPr="00492055">
        <w:t>, visant à renforcer leur résilience économique et climatique.</w:t>
      </w:r>
    </w:p>
    <w:p w14:paraId="726F6522" w14:textId="77777777" w:rsidR="00B235AB" w:rsidRPr="00492055" w:rsidRDefault="00B235AB" w:rsidP="00E150F3">
      <w:pPr>
        <w:pStyle w:val="Paragraphe"/>
        <w:ind w:left="426"/>
      </w:pPr>
      <w:r w:rsidRPr="00492055">
        <w:t xml:space="preserve">Les </w:t>
      </w:r>
      <w:r w:rsidRPr="00492055">
        <w:rPr>
          <w:rStyle w:val="lev"/>
          <w:b w:val="0"/>
          <w:bCs w:val="0"/>
        </w:rPr>
        <w:t>échanges entre la COI et le Fonds de l’OPEP pour le développement</w:t>
      </w:r>
      <w:r w:rsidRPr="00492055">
        <w:t xml:space="preserve"> ont débuté au </w:t>
      </w:r>
      <w:r w:rsidRPr="00492055">
        <w:rPr>
          <w:rStyle w:val="lev"/>
          <w:b w:val="0"/>
          <w:bCs w:val="0"/>
        </w:rPr>
        <w:t>deuxième semestre de 2024</w:t>
      </w:r>
      <w:r w:rsidRPr="00492055">
        <w:t xml:space="preserve">, en vue d’établir un </w:t>
      </w:r>
      <w:r w:rsidRPr="00492055">
        <w:rPr>
          <w:rStyle w:val="lev"/>
          <w:b w:val="0"/>
          <w:bCs w:val="0"/>
        </w:rPr>
        <w:t>Mémorandum d’entente (</w:t>
      </w:r>
      <w:proofErr w:type="spellStart"/>
      <w:r w:rsidRPr="00492055">
        <w:rPr>
          <w:rStyle w:val="lev"/>
          <w:b w:val="0"/>
          <w:bCs w:val="0"/>
        </w:rPr>
        <w:t>MoU</w:t>
      </w:r>
      <w:proofErr w:type="spellEnd"/>
      <w:r w:rsidRPr="00492055">
        <w:rPr>
          <w:rStyle w:val="lev"/>
          <w:b w:val="0"/>
          <w:bCs w:val="0"/>
        </w:rPr>
        <w:t>)</w:t>
      </w:r>
      <w:r w:rsidRPr="00492055">
        <w:t xml:space="preserve"> entre les deux institutions. Ce partenariat vise un </w:t>
      </w:r>
      <w:r w:rsidRPr="00492055">
        <w:rPr>
          <w:rStyle w:val="lev"/>
          <w:b w:val="0"/>
          <w:bCs w:val="0"/>
        </w:rPr>
        <w:t>engagement commun en faveur du développement durable et de la réduction de la pauvreté</w:t>
      </w:r>
      <w:r w:rsidRPr="00492055">
        <w:t xml:space="preserve"> dans les </w:t>
      </w:r>
      <w:r w:rsidRPr="00492055">
        <w:rPr>
          <w:rStyle w:val="lev"/>
          <w:b w:val="0"/>
          <w:bCs w:val="0"/>
        </w:rPr>
        <w:t>États insulaires de l’océan Indien</w:t>
      </w:r>
      <w:r w:rsidRPr="00492055">
        <w:t>.</w:t>
      </w:r>
    </w:p>
    <w:p w14:paraId="3687BC5E" w14:textId="70A02823" w:rsidR="00B235AB" w:rsidRPr="00492055" w:rsidRDefault="00B235AB" w:rsidP="00E150F3">
      <w:pPr>
        <w:pStyle w:val="Paragraphe"/>
        <w:ind w:left="426"/>
      </w:pPr>
      <w:r w:rsidRPr="00492055">
        <w:t xml:space="preserve">Le </w:t>
      </w:r>
      <w:proofErr w:type="spellStart"/>
      <w:r w:rsidRPr="00492055">
        <w:rPr>
          <w:rStyle w:val="lev"/>
          <w:b w:val="0"/>
          <w:bCs w:val="0"/>
        </w:rPr>
        <w:t>MoU</w:t>
      </w:r>
      <w:proofErr w:type="spellEnd"/>
      <w:r w:rsidRPr="00492055">
        <w:t xml:space="preserve">, proposé pour une durée de </w:t>
      </w:r>
      <w:r w:rsidRPr="00492055">
        <w:rPr>
          <w:rStyle w:val="lev"/>
          <w:b w:val="0"/>
          <w:bCs w:val="0"/>
        </w:rPr>
        <w:t>quatre ans</w:t>
      </w:r>
      <w:r w:rsidRPr="00492055">
        <w:t xml:space="preserve">, constitue un </w:t>
      </w:r>
      <w:r w:rsidRPr="00492055">
        <w:rPr>
          <w:rStyle w:val="lev"/>
          <w:b w:val="0"/>
          <w:bCs w:val="0"/>
        </w:rPr>
        <w:t>instrument non contraignant</w:t>
      </w:r>
      <w:r w:rsidRPr="00492055">
        <w:t xml:space="preserve"> qui servira de </w:t>
      </w:r>
      <w:r w:rsidRPr="00492055">
        <w:rPr>
          <w:rStyle w:val="lev"/>
          <w:b w:val="0"/>
          <w:bCs w:val="0"/>
        </w:rPr>
        <w:t>cadre général de coopération</w:t>
      </w:r>
      <w:r w:rsidRPr="00492055">
        <w:t xml:space="preserve">. Il ouvrira la voie à de </w:t>
      </w:r>
      <w:r w:rsidRPr="00492055">
        <w:rPr>
          <w:rStyle w:val="lev"/>
          <w:b w:val="0"/>
          <w:bCs w:val="0"/>
        </w:rPr>
        <w:t>nouvelles opportunités de financement</w:t>
      </w:r>
      <w:r w:rsidRPr="00492055">
        <w:t xml:space="preserve"> pour appuyer les </w:t>
      </w:r>
      <w:r w:rsidRPr="00492055">
        <w:rPr>
          <w:rStyle w:val="lev"/>
          <w:b w:val="0"/>
          <w:bCs w:val="0"/>
        </w:rPr>
        <w:t>actions régionales</w:t>
      </w:r>
      <w:r w:rsidRPr="00492055">
        <w:t xml:space="preserve"> menées par le Secrétariat de la COI. </w:t>
      </w:r>
    </w:p>
    <w:p w14:paraId="08BEC755" w14:textId="77777777" w:rsidR="00B235AB" w:rsidRPr="00492055" w:rsidRDefault="00B235AB" w:rsidP="00E150F3">
      <w:pPr>
        <w:pStyle w:val="Paragraphe"/>
        <w:ind w:left="426"/>
      </w:pPr>
      <w:r w:rsidRPr="00492055">
        <w:t xml:space="preserve">Lors de sa réunion de décembre 2024, le Comité des OPL avait donné son accord pour que le Secrétariat général poursuive ses échanges avec le Fonds de l’OPEP pour le développement international (OFID) en vue d’établir un accord de collaboration. Cette décision a toutefois été réexaminée lors du COPL 1 de 2025, qui a demandé au </w:t>
      </w:r>
      <w:r w:rsidRPr="00492055">
        <w:lastRenderedPageBreak/>
        <w:t>Secrétariat général de fournir des informations complémentaires sur le Fonds avant toute décision finale.</w:t>
      </w:r>
    </w:p>
    <w:p w14:paraId="19F1AF12" w14:textId="77777777" w:rsidR="00B235AB" w:rsidRPr="00492055" w:rsidRDefault="00B235AB" w:rsidP="00E150F3">
      <w:pPr>
        <w:pStyle w:val="Paragraphe"/>
        <w:ind w:left="426"/>
      </w:pPr>
      <w:r w:rsidRPr="00492055">
        <w:t>Depuis mai 2025, le Secrétariat a partagé avec les États membres les informations additionnelles requises afin de faciliter la prise de décision (cf. annexe 1). À ce jour, aucune décision formelle n’a encore été prise, ce qui crée des difficultés pour le Secrétariat général à poursuivre ses échanges et à maintenir la relation avec ce partenaire potentiel.</w:t>
      </w:r>
    </w:p>
    <w:p w14:paraId="4061F109" w14:textId="3D0247C8" w:rsidR="00B235AB" w:rsidRPr="00492055" w:rsidRDefault="00B235AB" w:rsidP="00E150F3">
      <w:pPr>
        <w:pStyle w:val="Paragraphe"/>
        <w:ind w:left="426"/>
      </w:pPr>
      <w:r w:rsidRPr="00492055">
        <w:t xml:space="preserve">Entretemps, en juin 2025, la COI, sur invitation officielle du Fonds de l’OPEP pour le développement international a participé à une rencontre des partenaires et bénéficiaires tenue à Vienne. L’événement a réuni le ministre des Affaires étrangères de Maurice, intervenant lors d’un panel de haut niveau aux côtés de ministres et d’ambassadeurs d’États insulaires des Caraïbes et du Pacifique, illustrant la reconnaissance croissante de la COI dans les cercles internationaux de coopération au développement. A noter que </w:t>
      </w:r>
      <w:r w:rsidR="003A5A17" w:rsidRPr="00492055">
        <w:t>l</w:t>
      </w:r>
      <w:r w:rsidRPr="00492055">
        <w:t>es autres ministres et hauts représentants des États membres de la COI avaient également été invités à cet événement.</w:t>
      </w:r>
    </w:p>
    <w:p w14:paraId="421E19FE" w14:textId="2D86001B" w:rsidR="00B235AB" w:rsidRPr="00492055" w:rsidRDefault="00B235AB" w:rsidP="00E150F3">
      <w:pPr>
        <w:pStyle w:val="Paragraphe"/>
        <w:ind w:left="426"/>
      </w:pPr>
      <w:r w:rsidRPr="00492055">
        <w:t xml:space="preserve">Cette participation a permis de renforcer la visibilité de la COI et de ses États membres, tout en ouvrant la voie à un dialogue renforcé avec </w:t>
      </w:r>
      <w:r w:rsidR="009634C0" w:rsidRPr="00492055">
        <w:t>l’OFI</w:t>
      </w:r>
      <w:r w:rsidR="00492055" w:rsidRPr="00492055">
        <w:t>D</w:t>
      </w:r>
      <w:r w:rsidR="009634C0" w:rsidRPr="00492055">
        <w:t xml:space="preserve"> </w:t>
      </w:r>
      <w:r w:rsidRPr="00492055">
        <w:t>autour des priorités communes en matière de financement climatique, d’adaptation et de développement durable.</w:t>
      </w:r>
    </w:p>
    <w:p w14:paraId="4263620D" w14:textId="77777777" w:rsidR="00127E16" w:rsidRPr="00492055" w:rsidRDefault="00127E16" w:rsidP="00FA6E0E">
      <w:pPr>
        <w:pStyle w:val="Sous-partie2"/>
        <w:numPr>
          <w:ilvl w:val="0"/>
          <w:numId w:val="0"/>
        </w:numPr>
        <w:spacing w:after="120" w:line="276" w:lineRule="auto"/>
        <w:ind w:left="1080"/>
        <w:contextualSpacing w:val="0"/>
        <w:rPr>
          <w:color w:val="auto"/>
        </w:rPr>
      </w:pPr>
    </w:p>
    <w:p w14:paraId="2F7F5914" w14:textId="608AD6BB" w:rsidR="00955BB3" w:rsidRDefault="00955BB3" w:rsidP="00FA6E0E">
      <w:pPr>
        <w:pStyle w:val="Titrepartie"/>
        <w:spacing w:after="120" w:line="276" w:lineRule="auto"/>
        <w:contextualSpacing w:val="0"/>
      </w:pPr>
      <w:r w:rsidRPr="00492055">
        <w:t>Proposition de décision</w:t>
      </w:r>
    </w:p>
    <w:p w14:paraId="5DBB4FDF" w14:textId="77777777" w:rsidR="00F50F33" w:rsidRPr="00492055" w:rsidRDefault="00F50F33" w:rsidP="00F50F33">
      <w:pPr>
        <w:pStyle w:val="Paragraphe"/>
        <w:spacing w:after="120" w:line="276" w:lineRule="auto"/>
        <w:ind w:left="426"/>
      </w:pPr>
      <w:r w:rsidRPr="00492055">
        <w:t>Le Comité des OPL :</w:t>
      </w:r>
    </w:p>
    <w:p w14:paraId="75F3F3F4" w14:textId="77777777" w:rsidR="00F50F33" w:rsidRPr="00492055" w:rsidRDefault="00F50F33" w:rsidP="00E150F3">
      <w:pPr>
        <w:pStyle w:val="Paragraphe"/>
        <w:numPr>
          <w:ilvl w:val="0"/>
          <w:numId w:val="6"/>
        </w:numPr>
        <w:spacing w:after="120" w:line="276" w:lineRule="auto"/>
        <w:ind w:left="993" w:hanging="567"/>
      </w:pPr>
      <w:r w:rsidRPr="00492055">
        <w:t>Prend note des informations fournies par le Secretariat sur les avancés et défis sur l’opérationnalisation de l’accord cadre avec le Fonds vert pour le climat et demande au Secrétaire général de :</w:t>
      </w:r>
    </w:p>
    <w:p w14:paraId="2AE2BE98" w14:textId="77777777" w:rsidR="00F50F33" w:rsidRPr="00492055" w:rsidRDefault="00F50F33" w:rsidP="00E150F3">
      <w:pPr>
        <w:pStyle w:val="Paragraphe"/>
        <w:numPr>
          <w:ilvl w:val="0"/>
          <w:numId w:val="11"/>
        </w:numPr>
        <w:spacing w:after="120" w:line="276" w:lineRule="auto"/>
        <w:ind w:left="1276" w:hanging="283"/>
      </w:pPr>
      <w:r w:rsidRPr="00492055">
        <w:t xml:space="preserve">Entreprendre les mesures nécessaires pour finaliser l’opinion légale en vue de se conformer au dispositif de l’accord-cadre avec le Fonds vert pour le climat </w:t>
      </w:r>
    </w:p>
    <w:p w14:paraId="57B696DF" w14:textId="77777777" w:rsidR="00F50F33" w:rsidRPr="00492055" w:rsidRDefault="00F50F33" w:rsidP="00E150F3">
      <w:pPr>
        <w:pStyle w:val="Paragraphe"/>
        <w:numPr>
          <w:ilvl w:val="0"/>
          <w:numId w:val="11"/>
        </w:numPr>
        <w:spacing w:after="120" w:line="276" w:lineRule="auto"/>
        <w:ind w:left="1276" w:hanging="283"/>
      </w:pPr>
      <w:r w:rsidRPr="00492055">
        <w:t>Confirmer la nécessité et, le cas échéant définir les attributions, d’un juriste / conseil légal au sein du Secrétariat général à travers les ressources du programme HORIZON 2030 ;</w:t>
      </w:r>
    </w:p>
    <w:p w14:paraId="12C6D80F" w14:textId="77777777" w:rsidR="00F50F33" w:rsidRPr="00492055" w:rsidRDefault="00F50F33" w:rsidP="00E150F3">
      <w:pPr>
        <w:pStyle w:val="Paragraphe"/>
        <w:numPr>
          <w:ilvl w:val="0"/>
          <w:numId w:val="11"/>
        </w:numPr>
        <w:spacing w:after="120" w:line="276" w:lineRule="auto"/>
        <w:ind w:left="1276" w:hanging="283"/>
      </w:pPr>
      <w:r w:rsidRPr="00492055">
        <w:t xml:space="preserve">Veiller à une mise en œuvre efficace des projets « Readiness » et explorer l’opportunité de mobiliser un autre « Readiness » dédié au montage de projet ; </w:t>
      </w:r>
    </w:p>
    <w:p w14:paraId="715B7244" w14:textId="77777777" w:rsidR="00F50F33" w:rsidRPr="00492055" w:rsidRDefault="00F50F33" w:rsidP="00E150F3">
      <w:pPr>
        <w:pStyle w:val="Paragraphe"/>
        <w:numPr>
          <w:ilvl w:val="0"/>
          <w:numId w:val="6"/>
        </w:numPr>
        <w:spacing w:after="120" w:line="276" w:lineRule="auto"/>
        <w:ind w:left="993" w:hanging="567"/>
      </w:pPr>
      <w:r w:rsidRPr="00492055">
        <w:t>Demande au Secrétariat général de finaliser la démarche d’accréditation auprès du Fonds d’adaptation en vue de conclure un accord-cadre avec ce Fonds en 2026.</w:t>
      </w:r>
    </w:p>
    <w:p w14:paraId="5C3B8B18" w14:textId="77777777" w:rsidR="00F50F33" w:rsidRPr="00492055" w:rsidRDefault="00F50F33" w:rsidP="00E150F3">
      <w:pPr>
        <w:pStyle w:val="Paragraphe"/>
        <w:numPr>
          <w:ilvl w:val="0"/>
          <w:numId w:val="6"/>
        </w:numPr>
        <w:spacing w:after="120" w:line="276" w:lineRule="auto"/>
        <w:ind w:left="993" w:hanging="567"/>
      </w:pPr>
      <w:r w:rsidRPr="00492055">
        <w:t xml:space="preserve">Demande au Secrétariat général de finaliser les échanges avec le Fonds de l’OPEP pour le développement international en vue la signature de l’accord de subvention et du protocole d’accord validé par les Etats membres. </w:t>
      </w:r>
    </w:p>
    <w:p w14:paraId="51A537A0" w14:textId="77777777" w:rsidR="007D07D4" w:rsidRPr="00492055" w:rsidRDefault="007D07D4" w:rsidP="00463584">
      <w:pPr>
        <w:pStyle w:val="Titrepartie"/>
        <w:numPr>
          <w:ilvl w:val="0"/>
          <w:numId w:val="0"/>
        </w:numPr>
        <w:spacing w:after="120" w:line="276" w:lineRule="auto"/>
        <w:ind w:left="720" w:hanging="360"/>
        <w:contextualSpacing w:val="0"/>
      </w:pPr>
    </w:p>
    <w:p w14:paraId="7EAEB404" w14:textId="72ACB4A7" w:rsidR="00955BB3" w:rsidRPr="00492055" w:rsidRDefault="00955BB3" w:rsidP="00A23C1D">
      <w:pPr>
        <w:pStyle w:val="Titrepartie"/>
        <w:spacing w:after="120" w:line="276" w:lineRule="auto"/>
        <w:contextualSpacing w:val="0"/>
      </w:pPr>
      <w:r w:rsidRPr="00492055">
        <w:t>Rappel des décisions antérieures</w:t>
      </w:r>
    </w:p>
    <w:bookmarkEnd w:id="0"/>
    <w:p w14:paraId="5F23F51E" w14:textId="3CC679F0" w:rsidR="00502F9D" w:rsidRDefault="00502F9D" w:rsidP="00E150F3">
      <w:pPr>
        <w:pStyle w:val="Exergue"/>
        <w:spacing w:after="120" w:line="276" w:lineRule="auto"/>
        <w:ind w:left="284"/>
      </w:pPr>
      <w:r w:rsidRPr="00492055">
        <w:t>Cf. Décision du COPL</w:t>
      </w:r>
      <w:r w:rsidR="008B0875" w:rsidRPr="00492055">
        <w:t>1</w:t>
      </w:r>
      <w:r w:rsidRPr="00492055">
        <w:t>/202</w:t>
      </w:r>
      <w:r w:rsidR="008B0875" w:rsidRPr="00492055">
        <w:t>5</w:t>
      </w:r>
    </w:p>
    <w:p w14:paraId="73E6876C" w14:textId="77777777" w:rsidR="00463584" w:rsidRPr="00492055" w:rsidRDefault="00463584" w:rsidP="00E150F3">
      <w:pPr>
        <w:pStyle w:val="Paragraphe"/>
        <w:spacing w:after="120" w:line="276" w:lineRule="auto"/>
        <w:ind w:left="284"/>
      </w:pPr>
      <w:r w:rsidRPr="00492055">
        <w:t>Le Comité des OPL :</w:t>
      </w:r>
    </w:p>
    <w:p w14:paraId="6DE62DFF" w14:textId="63DD2FA4" w:rsidR="00463584" w:rsidRPr="00492055" w:rsidRDefault="00463584" w:rsidP="00E150F3">
      <w:pPr>
        <w:pStyle w:val="Paragraphe"/>
        <w:numPr>
          <w:ilvl w:val="0"/>
          <w:numId w:val="19"/>
        </w:numPr>
        <w:spacing w:after="120" w:line="276" w:lineRule="auto"/>
      </w:pPr>
      <w:r>
        <w:lastRenderedPageBreak/>
        <w:t xml:space="preserve">Félicite le Secretariat général pour les progrès réalisés en matière d’accès aux financement climatique, notamment son accréditation auprès du Fonds vert pour le climat et demande aux Secrétariat général : </w:t>
      </w:r>
    </w:p>
    <w:p w14:paraId="327F81E7" w14:textId="2F5D2DEB" w:rsidR="00463584" w:rsidRPr="00492055" w:rsidRDefault="00463584" w:rsidP="00BA0934">
      <w:pPr>
        <w:pStyle w:val="Paragraphe"/>
        <w:numPr>
          <w:ilvl w:val="0"/>
          <w:numId w:val="20"/>
        </w:numPr>
        <w:spacing w:after="120" w:line="276" w:lineRule="auto"/>
      </w:pPr>
      <w:r>
        <w:t xml:space="preserve">De procéder à la signature de l’accord -cadre avec le Fonds vert pour le climat dans un meilleurs délais </w:t>
      </w:r>
    </w:p>
    <w:p w14:paraId="60A754E8" w14:textId="3F30189F" w:rsidR="00463584" w:rsidRPr="00492055" w:rsidRDefault="00463584" w:rsidP="00BA0934">
      <w:pPr>
        <w:pStyle w:val="Paragraphe"/>
        <w:numPr>
          <w:ilvl w:val="0"/>
          <w:numId w:val="20"/>
        </w:numPr>
        <w:spacing w:after="120" w:line="276" w:lineRule="auto"/>
      </w:pPr>
      <w:r>
        <w:t>D’accélérer la démarche pour développer les projets régionaux en concertation avec les pays</w:t>
      </w:r>
      <w:r w:rsidRPr="00492055">
        <w:t> ;</w:t>
      </w:r>
    </w:p>
    <w:p w14:paraId="0E7127E5" w14:textId="77777777" w:rsidR="00463584" w:rsidRPr="00492055" w:rsidRDefault="00463584" w:rsidP="00BA0934">
      <w:pPr>
        <w:pStyle w:val="Paragraphe"/>
        <w:numPr>
          <w:ilvl w:val="0"/>
          <w:numId w:val="20"/>
        </w:numPr>
        <w:spacing w:after="120" w:line="276" w:lineRule="auto"/>
      </w:pPr>
      <w:r>
        <w:t>De veiller à une mise en œuvre efficace des projets « Readiness »</w:t>
      </w:r>
      <w:r w:rsidRPr="00492055">
        <w:t xml:space="preserve">  </w:t>
      </w:r>
    </w:p>
    <w:p w14:paraId="261426FA" w14:textId="6ECFD445" w:rsidR="00463584" w:rsidRPr="00492055" w:rsidRDefault="00463584" w:rsidP="00BA0934">
      <w:pPr>
        <w:pStyle w:val="Paragraphe"/>
        <w:numPr>
          <w:ilvl w:val="0"/>
          <w:numId w:val="19"/>
        </w:numPr>
        <w:spacing w:after="120" w:line="276" w:lineRule="auto"/>
      </w:pPr>
      <w:r>
        <w:t>Réitère sa demande au Secretariat général de poursuivre sa demande d’accréditation auprès du Fonds d’adaptation en vue de l’établissement d’un accord cadre ;</w:t>
      </w:r>
    </w:p>
    <w:p w14:paraId="6E2813CB" w14:textId="77777777" w:rsidR="00463584" w:rsidRPr="00463584" w:rsidRDefault="00463584" w:rsidP="00BA0934">
      <w:pPr>
        <w:pStyle w:val="Paragraphe"/>
        <w:numPr>
          <w:ilvl w:val="0"/>
          <w:numId w:val="19"/>
        </w:numPr>
        <w:spacing w:after="120" w:line="276" w:lineRule="auto"/>
      </w:pPr>
      <w:r w:rsidRPr="00492055">
        <w:t xml:space="preserve">Demande au Secrétariat général de </w:t>
      </w:r>
      <w:r>
        <w:t xml:space="preserve">continuer les échanges avec le Fonds OPEP, en concertation avec les Etats membres, sur les termes du </w:t>
      </w:r>
      <w:proofErr w:type="spellStart"/>
      <w:r>
        <w:t>MoU</w:t>
      </w:r>
      <w:proofErr w:type="spellEnd"/>
      <w:r>
        <w:t xml:space="preserve"> proposé et de l’accord de subvention avant fin mai 2025. </w:t>
      </w:r>
    </w:p>
    <w:p w14:paraId="51ACF958" w14:textId="77777777" w:rsidR="00463584" w:rsidRDefault="00463584" w:rsidP="00A23C1D">
      <w:pPr>
        <w:pStyle w:val="Exergue"/>
        <w:spacing w:after="120" w:line="276" w:lineRule="auto"/>
        <w:rPr>
          <w:i w:val="0"/>
          <w:iCs/>
        </w:rPr>
      </w:pPr>
    </w:p>
    <w:p w14:paraId="1976A4AA" w14:textId="20A82400" w:rsidR="00497ADC" w:rsidRDefault="00497ADC" w:rsidP="00497ADC">
      <w:pPr>
        <w:pStyle w:val="Titrepartie"/>
      </w:pPr>
      <w:r>
        <w:t xml:space="preserve">Annexes : </w:t>
      </w:r>
    </w:p>
    <w:p w14:paraId="73DDC561" w14:textId="77777777" w:rsidR="00497ADC" w:rsidRDefault="00497ADC" w:rsidP="00497ADC">
      <w:pPr>
        <w:pStyle w:val="Titrepartie"/>
        <w:numPr>
          <w:ilvl w:val="0"/>
          <w:numId w:val="0"/>
        </w:numPr>
        <w:ind w:left="720"/>
      </w:pPr>
    </w:p>
    <w:p w14:paraId="35116052" w14:textId="1A6FF861" w:rsidR="00497ADC" w:rsidRPr="00497ADC" w:rsidRDefault="00497ADC" w:rsidP="00497ADC">
      <w:pPr>
        <w:pStyle w:val="Titrepartie"/>
        <w:numPr>
          <w:ilvl w:val="0"/>
          <w:numId w:val="0"/>
        </w:numPr>
        <w:ind w:left="720"/>
        <w:rPr>
          <w:b w:val="0"/>
          <w:bCs w:val="0"/>
          <w:sz w:val="20"/>
        </w:rPr>
      </w:pPr>
      <w:r w:rsidRPr="00497ADC">
        <w:rPr>
          <w:b w:val="0"/>
          <w:bCs w:val="0"/>
          <w:sz w:val="20"/>
        </w:rPr>
        <w:t>Annexe</w:t>
      </w:r>
      <w:r w:rsidR="00E150F3">
        <w:rPr>
          <w:b w:val="0"/>
          <w:bCs w:val="0"/>
          <w:sz w:val="20"/>
        </w:rPr>
        <w:t xml:space="preserve"> </w:t>
      </w:r>
      <w:r w:rsidRPr="00497ADC">
        <w:rPr>
          <w:b w:val="0"/>
          <w:bCs w:val="0"/>
          <w:sz w:val="20"/>
        </w:rPr>
        <w:t xml:space="preserve">1 : </w:t>
      </w:r>
      <w:r w:rsidR="00E51BA8">
        <w:rPr>
          <w:b w:val="0"/>
          <w:bCs w:val="0"/>
          <w:sz w:val="20"/>
        </w:rPr>
        <w:t xml:space="preserve">Fond OPEP pour le développement </w:t>
      </w:r>
    </w:p>
    <w:sectPr w:rsidR="00497ADC" w:rsidRPr="00497ADC"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4CB2" w14:textId="77777777" w:rsidR="00A92E2D" w:rsidRDefault="00A92E2D">
      <w:pPr>
        <w:spacing w:after="0" w:line="240" w:lineRule="auto"/>
      </w:pPr>
      <w:r>
        <w:separator/>
      </w:r>
    </w:p>
  </w:endnote>
  <w:endnote w:type="continuationSeparator" w:id="0">
    <w:p w14:paraId="065BAC1B" w14:textId="77777777" w:rsidR="00A92E2D" w:rsidRDefault="00A9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6329" w14:textId="77777777" w:rsidR="00A92E2D" w:rsidRDefault="00A92E2D">
      <w:pPr>
        <w:spacing w:after="0" w:line="240" w:lineRule="auto"/>
      </w:pPr>
      <w:r>
        <w:separator/>
      </w:r>
    </w:p>
  </w:footnote>
  <w:footnote w:type="continuationSeparator" w:id="0">
    <w:p w14:paraId="6C7FB96C" w14:textId="77777777" w:rsidR="00A92E2D" w:rsidRDefault="00A92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5E62679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3604B9" w:rsidRPr="007E7145">
      <w:rPr>
        <w:rFonts w:ascii="Verdana" w:hAnsi="Verdana"/>
        <w:b/>
        <w:bCs/>
        <w:sz w:val="20"/>
        <w:szCs w:val="20"/>
      </w:rPr>
      <w:t xml:space="preserve">. </w:t>
    </w:r>
    <w:r w:rsidR="00A91E87" w:rsidRPr="007E7145">
      <w:rPr>
        <w:rFonts w:ascii="Verdana" w:hAnsi="Verdana"/>
        <w:b/>
        <w:bCs/>
        <w:sz w:val="20"/>
        <w:szCs w:val="20"/>
      </w:rPr>
      <w:t>2.</w:t>
    </w:r>
    <w:r w:rsidR="00345085" w:rsidRPr="007E7145">
      <w:rPr>
        <w:rFonts w:ascii="Verdana" w:hAnsi="Verdana"/>
        <w:b/>
        <w:bCs/>
        <w:sz w:val="20"/>
        <w:szCs w:val="20"/>
      </w:rPr>
      <w:t>1</w:t>
    </w:r>
    <w:r w:rsidR="00345085">
      <w:rPr>
        <w:rFonts w:ascii="Verdana" w:hAnsi="Verdana"/>
        <w:b/>
        <w:bCs/>
        <w:sz w:val="20"/>
        <w:szCs w:val="20"/>
      </w:rPr>
      <w:t>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FB71AB"/>
    <w:multiLevelType w:val="hybridMultilevel"/>
    <w:tmpl w:val="B4A0FC4A"/>
    <w:lvl w:ilvl="0" w:tplc="20000001">
      <w:start w:val="1"/>
      <w:numFmt w:val="bullet"/>
      <w:lvlText w:val=""/>
      <w:lvlJc w:val="left"/>
      <w:pPr>
        <w:ind w:left="1506" w:hanging="360"/>
      </w:pPr>
      <w:rPr>
        <w:rFonts w:ascii="Symbol" w:hAnsi="Symbol" w:hint="default"/>
      </w:rPr>
    </w:lvl>
    <w:lvl w:ilvl="1" w:tplc="20000003" w:tentative="1">
      <w:start w:val="1"/>
      <w:numFmt w:val="bullet"/>
      <w:lvlText w:val="o"/>
      <w:lvlJc w:val="left"/>
      <w:pPr>
        <w:ind w:left="2226" w:hanging="360"/>
      </w:pPr>
      <w:rPr>
        <w:rFonts w:ascii="Courier New" w:hAnsi="Courier New" w:cs="Courier New" w:hint="default"/>
      </w:rPr>
    </w:lvl>
    <w:lvl w:ilvl="2" w:tplc="20000005" w:tentative="1">
      <w:start w:val="1"/>
      <w:numFmt w:val="bullet"/>
      <w:lvlText w:val=""/>
      <w:lvlJc w:val="left"/>
      <w:pPr>
        <w:ind w:left="2946" w:hanging="360"/>
      </w:pPr>
      <w:rPr>
        <w:rFonts w:ascii="Wingdings" w:hAnsi="Wingdings" w:hint="default"/>
      </w:rPr>
    </w:lvl>
    <w:lvl w:ilvl="3" w:tplc="20000001" w:tentative="1">
      <w:start w:val="1"/>
      <w:numFmt w:val="bullet"/>
      <w:lvlText w:val=""/>
      <w:lvlJc w:val="left"/>
      <w:pPr>
        <w:ind w:left="3666" w:hanging="360"/>
      </w:pPr>
      <w:rPr>
        <w:rFonts w:ascii="Symbol" w:hAnsi="Symbol" w:hint="default"/>
      </w:rPr>
    </w:lvl>
    <w:lvl w:ilvl="4" w:tplc="20000003" w:tentative="1">
      <w:start w:val="1"/>
      <w:numFmt w:val="bullet"/>
      <w:lvlText w:val="o"/>
      <w:lvlJc w:val="left"/>
      <w:pPr>
        <w:ind w:left="4386" w:hanging="360"/>
      </w:pPr>
      <w:rPr>
        <w:rFonts w:ascii="Courier New" w:hAnsi="Courier New" w:cs="Courier New" w:hint="default"/>
      </w:rPr>
    </w:lvl>
    <w:lvl w:ilvl="5" w:tplc="20000005" w:tentative="1">
      <w:start w:val="1"/>
      <w:numFmt w:val="bullet"/>
      <w:lvlText w:val=""/>
      <w:lvlJc w:val="left"/>
      <w:pPr>
        <w:ind w:left="5106" w:hanging="360"/>
      </w:pPr>
      <w:rPr>
        <w:rFonts w:ascii="Wingdings" w:hAnsi="Wingdings" w:hint="default"/>
      </w:rPr>
    </w:lvl>
    <w:lvl w:ilvl="6" w:tplc="20000001" w:tentative="1">
      <w:start w:val="1"/>
      <w:numFmt w:val="bullet"/>
      <w:lvlText w:val=""/>
      <w:lvlJc w:val="left"/>
      <w:pPr>
        <w:ind w:left="5826" w:hanging="360"/>
      </w:pPr>
      <w:rPr>
        <w:rFonts w:ascii="Symbol" w:hAnsi="Symbol" w:hint="default"/>
      </w:rPr>
    </w:lvl>
    <w:lvl w:ilvl="7" w:tplc="20000003" w:tentative="1">
      <w:start w:val="1"/>
      <w:numFmt w:val="bullet"/>
      <w:lvlText w:val="o"/>
      <w:lvlJc w:val="left"/>
      <w:pPr>
        <w:ind w:left="6546" w:hanging="360"/>
      </w:pPr>
      <w:rPr>
        <w:rFonts w:ascii="Courier New" w:hAnsi="Courier New" w:cs="Courier New" w:hint="default"/>
      </w:rPr>
    </w:lvl>
    <w:lvl w:ilvl="8" w:tplc="20000005" w:tentative="1">
      <w:start w:val="1"/>
      <w:numFmt w:val="bullet"/>
      <w:lvlText w:val=""/>
      <w:lvlJc w:val="left"/>
      <w:pPr>
        <w:ind w:left="7266"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A63BF7"/>
    <w:multiLevelType w:val="multilevel"/>
    <w:tmpl w:val="610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24C2A"/>
    <w:multiLevelType w:val="hybridMultilevel"/>
    <w:tmpl w:val="6A9EAEE6"/>
    <w:lvl w:ilvl="0" w:tplc="245681A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D320AD"/>
    <w:multiLevelType w:val="multilevel"/>
    <w:tmpl w:val="948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01C3D"/>
    <w:multiLevelType w:val="hybridMultilevel"/>
    <w:tmpl w:val="D122A812"/>
    <w:lvl w:ilvl="0" w:tplc="613A84C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3573348D"/>
    <w:multiLevelType w:val="hybridMultilevel"/>
    <w:tmpl w:val="FA2AA9C4"/>
    <w:lvl w:ilvl="0" w:tplc="25F6A12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FA55FA5"/>
    <w:multiLevelType w:val="hybridMultilevel"/>
    <w:tmpl w:val="8100461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FC1FF9"/>
    <w:multiLevelType w:val="hybridMultilevel"/>
    <w:tmpl w:val="3294ACF6"/>
    <w:lvl w:ilvl="0" w:tplc="5EFC5084">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6" w15:restartNumberingAfterBreak="0">
    <w:nsid w:val="76AF572F"/>
    <w:multiLevelType w:val="hybridMultilevel"/>
    <w:tmpl w:val="5F0E198C"/>
    <w:lvl w:ilvl="0" w:tplc="E4229832">
      <w:numFmt w:val="bullet"/>
      <w:lvlText w:val="-"/>
      <w:lvlJc w:val="left"/>
      <w:pPr>
        <w:ind w:left="786" w:hanging="360"/>
      </w:pPr>
      <w:rPr>
        <w:rFonts w:ascii="Verdana" w:eastAsiaTheme="minorHAnsi" w:hAnsi="Verdana"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887497176">
    <w:abstractNumId w:val="7"/>
  </w:num>
  <w:num w:numId="2" w16cid:durableId="502934586">
    <w:abstractNumId w:val="14"/>
  </w:num>
  <w:num w:numId="3" w16cid:durableId="955869977">
    <w:abstractNumId w:val="3"/>
  </w:num>
  <w:num w:numId="4" w16cid:durableId="1672414265">
    <w:abstractNumId w:val="0"/>
  </w:num>
  <w:num w:numId="5" w16cid:durableId="1831022427">
    <w:abstractNumId w:val="13"/>
  </w:num>
  <w:num w:numId="6" w16cid:durableId="816920811">
    <w:abstractNumId w:val="5"/>
  </w:num>
  <w:num w:numId="7" w16cid:durableId="1114520497">
    <w:abstractNumId w:val="8"/>
  </w:num>
  <w:num w:numId="8" w16cid:durableId="990870132">
    <w:abstractNumId w:val="3"/>
    <w:lvlOverride w:ilvl="0">
      <w:startOverride w:val="1"/>
    </w:lvlOverride>
  </w:num>
  <w:num w:numId="9" w16cid:durableId="335769744">
    <w:abstractNumId w:val="2"/>
  </w:num>
  <w:num w:numId="10" w16cid:durableId="1144349287">
    <w:abstractNumId w:val="9"/>
  </w:num>
  <w:num w:numId="11" w16cid:durableId="1153983578">
    <w:abstractNumId w:val="11"/>
  </w:num>
  <w:num w:numId="12" w16cid:durableId="732630393">
    <w:abstractNumId w:val="6"/>
  </w:num>
  <w:num w:numId="13" w16cid:durableId="1659000588">
    <w:abstractNumId w:val="4"/>
  </w:num>
  <w:num w:numId="14" w16cid:durableId="1426802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570042">
    <w:abstractNumId w:val="16"/>
  </w:num>
  <w:num w:numId="16" w16cid:durableId="2022507163">
    <w:abstractNumId w:val="15"/>
  </w:num>
  <w:num w:numId="17" w16cid:durableId="742989462">
    <w:abstractNumId w:val="1"/>
  </w:num>
  <w:num w:numId="18" w16cid:durableId="323778316">
    <w:abstractNumId w:val="3"/>
    <w:lvlOverride w:ilvl="0">
      <w:startOverride w:val="2"/>
    </w:lvlOverride>
    <w:lvlOverride w:ilvl="1">
      <w:startOverride w:val="1"/>
    </w:lvlOverride>
    <w:lvlOverride w:ilvl="2">
      <w:startOverride w:val="2"/>
    </w:lvlOverride>
  </w:num>
  <w:num w:numId="19" w16cid:durableId="952790288">
    <w:abstractNumId w:val="12"/>
  </w:num>
  <w:num w:numId="20" w16cid:durableId="1175725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7F34"/>
    <w:rsid w:val="00010806"/>
    <w:rsid w:val="000206D5"/>
    <w:rsid w:val="0003262C"/>
    <w:rsid w:val="000373B2"/>
    <w:rsid w:val="0004017E"/>
    <w:rsid w:val="00042CF5"/>
    <w:rsid w:val="00045872"/>
    <w:rsid w:val="00051570"/>
    <w:rsid w:val="0005310E"/>
    <w:rsid w:val="00060CA0"/>
    <w:rsid w:val="0006156A"/>
    <w:rsid w:val="00063A26"/>
    <w:rsid w:val="000814C6"/>
    <w:rsid w:val="0008468B"/>
    <w:rsid w:val="00087010"/>
    <w:rsid w:val="00095396"/>
    <w:rsid w:val="000A468A"/>
    <w:rsid w:val="000A657D"/>
    <w:rsid w:val="000B0FBD"/>
    <w:rsid w:val="000B632D"/>
    <w:rsid w:val="000D306D"/>
    <w:rsid w:val="000D318C"/>
    <w:rsid w:val="000D6680"/>
    <w:rsid w:val="000D7088"/>
    <w:rsid w:val="000D74C3"/>
    <w:rsid w:val="000E09AA"/>
    <w:rsid w:val="000E1207"/>
    <w:rsid w:val="000E5655"/>
    <w:rsid w:val="000F4728"/>
    <w:rsid w:val="0010244F"/>
    <w:rsid w:val="001031E4"/>
    <w:rsid w:val="00104CA2"/>
    <w:rsid w:val="001063DE"/>
    <w:rsid w:val="00107D9D"/>
    <w:rsid w:val="0011405F"/>
    <w:rsid w:val="00114E7A"/>
    <w:rsid w:val="00121044"/>
    <w:rsid w:val="00124C5E"/>
    <w:rsid w:val="00127E16"/>
    <w:rsid w:val="001306C6"/>
    <w:rsid w:val="001427CF"/>
    <w:rsid w:val="00145AD0"/>
    <w:rsid w:val="001502FE"/>
    <w:rsid w:val="001555BA"/>
    <w:rsid w:val="001566F5"/>
    <w:rsid w:val="00160E63"/>
    <w:rsid w:val="0017441B"/>
    <w:rsid w:val="0018252D"/>
    <w:rsid w:val="00195698"/>
    <w:rsid w:val="001A56F1"/>
    <w:rsid w:val="001B2D4B"/>
    <w:rsid w:val="001B33C5"/>
    <w:rsid w:val="001B4738"/>
    <w:rsid w:val="001B5FDA"/>
    <w:rsid w:val="001B6359"/>
    <w:rsid w:val="001C1771"/>
    <w:rsid w:val="001C49AC"/>
    <w:rsid w:val="001C58CB"/>
    <w:rsid w:val="001D1DCA"/>
    <w:rsid w:val="001E130C"/>
    <w:rsid w:val="001F063B"/>
    <w:rsid w:val="001F5C79"/>
    <w:rsid w:val="00200A34"/>
    <w:rsid w:val="00202654"/>
    <w:rsid w:val="00216DCD"/>
    <w:rsid w:val="00230544"/>
    <w:rsid w:val="00230866"/>
    <w:rsid w:val="00234F97"/>
    <w:rsid w:val="0023760C"/>
    <w:rsid w:val="00252FDC"/>
    <w:rsid w:val="00256842"/>
    <w:rsid w:val="00260AEE"/>
    <w:rsid w:val="0027057E"/>
    <w:rsid w:val="00270882"/>
    <w:rsid w:val="002718CB"/>
    <w:rsid w:val="00271C09"/>
    <w:rsid w:val="0027458A"/>
    <w:rsid w:val="002842D2"/>
    <w:rsid w:val="002871E7"/>
    <w:rsid w:val="002937CA"/>
    <w:rsid w:val="002A0933"/>
    <w:rsid w:val="002A096E"/>
    <w:rsid w:val="002B2A48"/>
    <w:rsid w:val="002C1B68"/>
    <w:rsid w:val="002C56ED"/>
    <w:rsid w:val="002E269D"/>
    <w:rsid w:val="002F2CCC"/>
    <w:rsid w:val="0030388F"/>
    <w:rsid w:val="00303CB0"/>
    <w:rsid w:val="00311A1B"/>
    <w:rsid w:val="00313D3E"/>
    <w:rsid w:val="00320618"/>
    <w:rsid w:val="00331FA1"/>
    <w:rsid w:val="003331AB"/>
    <w:rsid w:val="00335602"/>
    <w:rsid w:val="003428FD"/>
    <w:rsid w:val="00345085"/>
    <w:rsid w:val="00345119"/>
    <w:rsid w:val="003471A1"/>
    <w:rsid w:val="003604B9"/>
    <w:rsid w:val="00363E3B"/>
    <w:rsid w:val="00365279"/>
    <w:rsid w:val="00374AE0"/>
    <w:rsid w:val="0037584C"/>
    <w:rsid w:val="003772FB"/>
    <w:rsid w:val="0038134C"/>
    <w:rsid w:val="00391152"/>
    <w:rsid w:val="00394806"/>
    <w:rsid w:val="003A5A17"/>
    <w:rsid w:val="003A7981"/>
    <w:rsid w:val="003B2CD5"/>
    <w:rsid w:val="003C2538"/>
    <w:rsid w:val="003D36D6"/>
    <w:rsid w:val="003D485F"/>
    <w:rsid w:val="003D490D"/>
    <w:rsid w:val="003D5328"/>
    <w:rsid w:val="003E7835"/>
    <w:rsid w:val="003F2AC4"/>
    <w:rsid w:val="003F2B22"/>
    <w:rsid w:val="003F3454"/>
    <w:rsid w:val="00405792"/>
    <w:rsid w:val="00411455"/>
    <w:rsid w:val="0041278C"/>
    <w:rsid w:val="00415279"/>
    <w:rsid w:val="004156C7"/>
    <w:rsid w:val="00416301"/>
    <w:rsid w:val="00417683"/>
    <w:rsid w:val="00422B21"/>
    <w:rsid w:val="00426673"/>
    <w:rsid w:val="00430338"/>
    <w:rsid w:val="004321F1"/>
    <w:rsid w:val="00434868"/>
    <w:rsid w:val="00436535"/>
    <w:rsid w:val="004368A7"/>
    <w:rsid w:val="00442F4C"/>
    <w:rsid w:val="00445970"/>
    <w:rsid w:val="004607F7"/>
    <w:rsid w:val="00463584"/>
    <w:rsid w:val="00464ADF"/>
    <w:rsid w:val="004659FA"/>
    <w:rsid w:val="0046716F"/>
    <w:rsid w:val="004678C8"/>
    <w:rsid w:val="00477300"/>
    <w:rsid w:val="00481EEB"/>
    <w:rsid w:val="00492055"/>
    <w:rsid w:val="00497ADC"/>
    <w:rsid w:val="004B2013"/>
    <w:rsid w:val="004B3B13"/>
    <w:rsid w:val="004C11FF"/>
    <w:rsid w:val="004C294B"/>
    <w:rsid w:val="004C589D"/>
    <w:rsid w:val="004E358F"/>
    <w:rsid w:val="004E39F9"/>
    <w:rsid w:val="004F5C4B"/>
    <w:rsid w:val="00500B66"/>
    <w:rsid w:val="00501A6C"/>
    <w:rsid w:val="00502404"/>
    <w:rsid w:val="00502F9D"/>
    <w:rsid w:val="0050367D"/>
    <w:rsid w:val="005073AC"/>
    <w:rsid w:val="0052696D"/>
    <w:rsid w:val="0053773D"/>
    <w:rsid w:val="0054479C"/>
    <w:rsid w:val="00546025"/>
    <w:rsid w:val="00553025"/>
    <w:rsid w:val="00555171"/>
    <w:rsid w:val="00566B15"/>
    <w:rsid w:val="0057185B"/>
    <w:rsid w:val="00573562"/>
    <w:rsid w:val="0058481A"/>
    <w:rsid w:val="005963D4"/>
    <w:rsid w:val="005964CE"/>
    <w:rsid w:val="005A12B6"/>
    <w:rsid w:val="005B3C3E"/>
    <w:rsid w:val="005C07F8"/>
    <w:rsid w:val="005C175C"/>
    <w:rsid w:val="005D7C16"/>
    <w:rsid w:val="005E07DF"/>
    <w:rsid w:val="005E67DF"/>
    <w:rsid w:val="006146E0"/>
    <w:rsid w:val="00620B90"/>
    <w:rsid w:val="00621C35"/>
    <w:rsid w:val="006356AF"/>
    <w:rsid w:val="00643C69"/>
    <w:rsid w:val="00644AFA"/>
    <w:rsid w:val="0065156E"/>
    <w:rsid w:val="006548BF"/>
    <w:rsid w:val="00660504"/>
    <w:rsid w:val="00664D4D"/>
    <w:rsid w:val="00676FE5"/>
    <w:rsid w:val="006A5106"/>
    <w:rsid w:val="006B4108"/>
    <w:rsid w:val="006B6283"/>
    <w:rsid w:val="006C0D5D"/>
    <w:rsid w:val="006E2D70"/>
    <w:rsid w:val="006E2D9E"/>
    <w:rsid w:val="006F186C"/>
    <w:rsid w:val="00700448"/>
    <w:rsid w:val="00702C7B"/>
    <w:rsid w:val="007068D4"/>
    <w:rsid w:val="00713AFC"/>
    <w:rsid w:val="00726024"/>
    <w:rsid w:val="00737091"/>
    <w:rsid w:val="00737D47"/>
    <w:rsid w:val="00742C31"/>
    <w:rsid w:val="00744915"/>
    <w:rsid w:val="00745EE8"/>
    <w:rsid w:val="00751A90"/>
    <w:rsid w:val="0076647F"/>
    <w:rsid w:val="007721D1"/>
    <w:rsid w:val="007752BA"/>
    <w:rsid w:val="007A4581"/>
    <w:rsid w:val="007B245C"/>
    <w:rsid w:val="007B2555"/>
    <w:rsid w:val="007B348B"/>
    <w:rsid w:val="007C0E9B"/>
    <w:rsid w:val="007C19FB"/>
    <w:rsid w:val="007C2524"/>
    <w:rsid w:val="007C746D"/>
    <w:rsid w:val="007C78FC"/>
    <w:rsid w:val="007D07D4"/>
    <w:rsid w:val="007D4B6C"/>
    <w:rsid w:val="007D55A1"/>
    <w:rsid w:val="007D6F17"/>
    <w:rsid w:val="007E7145"/>
    <w:rsid w:val="007F448E"/>
    <w:rsid w:val="007F4AC4"/>
    <w:rsid w:val="008040DE"/>
    <w:rsid w:val="00804385"/>
    <w:rsid w:val="00805C3E"/>
    <w:rsid w:val="00810526"/>
    <w:rsid w:val="00816DAC"/>
    <w:rsid w:val="00820D47"/>
    <w:rsid w:val="00824F7E"/>
    <w:rsid w:val="00827C1A"/>
    <w:rsid w:val="0083290E"/>
    <w:rsid w:val="00843FF2"/>
    <w:rsid w:val="008453AB"/>
    <w:rsid w:val="00854EEA"/>
    <w:rsid w:val="008551DA"/>
    <w:rsid w:val="008560F4"/>
    <w:rsid w:val="0086015C"/>
    <w:rsid w:val="0086796F"/>
    <w:rsid w:val="00892642"/>
    <w:rsid w:val="008A5E47"/>
    <w:rsid w:val="008A695C"/>
    <w:rsid w:val="008B0875"/>
    <w:rsid w:val="008C7304"/>
    <w:rsid w:val="008D193F"/>
    <w:rsid w:val="008F173C"/>
    <w:rsid w:val="008F7000"/>
    <w:rsid w:val="00905699"/>
    <w:rsid w:val="009168E9"/>
    <w:rsid w:val="009175CC"/>
    <w:rsid w:val="00920CCE"/>
    <w:rsid w:val="00931280"/>
    <w:rsid w:val="0093558D"/>
    <w:rsid w:val="00941CB5"/>
    <w:rsid w:val="00955BB3"/>
    <w:rsid w:val="0095613F"/>
    <w:rsid w:val="009634C0"/>
    <w:rsid w:val="00964B24"/>
    <w:rsid w:val="00970AB4"/>
    <w:rsid w:val="009763AD"/>
    <w:rsid w:val="00977F86"/>
    <w:rsid w:val="00980EBA"/>
    <w:rsid w:val="00990230"/>
    <w:rsid w:val="00994E53"/>
    <w:rsid w:val="009A2C2D"/>
    <w:rsid w:val="009A34C6"/>
    <w:rsid w:val="009A38AD"/>
    <w:rsid w:val="009A4A0F"/>
    <w:rsid w:val="009A69E8"/>
    <w:rsid w:val="009D2468"/>
    <w:rsid w:val="009D25A6"/>
    <w:rsid w:val="009D6D6F"/>
    <w:rsid w:val="009E1A10"/>
    <w:rsid w:val="009E6447"/>
    <w:rsid w:val="009F0A84"/>
    <w:rsid w:val="00A03C78"/>
    <w:rsid w:val="00A07B7D"/>
    <w:rsid w:val="00A148A1"/>
    <w:rsid w:val="00A14A7D"/>
    <w:rsid w:val="00A23C1D"/>
    <w:rsid w:val="00A36C09"/>
    <w:rsid w:val="00A37C9F"/>
    <w:rsid w:val="00A44A56"/>
    <w:rsid w:val="00A70123"/>
    <w:rsid w:val="00A70279"/>
    <w:rsid w:val="00A71C66"/>
    <w:rsid w:val="00A72688"/>
    <w:rsid w:val="00A76B07"/>
    <w:rsid w:val="00A81B98"/>
    <w:rsid w:val="00A90305"/>
    <w:rsid w:val="00A91E87"/>
    <w:rsid w:val="00A92E2D"/>
    <w:rsid w:val="00A9341B"/>
    <w:rsid w:val="00A97C70"/>
    <w:rsid w:val="00AA2CA3"/>
    <w:rsid w:val="00AA63A3"/>
    <w:rsid w:val="00AB0C7F"/>
    <w:rsid w:val="00AB4BA1"/>
    <w:rsid w:val="00AB5EB7"/>
    <w:rsid w:val="00AC3E02"/>
    <w:rsid w:val="00AD03AD"/>
    <w:rsid w:val="00AD409D"/>
    <w:rsid w:val="00AD4D97"/>
    <w:rsid w:val="00AD6119"/>
    <w:rsid w:val="00AE022A"/>
    <w:rsid w:val="00AE1684"/>
    <w:rsid w:val="00AE2453"/>
    <w:rsid w:val="00B053B1"/>
    <w:rsid w:val="00B05DFC"/>
    <w:rsid w:val="00B07467"/>
    <w:rsid w:val="00B13C43"/>
    <w:rsid w:val="00B17734"/>
    <w:rsid w:val="00B20D14"/>
    <w:rsid w:val="00B22364"/>
    <w:rsid w:val="00B22EC6"/>
    <w:rsid w:val="00B235AB"/>
    <w:rsid w:val="00B247F4"/>
    <w:rsid w:val="00B304AF"/>
    <w:rsid w:val="00B36EEA"/>
    <w:rsid w:val="00B4034F"/>
    <w:rsid w:val="00B45860"/>
    <w:rsid w:val="00B7084F"/>
    <w:rsid w:val="00B7328E"/>
    <w:rsid w:val="00B76E3E"/>
    <w:rsid w:val="00B76E5B"/>
    <w:rsid w:val="00B802F3"/>
    <w:rsid w:val="00B861E9"/>
    <w:rsid w:val="00B86417"/>
    <w:rsid w:val="00B86C9F"/>
    <w:rsid w:val="00BA0934"/>
    <w:rsid w:val="00BA0C06"/>
    <w:rsid w:val="00BA0D76"/>
    <w:rsid w:val="00BA39D6"/>
    <w:rsid w:val="00BA4B55"/>
    <w:rsid w:val="00BB1BB8"/>
    <w:rsid w:val="00BB22B5"/>
    <w:rsid w:val="00BB7F30"/>
    <w:rsid w:val="00BC0DF7"/>
    <w:rsid w:val="00BE34FD"/>
    <w:rsid w:val="00BF7B17"/>
    <w:rsid w:val="00C07455"/>
    <w:rsid w:val="00C10699"/>
    <w:rsid w:val="00C12C93"/>
    <w:rsid w:val="00C15CE7"/>
    <w:rsid w:val="00C17B42"/>
    <w:rsid w:val="00C259A5"/>
    <w:rsid w:val="00C325F5"/>
    <w:rsid w:val="00C333B8"/>
    <w:rsid w:val="00C457E8"/>
    <w:rsid w:val="00C57E4F"/>
    <w:rsid w:val="00C609B9"/>
    <w:rsid w:val="00C61BC2"/>
    <w:rsid w:val="00C80AC1"/>
    <w:rsid w:val="00C838BA"/>
    <w:rsid w:val="00C8494B"/>
    <w:rsid w:val="00CA3D74"/>
    <w:rsid w:val="00CB20FA"/>
    <w:rsid w:val="00CC1354"/>
    <w:rsid w:val="00CC3F5C"/>
    <w:rsid w:val="00CD6EC3"/>
    <w:rsid w:val="00CE2386"/>
    <w:rsid w:val="00CE2B12"/>
    <w:rsid w:val="00D104D2"/>
    <w:rsid w:val="00D11BD0"/>
    <w:rsid w:val="00D160DA"/>
    <w:rsid w:val="00D258F3"/>
    <w:rsid w:val="00D25B68"/>
    <w:rsid w:val="00D37462"/>
    <w:rsid w:val="00D42F07"/>
    <w:rsid w:val="00D44FB7"/>
    <w:rsid w:val="00D52352"/>
    <w:rsid w:val="00D71358"/>
    <w:rsid w:val="00D8581F"/>
    <w:rsid w:val="00D86799"/>
    <w:rsid w:val="00D9178E"/>
    <w:rsid w:val="00D979A6"/>
    <w:rsid w:val="00DA05C5"/>
    <w:rsid w:val="00DA60DD"/>
    <w:rsid w:val="00DA7518"/>
    <w:rsid w:val="00DB6E89"/>
    <w:rsid w:val="00DD0A52"/>
    <w:rsid w:val="00DD195B"/>
    <w:rsid w:val="00DE7823"/>
    <w:rsid w:val="00DE7950"/>
    <w:rsid w:val="00DF2805"/>
    <w:rsid w:val="00E0705D"/>
    <w:rsid w:val="00E150F3"/>
    <w:rsid w:val="00E23E5C"/>
    <w:rsid w:val="00E27CB7"/>
    <w:rsid w:val="00E31BFE"/>
    <w:rsid w:val="00E32408"/>
    <w:rsid w:val="00E341E5"/>
    <w:rsid w:val="00E370E9"/>
    <w:rsid w:val="00E40E9B"/>
    <w:rsid w:val="00E421CB"/>
    <w:rsid w:val="00E43369"/>
    <w:rsid w:val="00E45BE4"/>
    <w:rsid w:val="00E51BA8"/>
    <w:rsid w:val="00E52209"/>
    <w:rsid w:val="00E548AA"/>
    <w:rsid w:val="00E62201"/>
    <w:rsid w:val="00E63613"/>
    <w:rsid w:val="00E705AB"/>
    <w:rsid w:val="00E77CF6"/>
    <w:rsid w:val="00E845D4"/>
    <w:rsid w:val="00E869AE"/>
    <w:rsid w:val="00E903B9"/>
    <w:rsid w:val="00E93335"/>
    <w:rsid w:val="00E9411D"/>
    <w:rsid w:val="00E95B15"/>
    <w:rsid w:val="00E95E3D"/>
    <w:rsid w:val="00E96175"/>
    <w:rsid w:val="00EA1B4A"/>
    <w:rsid w:val="00EB16B0"/>
    <w:rsid w:val="00EB3C5D"/>
    <w:rsid w:val="00EB3E5B"/>
    <w:rsid w:val="00EC1AD6"/>
    <w:rsid w:val="00EC22CC"/>
    <w:rsid w:val="00EC438C"/>
    <w:rsid w:val="00ED1D59"/>
    <w:rsid w:val="00ED6B69"/>
    <w:rsid w:val="00EE34F4"/>
    <w:rsid w:val="00EF22A4"/>
    <w:rsid w:val="00F00BC2"/>
    <w:rsid w:val="00F033B7"/>
    <w:rsid w:val="00F0569C"/>
    <w:rsid w:val="00F1487B"/>
    <w:rsid w:val="00F14BDA"/>
    <w:rsid w:val="00F17813"/>
    <w:rsid w:val="00F27903"/>
    <w:rsid w:val="00F41D51"/>
    <w:rsid w:val="00F50F33"/>
    <w:rsid w:val="00F54EA0"/>
    <w:rsid w:val="00F70699"/>
    <w:rsid w:val="00F7442B"/>
    <w:rsid w:val="00F762C6"/>
    <w:rsid w:val="00F80C0C"/>
    <w:rsid w:val="00F83CEB"/>
    <w:rsid w:val="00F87929"/>
    <w:rsid w:val="00F90052"/>
    <w:rsid w:val="00F96EE9"/>
    <w:rsid w:val="00FA6E0E"/>
    <w:rsid w:val="00FB7917"/>
    <w:rsid w:val="00FC282B"/>
    <w:rsid w:val="00FC5A5D"/>
    <w:rsid w:val="00FD37D1"/>
    <w:rsid w:val="00FD65E2"/>
    <w:rsid w:val="00FE1906"/>
    <w:rsid w:val="00FE285D"/>
    <w:rsid w:val="00FF17EF"/>
    <w:rsid w:val="00FF51DB"/>
    <w:rsid w:val="00FF554E"/>
    <w:rsid w:val="00FF63E0"/>
    <w:rsid w:val="00FF784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semiHidden/>
    <w:unhideWhenUsed/>
    <w:rsid w:val="00F033B7"/>
    <w:rPr>
      <w:color w:val="0000FF"/>
      <w:u w:val="single"/>
    </w:rPr>
  </w:style>
  <w:style w:type="paragraph" w:styleId="Rvision">
    <w:name w:val="Revision"/>
    <w:hidden/>
    <w:uiPriority w:val="99"/>
    <w:semiHidden/>
    <w:rsid w:val="00124C5E"/>
    <w:pPr>
      <w:spacing w:after="0" w:line="240" w:lineRule="auto"/>
    </w:pPr>
  </w:style>
  <w:style w:type="paragraph" w:styleId="NormalWeb">
    <w:name w:val="Normal (Web)"/>
    <w:basedOn w:val="Normal"/>
    <w:uiPriority w:val="99"/>
    <w:semiHidden/>
    <w:unhideWhenUsed/>
    <w:rsid w:val="00A7027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70279"/>
    <w:rPr>
      <w:b/>
      <w:bCs/>
    </w:rPr>
  </w:style>
  <w:style w:type="character" w:styleId="Accentuation">
    <w:name w:val="Emphasis"/>
    <w:basedOn w:val="Policepardfaut"/>
    <w:uiPriority w:val="20"/>
    <w:qFormat/>
    <w:rsid w:val="00B23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260">
      <w:bodyDiv w:val="1"/>
      <w:marLeft w:val="0"/>
      <w:marRight w:val="0"/>
      <w:marTop w:val="0"/>
      <w:marBottom w:val="0"/>
      <w:divBdr>
        <w:top w:val="none" w:sz="0" w:space="0" w:color="auto"/>
        <w:left w:val="none" w:sz="0" w:space="0" w:color="auto"/>
        <w:bottom w:val="none" w:sz="0" w:space="0" w:color="auto"/>
        <w:right w:val="none" w:sz="0" w:space="0" w:color="auto"/>
      </w:divBdr>
    </w:div>
    <w:div w:id="156772369">
      <w:bodyDiv w:val="1"/>
      <w:marLeft w:val="0"/>
      <w:marRight w:val="0"/>
      <w:marTop w:val="0"/>
      <w:marBottom w:val="0"/>
      <w:divBdr>
        <w:top w:val="none" w:sz="0" w:space="0" w:color="auto"/>
        <w:left w:val="none" w:sz="0" w:space="0" w:color="auto"/>
        <w:bottom w:val="none" w:sz="0" w:space="0" w:color="auto"/>
        <w:right w:val="none" w:sz="0" w:space="0" w:color="auto"/>
      </w:divBdr>
    </w:div>
    <w:div w:id="179315318">
      <w:bodyDiv w:val="1"/>
      <w:marLeft w:val="0"/>
      <w:marRight w:val="0"/>
      <w:marTop w:val="0"/>
      <w:marBottom w:val="0"/>
      <w:divBdr>
        <w:top w:val="none" w:sz="0" w:space="0" w:color="auto"/>
        <w:left w:val="none" w:sz="0" w:space="0" w:color="auto"/>
        <w:bottom w:val="none" w:sz="0" w:space="0" w:color="auto"/>
        <w:right w:val="none" w:sz="0" w:space="0" w:color="auto"/>
      </w:divBdr>
    </w:div>
    <w:div w:id="233586944">
      <w:bodyDiv w:val="1"/>
      <w:marLeft w:val="0"/>
      <w:marRight w:val="0"/>
      <w:marTop w:val="0"/>
      <w:marBottom w:val="0"/>
      <w:divBdr>
        <w:top w:val="none" w:sz="0" w:space="0" w:color="auto"/>
        <w:left w:val="none" w:sz="0" w:space="0" w:color="auto"/>
        <w:bottom w:val="none" w:sz="0" w:space="0" w:color="auto"/>
        <w:right w:val="none" w:sz="0" w:space="0" w:color="auto"/>
      </w:divBdr>
    </w:div>
    <w:div w:id="296881927">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636178582">
      <w:bodyDiv w:val="1"/>
      <w:marLeft w:val="0"/>
      <w:marRight w:val="0"/>
      <w:marTop w:val="0"/>
      <w:marBottom w:val="0"/>
      <w:divBdr>
        <w:top w:val="none" w:sz="0" w:space="0" w:color="auto"/>
        <w:left w:val="none" w:sz="0" w:space="0" w:color="auto"/>
        <w:bottom w:val="none" w:sz="0" w:space="0" w:color="auto"/>
        <w:right w:val="none" w:sz="0" w:space="0" w:color="auto"/>
      </w:divBdr>
    </w:div>
    <w:div w:id="721757076">
      <w:bodyDiv w:val="1"/>
      <w:marLeft w:val="0"/>
      <w:marRight w:val="0"/>
      <w:marTop w:val="0"/>
      <w:marBottom w:val="0"/>
      <w:divBdr>
        <w:top w:val="none" w:sz="0" w:space="0" w:color="auto"/>
        <w:left w:val="none" w:sz="0" w:space="0" w:color="auto"/>
        <w:bottom w:val="none" w:sz="0" w:space="0" w:color="auto"/>
        <w:right w:val="none" w:sz="0" w:space="0" w:color="auto"/>
      </w:divBdr>
    </w:div>
    <w:div w:id="759062226">
      <w:bodyDiv w:val="1"/>
      <w:marLeft w:val="0"/>
      <w:marRight w:val="0"/>
      <w:marTop w:val="0"/>
      <w:marBottom w:val="0"/>
      <w:divBdr>
        <w:top w:val="none" w:sz="0" w:space="0" w:color="auto"/>
        <w:left w:val="none" w:sz="0" w:space="0" w:color="auto"/>
        <w:bottom w:val="none" w:sz="0" w:space="0" w:color="auto"/>
        <w:right w:val="none" w:sz="0" w:space="0" w:color="auto"/>
      </w:divBdr>
    </w:div>
    <w:div w:id="789129593">
      <w:bodyDiv w:val="1"/>
      <w:marLeft w:val="0"/>
      <w:marRight w:val="0"/>
      <w:marTop w:val="0"/>
      <w:marBottom w:val="0"/>
      <w:divBdr>
        <w:top w:val="none" w:sz="0" w:space="0" w:color="auto"/>
        <w:left w:val="none" w:sz="0" w:space="0" w:color="auto"/>
        <w:bottom w:val="none" w:sz="0" w:space="0" w:color="auto"/>
        <w:right w:val="none" w:sz="0" w:space="0" w:color="auto"/>
      </w:divBdr>
    </w:div>
    <w:div w:id="808321093">
      <w:bodyDiv w:val="1"/>
      <w:marLeft w:val="0"/>
      <w:marRight w:val="0"/>
      <w:marTop w:val="0"/>
      <w:marBottom w:val="0"/>
      <w:divBdr>
        <w:top w:val="none" w:sz="0" w:space="0" w:color="auto"/>
        <w:left w:val="none" w:sz="0" w:space="0" w:color="auto"/>
        <w:bottom w:val="none" w:sz="0" w:space="0" w:color="auto"/>
        <w:right w:val="none" w:sz="0" w:space="0" w:color="auto"/>
      </w:divBdr>
    </w:div>
    <w:div w:id="853107497">
      <w:bodyDiv w:val="1"/>
      <w:marLeft w:val="0"/>
      <w:marRight w:val="0"/>
      <w:marTop w:val="0"/>
      <w:marBottom w:val="0"/>
      <w:divBdr>
        <w:top w:val="none" w:sz="0" w:space="0" w:color="auto"/>
        <w:left w:val="none" w:sz="0" w:space="0" w:color="auto"/>
        <w:bottom w:val="none" w:sz="0" w:space="0" w:color="auto"/>
        <w:right w:val="none" w:sz="0" w:space="0" w:color="auto"/>
      </w:divBdr>
    </w:div>
    <w:div w:id="1172186375">
      <w:bodyDiv w:val="1"/>
      <w:marLeft w:val="0"/>
      <w:marRight w:val="0"/>
      <w:marTop w:val="0"/>
      <w:marBottom w:val="0"/>
      <w:divBdr>
        <w:top w:val="none" w:sz="0" w:space="0" w:color="auto"/>
        <w:left w:val="none" w:sz="0" w:space="0" w:color="auto"/>
        <w:bottom w:val="none" w:sz="0" w:space="0" w:color="auto"/>
        <w:right w:val="none" w:sz="0" w:space="0" w:color="auto"/>
      </w:divBdr>
    </w:div>
    <w:div w:id="1277564119">
      <w:bodyDiv w:val="1"/>
      <w:marLeft w:val="0"/>
      <w:marRight w:val="0"/>
      <w:marTop w:val="0"/>
      <w:marBottom w:val="0"/>
      <w:divBdr>
        <w:top w:val="none" w:sz="0" w:space="0" w:color="auto"/>
        <w:left w:val="none" w:sz="0" w:space="0" w:color="auto"/>
        <w:bottom w:val="none" w:sz="0" w:space="0" w:color="auto"/>
        <w:right w:val="none" w:sz="0" w:space="0" w:color="auto"/>
      </w:divBdr>
    </w:div>
    <w:div w:id="1334182179">
      <w:bodyDiv w:val="1"/>
      <w:marLeft w:val="0"/>
      <w:marRight w:val="0"/>
      <w:marTop w:val="0"/>
      <w:marBottom w:val="0"/>
      <w:divBdr>
        <w:top w:val="none" w:sz="0" w:space="0" w:color="auto"/>
        <w:left w:val="none" w:sz="0" w:space="0" w:color="auto"/>
        <w:bottom w:val="none" w:sz="0" w:space="0" w:color="auto"/>
        <w:right w:val="none" w:sz="0" w:space="0" w:color="auto"/>
      </w:divBdr>
    </w:div>
    <w:div w:id="1458600680">
      <w:bodyDiv w:val="1"/>
      <w:marLeft w:val="0"/>
      <w:marRight w:val="0"/>
      <w:marTop w:val="0"/>
      <w:marBottom w:val="0"/>
      <w:divBdr>
        <w:top w:val="none" w:sz="0" w:space="0" w:color="auto"/>
        <w:left w:val="none" w:sz="0" w:space="0" w:color="auto"/>
        <w:bottom w:val="none" w:sz="0" w:space="0" w:color="auto"/>
        <w:right w:val="none" w:sz="0" w:space="0" w:color="auto"/>
      </w:divBdr>
    </w:div>
    <w:div w:id="1482505949">
      <w:bodyDiv w:val="1"/>
      <w:marLeft w:val="0"/>
      <w:marRight w:val="0"/>
      <w:marTop w:val="0"/>
      <w:marBottom w:val="0"/>
      <w:divBdr>
        <w:top w:val="none" w:sz="0" w:space="0" w:color="auto"/>
        <w:left w:val="none" w:sz="0" w:space="0" w:color="auto"/>
        <w:bottom w:val="none" w:sz="0" w:space="0" w:color="auto"/>
        <w:right w:val="none" w:sz="0" w:space="0" w:color="auto"/>
      </w:divBdr>
    </w:div>
    <w:div w:id="1691223666">
      <w:bodyDiv w:val="1"/>
      <w:marLeft w:val="0"/>
      <w:marRight w:val="0"/>
      <w:marTop w:val="0"/>
      <w:marBottom w:val="0"/>
      <w:divBdr>
        <w:top w:val="none" w:sz="0" w:space="0" w:color="auto"/>
        <w:left w:val="none" w:sz="0" w:space="0" w:color="auto"/>
        <w:bottom w:val="none" w:sz="0" w:space="0" w:color="auto"/>
        <w:right w:val="none" w:sz="0" w:space="0" w:color="auto"/>
      </w:divBdr>
    </w:div>
    <w:div w:id="1706368506">
      <w:bodyDiv w:val="1"/>
      <w:marLeft w:val="0"/>
      <w:marRight w:val="0"/>
      <w:marTop w:val="0"/>
      <w:marBottom w:val="0"/>
      <w:divBdr>
        <w:top w:val="none" w:sz="0" w:space="0" w:color="auto"/>
        <w:left w:val="none" w:sz="0" w:space="0" w:color="auto"/>
        <w:bottom w:val="none" w:sz="0" w:space="0" w:color="auto"/>
        <w:right w:val="none" w:sz="0" w:space="0" w:color="auto"/>
      </w:divBdr>
    </w:div>
    <w:div w:id="1971789010">
      <w:bodyDiv w:val="1"/>
      <w:marLeft w:val="0"/>
      <w:marRight w:val="0"/>
      <w:marTop w:val="0"/>
      <w:marBottom w:val="0"/>
      <w:divBdr>
        <w:top w:val="none" w:sz="0" w:space="0" w:color="auto"/>
        <w:left w:val="none" w:sz="0" w:space="0" w:color="auto"/>
        <w:bottom w:val="none" w:sz="0" w:space="0" w:color="auto"/>
        <w:right w:val="none" w:sz="0" w:space="0" w:color="auto"/>
      </w:divBdr>
    </w:div>
    <w:div w:id="2081097515">
      <w:bodyDiv w:val="1"/>
      <w:marLeft w:val="0"/>
      <w:marRight w:val="0"/>
      <w:marTop w:val="0"/>
      <w:marBottom w:val="0"/>
      <w:divBdr>
        <w:top w:val="none" w:sz="0" w:space="0" w:color="auto"/>
        <w:left w:val="none" w:sz="0" w:space="0" w:color="auto"/>
        <w:bottom w:val="none" w:sz="0" w:space="0" w:color="auto"/>
        <w:right w:val="none" w:sz="0" w:space="0" w:color="auto"/>
      </w:divBdr>
    </w:div>
    <w:div w:id="212553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2367</Words>
  <Characters>13492</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Nathalie SEVATHIAN</cp:lastModifiedBy>
  <cp:revision>10</cp:revision>
  <dcterms:created xsi:type="dcterms:W3CDTF">2025-10-30T09:01:00Z</dcterms:created>
  <dcterms:modified xsi:type="dcterms:W3CDTF">2025-10-31T04:35:00Z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caa930896d00ddb0efcf91a78de44dffc511bdb28f595c6214e96abc8fa4b34a</vt:lpwstr>
  </property>
</Properties>
</file>