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F91E1C" w14:paraId="51109D41" w14:textId="77777777">
        <w:tc>
          <w:tcPr>
            <w:tcW w:w="9062" w:type="dxa"/>
            <w:gridSpan w:val="2"/>
          </w:tcPr>
          <w:p w14:paraId="6FC76F95" w14:textId="7A14B9ED" w:rsidR="00EC22CC" w:rsidRPr="00F91E1C" w:rsidRDefault="0032519C" w:rsidP="00854EEA">
            <w:pPr>
              <w:jc w:val="center"/>
              <w:rPr>
                <w:rFonts w:ascii="Verdana" w:hAnsi="Verdana"/>
                <w:b/>
                <w:bCs/>
              </w:rPr>
            </w:pPr>
            <w:r w:rsidRPr="00F91E1C">
              <w:rPr>
                <w:rFonts w:ascii="Verdana" w:eastAsia="Times New Roman" w:hAnsi="Verdana"/>
                <w:b/>
                <w:bCs/>
                <w:color w:val="000000" w:themeColor="text1"/>
              </w:rPr>
              <w:t>COI</w:t>
            </w:r>
            <w:r w:rsidR="00B11B4B">
              <w:rPr>
                <w:rFonts w:ascii="Verdana" w:eastAsia="Times New Roman" w:hAnsi="Verdana"/>
                <w:b/>
                <w:bCs/>
                <w:color w:val="000000" w:themeColor="text1"/>
              </w:rPr>
              <w:t>-</w:t>
            </w:r>
            <w:r w:rsidRPr="00F91E1C">
              <w:rPr>
                <w:rFonts w:ascii="Verdana" w:eastAsia="Times New Roman" w:hAnsi="Verdana"/>
                <w:b/>
                <w:bCs/>
                <w:color w:val="000000" w:themeColor="text1"/>
              </w:rPr>
              <w:t>Horizon 2030 – modernisation institutionnelle et accréditation aux piliers de l’Union européenne</w:t>
            </w:r>
          </w:p>
        </w:tc>
      </w:tr>
      <w:tr w:rsidR="00EC22CC" w:rsidRPr="00F91E1C" w14:paraId="7F1B63D2" w14:textId="77777777" w:rsidTr="002A0933">
        <w:tc>
          <w:tcPr>
            <w:tcW w:w="7225" w:type="dxa"/>
          </w:tcPr>
          <w:p w14:paraId="056D9B10" w14:textId="79A78881" w:rsidR="00EC22CC" w:rsidRPr="00F91E1C" w:rsidRDefault="00F91E1C" w:rsidP="002A096E">
            <w:pPr>
              <w:rPr>
                <w:rFonts w:ascii="Verdana" w:hAnsi="Verdana"/>
                <w:sz w:val="20"/>
                <w:szCs w:val="20"/>
              </w:rPr>
            </w:pPr>
            <w:r>
              <w:rPr>
                <w:rFonts w:ascii="Verdana" w:hAnsi="Verdana"/>
                <w:sz w:val="20"/>
                <w:szCs w:val="20"/>
              </w:rPr>
              <w:t xml:space="preserve">Comité des Officiers permanents de liaison </w:t>
            </w:r>
          </w:p>
        </w:tc>
        <w:tc>
          <w:tcPr>
            <w:tcW w:w="1837" w:type="dxa"/>
          </w:tcPr>
          <w:p w14:paraId="58E25D1F" w14:textId="2B2CA2FE" w:rsidR="00EC22CC" w:rsidRPr="00F91E1C" w:rsidRDefault="002A096E" w:rsidP="00854EEA">
            <w:pPr>
              <w:jc w:val="center"/>
              <w:rPr>
                <w:rFonts w:ascii="Verdana" w:hAnsi="Verdana"/>
                <w:sz w:val="20"/>
                <w:szCs w:val="20"/>
              </w:rPr>
            </w:pPr>
            <w:r w:rsidRPr="00F91E1C">
              <w:rPr>
                <w:rFonts w:ascii="Verdana" w:hAnsi="Verdana"/>
                <w:sz w:val="20"/>
                <w:szCs w:val="20"/>
              </w:rPr>
              <w:t xml:space="preserve">Point </w:t>
            </w:r>
            <w:r w:rsidR="006E7B08">
              <w:rPr>
                <w:rFonts w:ascii="Verdana" w:hAnsi="Verdana"/>
                <w:sz w:val="20"/>
                <w:szCs w:val="20"/>
              </w:rPr>
              <w:t>1</w:t>
            </w:r>
            <w:r w:rsidR="0032519C" w:rsidRPr="00F91E1C">
              <w:rPr>
                <w:rFonts w:ascii="Verdana" w:hAnsi="Verdana"/>
                <w:sz w:val="20"/>
                <w:szCs w:val="20"/>
              </w:rPr>
              <w:t>.</w:t>
            </w:r>
            <w:r w:rsidR="00416AE5">
              <w:rPr>
                <w:rFonts w:ascii="Verdana" w:hAnsi="Verdana"/>
                <w:sz w:val="20"/>
                <w:szCs w:val="20"/>
              </w:rPr>
              <w:t>4</w:t>
            </w:r>
          </w:p>
        </w:tc>
      </w:tr>
      <w:tr w:rsidR="00EC22CC" w:rsidRPr="00F91E1C" w14:paraId="537D1DE5" w14:textId="77777777" w:rsidTr="002A0933">
        <w:tc>
          <w:tcPr>
            <w:tcW w:w="7225" w:type="dxa"/>
          </w:tcPr>
          <w:p w14:paraId="43DEF09E" w14:textId="37C4B0FF" w:rsidR="00EC22CC" w:rsidRPr="00F91E1C" w:rsidRDefault="00A148A1" w:rsidP="002A096E">
            <w:pPr>
              <w:rPr>
                <w:rFonts w:ascii="Verdana" w:hAnsi="Verdana"/>
                <w:sz w:val="20"/>
                <w:szCs w:val="20"/>
              </w:rPr>
            </w:pPr>
            <w:r w:rsidRPr="00F91E1C">
              <w:rPr>
                <w:rFonts w:ascii="Verdana" w:hAnsi="Verdana"/>
                <w:i/>
                <w:iCs/>
                <w:sz w:val="20"/>
                <w:szCs w:val="20"/>
              </w:rPr>
              <w:t>Dossier suivi par :</w:t>
            </w:r>
            <w:r w:rsidR="00EC22CC" w:rsidRPr="00F91E1C">
              <w:rPr>
                <w:rFonts w:ascii="Verdana" w:hAnsi="Verdana"/>
                <w:sz w:val="20"/>
                <w:szCs w:val="20"/>
              </w:rPr>
              <w:t xml:space="preserve"> </w:t>
            </w:r>
            <w:r w:rsidR="00182B6C">
              <w:rPr>
                <w:rFonts w:ascii="Verdana" w:hAnsi="Verdana"/>
                <w:sz w:val="20"/>
                <w:szCs w:val="20"/>
              </w:rPr>
              <w:t xml:space="preserve">Mme Gina Bonne, Directrice </w:t>
            </w:r>
            <w:proofErr w:type="spellStart"/>
            <w:r w:rsidR="00182B6C">
              <w:rPr>
                <w:rFonts w:ascii="Verdana" w:hAnsi="Verdana"/>
                <w:sz w:val="20"/>
                <w:szCs w:val="20"/>
              </w:rPr>
              <w:t>p.i</w:t>
            </w:r>
            <w:proofErr w:type="spellEnd"/>
          </w:p>
        </w:tc>
        <w:tc>
          <w:tcPr>
            <w:tcW w:w="1837" w:type="dxa"/>
          </w:tcPr>
          <w:p w14:paraId="5AC1AFAB" w14:textId="456E5329" w:rsidR="00EC22CC" w:rsidRPr="00F91E1C" w:rsidRDefault="006E7B08" w:rsidP="00854EEA">
            <w:pPr>
              <w:jc w:val="center"/>
              <w:rPr>
                <w:rFonts w:ascii="Verdana" w:hAnsi="Verdana"/>
                <w:sz w:val="20"/>
                <w:szCs w:val="20"/>
              </w:rPr>
            </w:pPr>
            <w:r>
              <w:rPr>
                <w:rFonts w:ascii="Verdana" w:hAnsi="Verdana"/>
                <w:sz w:val="20"/>
                <w:szCs w:val="20"/>
              </w:rPr>
              <w:t>Information</w:t>
            </w:r>
          </w:p>
        </w:tc>
      </w:tr>
      <w:tr w:rsidR="00A90305" w:rsidRPr="00F91E1C" w14:paraId="6896DB30" w14:textId="77777777">
        <w:tc>
          <w:tcPr>
            <w:tcW w:w="9062" w:type="dxa"/>
            <w:gridSpan w:val="2"/>
          </w:tcPr>
          <w:p w14:paraId="0495241B" w14:textId="3F2473EA" w:rsidR="00A90305" w:rsidRPr="00F91E1C" w:rsidRDefault="00A90305" w:rsidP="00A90305">
            <w:pPr>
              <w:rPr>
                <w:rFonts w:ascii="Verdana" w:hAnsi="Verdana"/>
                <w:sz w:val="20"/>
                <w:szCs w:val="20"/>
              </w:rPr>
            </w:pPr>
            <w:r w:rsidRPr="00F91E1C">
              <w:rPr>
                <w:rFonts w:ascii="Verdana" w:hAnsi="Verdana"/>
                <w:i/>
                <w:iCs/>
                <w:sz w:val="20"/>
                <w:szCs w:val="20"/>
              </w:rPr>
              <w:t xml:space="preserve">Version du </w:t>
            </w:r>
            <w:r w:rsidR="006E7B08">
              <w:rPr>
                <w:rFonts w:ascii="Verdana" w:hAnsi="Verdana"/>
                <w:i/>
                <w:iCs/>
                <w:sz w:val="20"/>
                <w:szCs w:val="20"/>
              </w:rPr>
              <w:t>27/03/2025</w:t>
            </w:r>
            <w:r w:rsidR="00F91E1C">
              <w:rPr>
                <w:rFonts w:ascii="Verdana" w:hAnsi="Verdana"/>
                <w:i/>
                <w:iCs/>
                <w:sz w:val="20"/>
                <w:szCs w:val="20"/>
              </w:rPr>
              <w:t xml:space="preserve"> </w:t>
            </w:r>
          </w:p>
        </w:tc>
      </w:tr>
    </w:tbl>
    <w:p w14:paraId="1611BCC4" w14:textId="77777777" w:rsidR="00854EEA" w:rsidRPr="00F91E1C" w:rsidRDefault="00854EEA" w:rsidP="00816DAC">
      <w:pPr>
        <w:pStyle w:val="Paragraphe"/>
      </w:pPr>
      <w:bookmarkStart w:id="0" w:name="_Hlk24535240"/>
    </w:p>
    <w:p w14:paraId="54792DCB" w14:textId="7D19D078" w:rsidR="009C7AB2" w:rsidRPr="002A604F" w:rsidRDefault="009C7AB2" w:rsidP="00097DA3">
      <w:pPr>
        <w:pStyle w:val="Titrepartie"/>
      </w:pPr>
      <w:r w:rsidRPr="002A604F">
        <w:t>Résumé</w:t>
      </w:r>
    </w:p>
    <w:p w14:paraId="10E35AA9" w14:textId="77777777" w:rsidR="009C7AB2" w:rsidRPr="002A604F" w:rsidRDefault="009C7AB2" w:rsidP="002A604F">
      <w:pPr>
        <w:pStyle w:val="Paragraphedeliste"/>
        <w:spacing w:after="0" w:line="276" w:lineRule="auto"/>
        <w:jc w:val="both"/>
        <w:rPr>
          <w:rFonts w:ascii="Verdana" w:hAnsi="Verdana" w:cs="Calibri"/>
          <w:sz w:val="20"/>
          <w:szCs w:val="20"/>
        </w:rPr>
      </w:pPr>
    </w:p>
    <w:p w14:paraId="47DE9C90" w14:textId="408105CF" w:rsidR="009C7AB2" w:rsidRPr="002A604F"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 xml:space="preserve">Le programme COI-Horizon 2030 poursuit sa trajectoire de modernisation et de renforcement institutionnel de la Commission de l’océan Indien (COI), avec pour objectif de doter l’Organisation d’un dispositif de gouvernance et de gestion conforme aux meilleurs standards internationaux, tout en contribuant à la mise en œuvre du Plan de Développement Stratégique (PDS). Ce processus vise à consolider la crédibilité de la COI en tant qu’acteur régional capable d’administrer, de manière autonome et responsable, les financements </w:t>
      </w:r>
      <w:r w:rsidR="008E713A">
        <w:rPr>
          <w:rFonts w:ascii="Verdana" w:hAnsi="Verdana" w:cs="Calibri"/>
          <w:sz w:val="20"/>
          <w:szCs w:val="20"/>
        </w:rPr>
        <w:t>internationaux, notamment les financements européens au développement</w:t>
      </w:r>
      <w:r w:rsidRPr="009C7AB2">
        <w:rPr>
          <w:rFonts w:ascii="Verdana" w:hAnsi="Verdana" w:cs="Calibri"/>
          <w:sz w:val="20"/>
          <w:szCs w:val="20"/>
        </w:rPr>
        <w:t>.</w:t>
      </w:r>
    </w:p>
    <w:p w14:paraId="2747837B" w14:textId="77777777" w:rsidR="002A604F" w:rsidRPr="009C7AB2" w:rsidRDefault="002A604F" w:rsidP="002A604F">
      <w:pPr>
        <w:spacing w:after="0" w:line="276" w:lineRule="auto"/>
        <w:jc w:val="both"/>
        <w:rPr>
          <w:rFonts w:ascii="Verdana" w:hAnsi="Verdana" w:cs="Calibri"/>
          <w:sz w:val="20"/>
          <w:szCs w:val="20"/>
        </w:rPr>
      </w:pPr>
    </w:p>
    <w:p w14:paraId="422915A8" w14:textId="77777777" w:rsidR="009C7AB2" w:rsidRPr="002A604F"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Les efforts entrepris ont permis, à ce jour, de structurer les cadres couvrant les dimensions fiduciaires, financières, administratives et techniques de la gestion des fonds publics. L’Organisation s’est dotée d’un dispositif intégré qui renforce la cohérence de ses pratiques, la lisibilité de ses procédures et la fiabilité de ses processus internes. Cette consolidation témoigne d’une volonté de fluidifier les processus, d’assurer la transparence dans la gestion des ressources et de garantir la conformité aux meilleures pratiques internationales.</w:t>
      </w:r>
    </w:p>
    <w:p w14:paraId="78B1F8DE" w14:textId="77777777" w:rsidR="002A604F" w:rsidRPr="009C7AB2" w:rsidRDefault="002A604F" w:rsidP="002A604F">
      <w:pPr>
        <w:spacing w:after="0" w:line="276" w:lineRule="auto"/>
        <w:jc w:val="both"/>
        <w:rPr>
          <w:rFonts w:ascii="Verdana" w:hAnsi="Verdana" w:cs="Calibri"/>
          <w:sz w:val="20"/>
          <w:szCs w:val="20"/>
        </w:rPr>
      </w:pPr>
    </w:p>
    <w:p w14:paraId="3D30A39A" w14:textId="1FD44926" w:rsidR="009C7AB2" w:rsidRPr="002A604F"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 xml:space="preserve">Les fondations sont désormais en place, mais </w:t>
      </w:r>
      <w:r w:rsidRPr="00097DA3">
        <w:rPr>
          <w:rFonts w:ascii="Verdana" w:hAnsi="Verdana" w:cs="Calibri"/>
          <w:b/>
          <w:bCs/>
          <w:sz w:val="20"/>
          <w:szCs w:val="20"/>
        </w:rPr>
        <w:t xml:space="preserve">la réussite du processus dépendra de la capacité de la COI à inscrire </w:t>
      </w:r>
      <w:r w:rsidR="008E713A">
        <w:rPr>
          <w:rFonts w:ascii="Verdana" w:hAnsi="Verdana" w:cs="Calibri"/>
          <w:b/>
          <w:bCs/>
          <w:sz w:val="20"/>
          <w:szCs w:val="20"/>
        </w:rPr>
        <w:t xml:space="preserve">et maintenir </w:t>
      </w:r>
      <w:r w:rsidRPr="00097DA3">
        <w:rPr>
          <w:rFonts w:ascii="Verdana" w:hAnsi="Verdana" w:cs="Calibri"/>
          <w:b/>
          <w:bCs/>
          <w:sz w:val="20"/>
          <w:szCs w:val="20"/>
        </w:rPr>
        <w:t>ces avancées dans la durée</w:t>
      </w:r>
      <w:r w:rsidRPr="009C7AB2">
        <w:rPr>
          <w:rFonts w:ascii="Verdana" w:hAnsi="Verdana" w:cs="Calibri"/>
          <w:sz w:val="20"/>
          <w:szCs w:val="20"/>
        </w:rPr>
        <w:t xml:space="preserve">. La consolidation du dispositif institutionnel devra s’accompagner d’un effort soutenu pour renforcer la maîtrise opérationnelle et l’efficacité des pratiques quotidiennes. </w:t>
      </w:r>
      <w:r w:rsidRPr="00097DA3">
        <w:rPr>
          <w:rFonts w:ascii="Verdana" w:hAnsi="Verdana" w:cs="Calibri"/>
          <w:b/>
          <w:bCs/>
          <w:sz w:val="20"/>
          <w:szCs w:val="20"/>
        </w:rPr>
        <w:t>L’enjeu est désormais de passer d’un cadre structuré à une mise en œuvre pleinement intégrée</w:t>
      </w:r>
      <w:r w:rsidRPr="009C7AB2">
        <w:rPr>
          <w:rFonts w:ascii="Verdana" w:hAnsi="Verdana" w:cs="Calibri"/>
          <w:sz w:val="20"/>
          <w:szCs w:val="20"/>
        </w:rPr>
        <w:t>, où les outils et procédures deviennent de véritables leviers de performance collective.</w:t>
      </w:r>
    </w:p>
    <w:p w14:paraId="083B70B5" w14:textId="77777777" w:rsidR="002A604F" w:rsidRPr="009C7AB2" w:rsidRDefault="002A604F" w:rsidP="002A604F">
      <w:pPr>
        <w:spacing w:after="0" w:line="276" w:lineRule="auto"/>
        <w:jc w:val="both"/>
        <w:rPr>
          <w:rFonts w:ascii="Verdana" w:hAnsi="Verdana" w:cs="Calibri"/>
          <w:sz w:val="20"/>
          <w:szCs w:val="20"/>
        </w:rPr>
      </w:pPr>
    </w:p>
    <w:p w14:paraId="0E010F0F" w14:textId="023EE686" w:rsidR="009C7AB2" w:rsidRPr="008E713A"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Au-delà de la formalisation des cadres, cette dynamique illustre l’engagement de la COI à instaurer une gouvernance orientée vers la performance et la redevabilité, en phase avec les attentes des États membres et des partenaires techniques et financiers.</w:t>
      </w:r>
      <w:r w:rsidR="008E713A">
        <w:rPr>
          <w:rFonts w:ascii="Verdana" w:hAnsi="Verdana" w:cs="Calibri"/>
          <w:sz w:val="20"/>
          <w:szCs w:val="20"/>
        </w:rPr>
        <w:t xml:space="preserve"> Conformément à l’accord de méthode validé par le 36</w:t>
      </w:r>
      <w:r w:rsidR="008E713A" w:rsidRPr="00097DA3">
        <w:rPr>
          <w:rFonts w:ascii="Verdana" w:hAnsi="Verdana" w:cs="Calibri"/>
          <w:sz w:val="20"/>
          <w:szCs w:val="20"/>
          <w:vertAlign w:val="superscript"/>
        </w:rPr>
        <w:t>e</w:t>
      </w:r>
      <w:r w:rsidR="008E713A">
        <w:rPr>
          <w:rFonts w:ascii="Verdana" w:hAnsi="Verdana" w:cs="Calibri"/>
          <w:sz w:val="20"/>
          <w:szCs w:val="20"/>
        </w:rPr>
        <w:t xml:space="preserve"> Conseil des ministres (2022), cette dynamique de modernisation donne lieu à un soutien dégressif des partenaires Union européenne et AFD via le programme COI Horizon 2030 et à un engagement progressif des Etats membres</w:t>
      </w:r>
      <w:r w:rsidR="002A5167">
        <w:rPr>
          <w:rFonts w:ascii="Verdana" w:hAnsi="Verdana" w:cs="Calibri"/>
          <w:sz w:val="20"/>
          <w:szCs w:val="20"/>
        </w:rPr>
        <w:t xml:space="preserve">, notamment en termes de croissance budgétaire. </w:t>
      </w:r>
    </w:p>
    <w:p w14:paraId="59AB6A32" w14:textId="256ADDA3" w:rsidR="009C7AB2" w:rsidRPr="009C7AB2" w:rsidRDefault="009C7AB2" w:rsidP="002A604F">
      <w:pPr>
        <w:spacing w:after="0" w:line="276" w:lineRule="auto"/>
        <w:jc w:val="both"/>
        <w:rPr>
          <w:rFonts w:ascii="Verdana" w:hAnsi="Verdana" w:cs="Calibri"/>
          <w:b/>
          <w:bCs/>
          <w:sz w:val="20"/>
          <w:szCs w:val="20"/>
        </w:rPr>
      </w:pPr>
    </w:p>
    <w:p w14:paraId="2015DF66" w14:textId="3C1186A5" w:rsidR="009C7AB2" w:rsidRPr="002A604F" w:rsidRDefault="009C7AB2" w:rsidP="00097DA3">
      <w:pPr>
        <w:pStyle w:val="Titrepartie"/>
      </w:pPr>
      <w:r w:rsidRPr="002A604F">
        <w:t>État d’avancement</w:t>
      </w:r>
    </w:p>
    <w:p w14:paraId="2875841E" w14:textId="77777777" w:rsidR="009C7AB2" w:rsidRPr="009C7AB2" w:rsidRDefault="009C7AB2" w:rsidP="002A604F">
      <w:pPr>
        <w:spacing w:after="0" w:line="276" w:lineRule="auto"/>
        <w:jc w:val="both"/>
        <w:rPr>
          <w:rFonts w:ascii="Verdana" w:hAnsi="Verdana" w:cs="Calibri"/>
          <w:b/>
          <w:bCs/>
          <w:sz w:val="20"/>
          <w:szCs w:val="20"/>
        </w:rPr>
      </w:pPr>
    </w:p>
    <w:p w14:paraId="022820BA" w14:textId="1B560C75" w:rsidR="009C7AB2" w:rsidRPr="002A604F" w:rsidRDefault="009C7AB2" w:rsidP="00097DA3">
      <w:pPr>
        <w:pStyle w:val="Sous-partie2"/>
      </w:pPr>
      <w:r w:rsidRPr="009C7AB2">
        <w:t>Accréditation aux piliers de l’Union européenne</w:t>
      </w:r>
    </w:p>
    <w:p w14:paraId="587C3CC9" w14:textId="3A1C446F" w:rsidR="009C7AB2" w:rsidRPr="002A604F"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L’audit à blanc, réalisé entre août et septembre 2025 sur les piliers 1</w:t>
      </w:r>
      <w:r w:rsidR="00506325">
        <w:rPr>
          <w:rFonts w:ascii="Verdana" w:hAnsi="Verdana" w:cs="Calibri"/>
          <w:sz w:val="20"/>
          <w:szCs w:val="20"/>
        </w:rPr>
        <w:t xml:space="preserve"> contrôle interne</w:t>
      </w:r>
      <w:r w:rsidRPr="009C7AB2">
        <w:rPr>
          <w:rFonts w:ascii="Verdana" w:hAnsi="Verdana" w:cs="Calibri"/>
          <w:sz w:val="20"/>
          <w:szCs w:val="20"/>
        </w:rPr>
        <w:t>, 2</w:t>
      </w:r>
      <w:r w:rsidR="00506325">
        <w:rPr>
          <w:rFonts w:ascii="Verdana" w:hAnsi="Verdana" w:cs="Calibri"/>
          <w:sz w:val="20"/>
          <w:szCs w:val="20"/>
        </w:rPr>
        <w:t xml:space="preserve"> Comptabilité</w:t>
      </w:r>
      <w:r w:rsidRPr="009C7AB2">
        <w:rPr>
          <w:rFonts w:ascii="Verdana" w:hAnsi="Verdana" w:cs="Calibri"/>
          <w:sz w:val="20"/>
          <w:szCs w:val="20"/>
        </w:rPr>
        <w:t>, 5</w:t>
      </w:r>
      <w:r w:rsidR="00506325">
        <w:rPr>
          <w:rFonts w:ascii="Verdana" w:hAnsi="Verdana" w:cs="Calibri"/>
          <w:sz w:val="20"/>
          <w:szCs w:val="20"/>
        </w:rPr>
        <w:t xml:space="preserve"> Passation des marchés </w:t>
      </w:r>
      <w:r w:rsidRPr="009C7AB2">
        <w:rPr>
          <w:rFonts w:ascii="Verdana" w:hAnsi="Verdana" w:cs="Calibri"/>
          <w:sz w:val="20"/>
          <w:szCs w:val="20"/>
        </w:rPr>
        <w:t>et 9</w:t>
      </w:r>
      <w:r w:rsidR="00506325">
        <w:rPr>
          <w:rFonts w:ascii="Verdana" w:hAnsi="Verdana" w:cs="Calibri"/>
          <w:sz w:val="20"/>
          <w:szCs w:val="20"/>
        </w:rPr>
        <w:t xml:space="preserve"> Protection des données</w:t>
      </w:r>
      <w:r w:rsidRPr="009C7AB2">
        <w:rPr>
          <w:rFonts w:ascii="Verdana" w:hAnsi="Verdana" w:cs="Calibri"/>
          <w:sz w:val="20"/>
          <w:szCs w:val="20"/>
        </w:rPr>
        <w:t xml:space="preserve">, a constitué une étape structurante dans le processus de montée en conformité vis-à-vis des exigences de l’Union européenne. Les auditeurs ont salué les progrès accomplis par le Secrétariat général, notamment la structuration du cadre normatif et la mobilisation du personnel autour des </w:t>
      </w:r>
      <w:r w:rsidRPr="009C7AB2">
        <w:rPr>
          <w:rFonts w:ascii="Verdana" w:hAnsi="Verdana" w:cs="Calibri"/>
          <w:sz w:val="20"/>
          <w:szCs w:val="20"/>
        </w:rPr>
        <w:lastRenderedPageBreak/>
        <w:t>réformes engagées. Ces constats témoignent d’une dynamique positive de modernisation et d’une appropriation progressive des standards de gouvernance et de conformité attendus.</w:t>
      </w:r>
    </w:p>
    <w:p w14:paraId="3AD69BF5" w14:textId="77777777" w:rsidR="009C7AB2" w:rsidRPr="009C7AB2" w:rsidRDefault="009C7AB2" w:rsidP="002A604F">
      <w:pPr>
        <w:spacing w:after="0" w:line="276" w:lineRule="auto"/>
        <w:jc w:val="both"/>
        <w:rPr>
          <w:rFonts w:ascii="Verdana" w:hAnsi="Verdana" w:cs="Calibri"/>
          <w:sz w:val="20"/>
          <w:szCs w:val="20"/>
        </w:rPr>
      </w:pPr>
    </w:p>
    <w:p w14:paraId="3134D439" w14:textId="697A273F" w:rsidR="009C7AB2" w:rsidRPr="009C7AB2"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Toutefois, des efforts soutenus demeurent nécessaires pour garantir une conformité complète et durable aux standards européens. Le plan de recommandations issu de l’audit</w:t>
      </w:r>
      <w:r w:rsidR="002A5167">
        <w:rPr>
          <w:rFonts w:ascii="Verdana" w:hAnsi="Verdana" w:cs="Calibri"/>
          <w:sz w:val="20"/>
          <w:szCs w:val="20"/>
        </w:rPr>
        <w:t xml:space="preserve"> à blanc</w:t>
      </w:r>
      <w:r w:rsidRPr="009C7AB2">
        <w:rPr>
          <w:rFonts w:ascii="Verdana" w:hAnsi="Verdana" w:cs="Calibri"/>
          <w:sz w:val="20"/>
          <w:szCs w:val="20"/>
        </w:rPr>
        <w:t xml:space="preserve"> servira de feuille de route pour la mise à niveau progressive du dispositif institutionnel et le renforcement des pratiques internes. Afin d’accompagner cette phase, un avenant au contrat d’assistance technique est en cours de finalisation. Il permettra de mobiliser des jours d’expertise supplémentaires et d’assurer, dans les meilleures conditions, le déploiement des mesures correctives et des actions de renforcement en préparation de l’audit final.</w:t>
      </w:r>
    </w:p>
    <w:p w14:paraId="52BE5A16" w14:textId="5629CA6A" w:rsidR="009C7AB2" w:rsidRPr="009C7AB2" w:rsidRDefault="009C7AB2" w:rsidP="002A604F">
      <w:pPr>
        <w:spacing w:after="0" w:line="276" w:lineRule="auto"/>
        <w:jc w:val="both"/>
        <w:rPr>
          <w:rFonts w:ascii="Verdana" w:hAnsi="Verdana" w:cs="Calibri"/>
          <w:b/>
          <w:bCs/>
          <w:sz w:val="20"/>
          <w:szCs w:val="20"/>
        </w:rPr>
      </w:pPr>
    </w:p>
    <w:p w14:paraId="6B92CD7D" w14:textId="0E407C53" w:rsidR="009C7AB2" w:rsidRPr="002A604F" w:rsidRDefault="009C7AB2" w:rsidP="00097DA3">
      <w:pPr>
        <w:pStyle w:val="Sous-partie2"/>
      </w:pPr>
      <w:r w:rsidRPr="009C7AB2">
        <w:t>Ressources humaines et renforcement des capacités</w:t>
      </w:r>
    </w:p>
    <w:p w14:paraId="79E229E5" w14:textId="7DDC4A04" w:rsidR="009C7AB2" w:rsidRDefault="002A5167" w:rsidP="002A604F">
      <w:pPr>
        <w:spacing w:after="0" w:line="276" w:lineRule="auto"/>
        <w:jc w:val="both"/>
        <w:rPr>
          <w:rFonts w:ascii="Verdana" w:hAnsi="Verdana" w:cs="Calibri"/>
          <w:sz w:val="20"/>
          <w:szCs w:val="20"/>
        </w:rPr>
      </w:pPr>
      <w:r>
        <w:rPr>
          <w:rFonts w:ascii="Verdana" w:hAnsi="Verdana" w:cs="Calibri"/>
          <w:sz w:val="20"/>
          <w:szCs w:val="20"/>
        </w:rPr>
        <w:t>Le processus de</w:t>
      </w:r>
      <w:r w:rsidR="009C7AB2" w:rsidRPr="009C7AB2">
        <w:rPr>
          <w:rFonts w:ascii="Verdana" w:hAnsi="Verdana" w:cs="Calibri"/>
          <w:sz w:val="20"/>
          <w:szCs w:val="20"/>
        </w:rPr>
        <w:t xml:space="preserve"> recrutements des nouveaux postes, conformément aux décisions des instances dans le cadre du plan de renforcement institutionnel, est désormais achevé. L’ensemble des postes approuvés a été pourvu, assurant la mise en place complète des effectifs prévus. Cette étape renforce la capacité opérationnelle du Secrétariat général dans la conduite des réformes et la mise en œuvre des priorités institutionnelles.</w:t>
      </w:r>
    </w:p>
    <w:p w14:paraId="7F329EF7" w14:textId="77777777" w:rsidR="002A604F" w:rsidRPr="009C7AB2" w:rsidRDefault="002A604F" w:rsidP="002A604F">
      <w:pPr>
        <w:spacing w:after="0" w:line="276" w:lineRule="auto"/>
        <w:jc w:val="both"/>
        <w:rPr>
          <w:rFonts w:ascii="Verdana" w:hAnsi="Verdana" w:cs="Calibri"/>
          <w:sz w:val="20"/>
          <w:szCs w:val="20"/>
        </w:rPr>
      </w:pPr>
    </w:p>
    <w:p w14:paraId="42159EDB" w14:textId="2089B527" w:rsidR="009C7AB2"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Des formations ciblées ont été menées, soit en interne par les équipes du Secrétariat général, soit avec l’appui de l’assistance technique du programme COI-Horizon 2030. Ces sessions, à la fois pratiques et participatives, ont porté</w:t>
      </w:r>
      <w:r w:rsidR="00506325">
        <w:rPr>
          <w:rFonts w:ascii="Verdana" w:hAnsi="Verdana" w:cs="Calibri"/>
          <w:sz w:val="20"/>
          <w:szCs w:val="20"/>
        </w:rPr>
        <w:t>, notamment et pour exemple</w:t>
      </w:r>
      <w:r w:rsidRPr="009C7AB2">
        <w:rPr>
          <w:rFonts w:ascii="Verdana" w:hAnsi="Verdana" w:cs="Calibri"/>
          <w:sz w:val="20"/>
          <w:szCs w:val="20"/>
        </w:rPr>
        <w:t xml:space="preserve"> sur les procédures financières, la gestion des </w:t>
      </w:r>
      <w:r w:rsidR="00506325">
        <w:rPr>
          <w:rFonts w:ascii="Verdana" w:hAnsi="Verdana" w:cs="Calibri"/>
          <w:sz w:val="20"/>
          <w:szCs w:val="20"/>
        </w:rPr>
        <w:t>subventions</w:t>
      </w:r>
      <w:r w:rsidRPr="009C7AB2">
        <w:rPr>
          <w:rFonts w:ascii="Verdana" w:hAnsi="Verdana" w:cs="Calibri"/>
          <w:sz w:val="20"/>
          <w:szCs w:val="20"/>
        </w:rPr>
        <w:t xml:space="preserve">, la conformité, la </w:t>
      </w:r>
      <w:r w:rsidR="00506325">
        <w:rPr>
          <w:rFonts w:ascii="Verdana" w:hAnsi="Verdana" w:cs="Calibri"/>
          <w:sz w:val="20"/>
          <w:szCs w:val="20"/>
        </w:rPr>
        <w:t>gestion</w:t>
      </w:r>
      <w:r w:rsidR="00506325" w:rsidRPr="009C7AB2">
        <w:rPr>
          <w:rFonts w:ascii="Verdana" w:hAnsi="Verdana" w:cs="Calibri"/>
          <w:sz w:val="20"/>
          <w:szCs w:val="20"/>
        </w:rPr>
        <w:t xml:space="preserve"> </w:t>
      </w:r>
      <w:r w:rsidRPr="009C7AB2">
        <w:rPr>
          <w:rFonts w:ascii="Verdana" w:hAnsi="Verdana" w:cs="Calibri"/>
          <w:sz w:val="20"/>
          <w:szCs w:val="20"/>
        </w:rPr>
        <w:t>des données</w:t>
      </w:r>
      <w:r w:rsidR="00506325">
        <w:rPr>
          <w:rFonts w:ascii="Verdana" w:hAnsi="Verdana" w:cs="Calibri"/>
          <w:sz w:val="20"/>
          <w:szCs w:val="20"/>
        </w:rPr>
        <w:t xml:space="preserve"> personnelles</w:t>
      </w:r>
      <w:r w:rsidRPr="009C7AB2">
        <w:rPr>
          <w:rFonts w:ascii="Verdana" w:hAnsi="Verdana" w:cs="Calibri"/>
          <w:sz w:val="20"/>
          <w:szCs w:val="20"/>
        </w:rPr>
        <w:t xml:space="preserve"> et l’éthique professionnelle.</w:t>
      </w:r>
      <w:r w:rsidR="002A604F">
        <w:rPr>
          <w:rFonts w:ascii="Verdana" w:hAnsi="Verdana" w:cs="Calibri"/>
          <w:sz w:val="20"/>
          <w:szCs w:val="20"/>
        </w:rPr>
        <w:t xml:space="preserve"> </w:t>
      </w:r>
      <w:r w:rsidRPr="009C7AB2">
        <w:rPr>
          <w:rFonts w:ascii="Verdana" w:hAnsi="Verdana" w:cs="Calibri"/>
          <w:sz w:val="20"/>
          <w:szCs w:val="20"/>
        </w:rPr>
        <w:t>Au-delà du transfert de connaissances, ces formations traduisent un véritable processus d’appropriation des nouveaux outils et manuels de gestion. Elles ont permis aux équipes de mieux comprendre le sens des réformes, de relier les procédures à leur pratique quotidienne et de renforcer la cohérence entre les différentes unités. Cette dynamique contribue à l’émergence d’une culture institutionnelle renouvelée, fondée sur la rigueur, la responsabilité et la transparence.</w:t>
      </w:r>
    </w:p>
    <w:p w14:paraId="0973B917" w14:textId="77777777" w:rsidR="002A604F" w:rsidRPr="009C7AB2" w:rsidRDefault="002A604F" w:rsidP="002A604F">
      <w:pPr>
        <w:spacing w:after="0" w:line="276" w:lineRule="auto"/>
        <w:jc w:val="both"/>
        <w:rPr>
          <w:rFonts w:ascii="Verdana" w:hAnsi="Verdana" w:cs="Calibri"/>
          <w:sz w:val="20"/>
          <w:szCs w:val="20"/>
        </w:rPr>
      </w:pPr>
    </w:p>
    <w:p w14:paraId="527BFD9E" w14:textId="77777777" w:rsidR="009C7AB2"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Le Secrétariat général entend poursuivre et approfondir cette dynamique au cours des prochains mois. Un plan de formation RH, financé par le programme COI-Horizon 2030, sera déployé afin d’assurer la continuité du renforcement des capacités internes et de consolider les compétences organisationnelles.</w:t>
      </w:r>
    </w:p>
    <w:p w14:paraId="1314B709" w14:textId="77777777" w:rsidR="002A5167" w:rsidRDefault="002A5167" w:rsidP="002A604F">
      <w:pPr>
        <w:spacing w:after="0" w:line="276" w:lineRule="auto"/>
        <w:jc w:val="both"/>
        <w:rPr>
          <w:rFonts w:ascii="Verdana" w:hAnsi="Verdana" w:cs="Calibri"/>
          <w:sz w:val="20"/>
          <w:szCs w:val="20"/>
        </w:rPr>
      </w:pPr>
    </w:p>
    <w:p w14:paraId="5301B11B" w14:textId="4EFA91DF" w:rsidR="002A5167" w:rsidRPr="0046335B" w:rsidRDefault="002A5167" w:rsidP="00097DA3">
      <w:pPr>
        <w:pStyle w:val="Sous-partie2"/>
      </w:pPr>
      <w:r w:rsidRPr="002A5167">
        <w:t>Activités engagées sous Horizon 2030</w:t>
      </w:r>
    </w:p>
    <w:p w14:paraId="4637B758" w14:textId="34AECF3D" w:rsidR="002A5167" w:rsidRDefault="002A5167" w:rsidP="002A5167">
      <w:pPr>
        <w:pStyle w:val="Paragraphe"/>
      </w:pPr>
      <w:r>
        <w:t xml:space="preserve">Le programme Horizon 2030 a permis de soutenir la mise en œuvre des activités suivantes (liste non </w:t>
      </w:r>
      <w:r w:rsidR="009141D0">
        <w:t>exhaustive</w:t>
      </w:r>
      <w:r>
        <w:t xml:space="preserve">) : </w:t>
      </w:r>
    </w:p>
    <w:p w14:paraId="41669A71" w14:textId="7D3D2DF2" w:rsidR="0046335B" w:rsidRDefault="0046335B" w:rsidP="002A5167">
      <w:pPr>
        <w:pStyle w:val="Paragraphe"/>
        <w:numPr>
          <w:ilvl w:val="0"/>
          <w:numId w:val="23"/>
        </w:numPr>
      </w:pPr>
      <w:r>
        <w:t>Appui à l’organisation de la conférence ministérielle sur la sécurité alimentaire et la nutrition à Madagascar en mars 2025</w:t>
      </w:r>
    </w:p>
    <w:p w14:paraId="1F2AB146" w14:textId="360D9053" w:rsidR="002A5167" w:rsidRDefault="002A5167" w:rsidP="002A5167">
      <w:pPr>
        <w:pStyle w:val="Paragraphe"/>
        <w:numPr>
          <w:ilvl w:val="0"/>
          <w:numId w:val="23"/>
        </w:numPr>
      </w:pPr>
      <w:r>
        <w:t>Participation de la COI à l’UNOC-3 à Nice conformément aux recommandations du Sommet et aux décisions du 39</w:t>
      </w:r>
      <w:r w:rsidRPr="00097DA3">
        <w:rPr>
          <w:vertAlign w:val="superscript"/>
        </w:rPr>
        <w:t>ème</w:t>
      </w:r>
      <w:r>
        <w:t xml:space="preserve"> Conseil des ministres ; </w:t>
      </w:r>
    </w:p>
    <w:p w14:paraId="475B7025" w14:textId="36F2BF21" w:rsidR="002E10B9" w:rsidRDefault="002E10B9" w:rsidP="002A5167">
      <w:pPr>
        <w:pStyle w:val="Paragraphe"/>
        <w:numPr>
          <w:ilvl w:val="0"/>
          <w:numId w:val="23"/>
        </w:numPr>
      </w:pPr>
      <w:r>
        <w:t>Achat d’équipements et matériels informatique pour le Secrétariat général et les bureaux des OPL</w:t>
      </w:r>
    </w:p>
    <w:p w14:paraId="3F0130F7" w14:textId="08232ABE" w:rsidR="00506325" w:rsidRDefault="002A5167" w:rsidP="002A5167">
      <w:pPr>
        <w:pStyle w:val="Paragraphe"/>
        <w:numPr>
          <w:ilvl w:val="0"/>
          <w:numId w:val="23"/>
        </w:numPr>
      </w:pPr>
      <w:r>
        <w:t xml:space="preserve">Participation </w:t>
      </w:r>
      <w:proofErr w:type="spellStart"/>
      <w:r w:rsidR="009141D0">
        <w:t>à</w:t>
      </w:r>
      <w:r w:rsidR="00506325">
        <w:t>des</w:t>
      </w:r>
      <w:proofErr w:type="spellEnd"/>
      <w:r w:rsidR="00506325">
        <w:t xml:space="preserve"> fora internationaux : </w:t>
      </w:r>
      <w:r>
        <w:t xml:space="preserve"> </w:t>
      </w:r>
    </w:p>
    <w:p w14:paraId="7780B3F3" w14:textId="2C5C47A2" w:rsidR="00506325" w:rsidRDefault="002A5167" w:rsidP="00097DA3">
      <w:pPr>
        <w:pStyle w:val="Paragraphe"/>
        <w:numPr>
          <w:ilvl w:val="1"/>
          <w:numId w:val="23"/>
        </w:numPr>
      </w:pPr>
      <w:r>
        <w:lastRenderedPageBreak/>
        <w:t xml:space="preserve">Conférence de Tokyo sur le développement de l’Afrique (TICAD) permettant de consolider la relation partenariale et d’identifier les opportunités de partenariats avec des structures japonaises sur les priorités communes, notamment Fondation </w:t>
      </w:r>
      <w:proofErr w:type="spellStart"/>
      <w:r>
        <w:t>Sasakawa</w:t>
      </w:r>
      <w:proofErr w:type="spellEnd"/>
      <w:r>
        <w:t>, JICA, JETR</w:t>
      </w:r>
      <w:r w:rsidR="00506325">
        <w:t>O</w:t>
      </w:r>
      <w:r w:rsidR="009141D0">
        <w:t> ;</w:t>
      </w:r>
    </w:p>
    <w:p w14:paraId="2CCE27CC" w14:textId="374EAECF" w:rsidR="002A5167" w:rsidRDefault="00E55239" w:rsidP="00097DA3">
      <w:pPr>
        <w:pStyle w:val="Paragraphe"/>
        <w:numPr>
          <w:ilvl w:val="1"/>
          <w:numId w:val="23"/>
        </w:numPr>
      </w:pPr>
      <w:r>
        <w:t>Participation au forum</w:t>
      </w:r>
      <w:r w:rsidR="00506325">
        <w:t xml:space="preserve"> des PEIDS organisé par le Fonds de l’OPEP pour le développement</w:t>
      </w:r>
      <w:r>
        <w:t xml:space="preserve"> international</w:t>
      </w:r>
      <w:r w:rsidR="00506325">
        <w:t xml:space="preserve"> </w:t>
      </w:r>
    </w:p>
    <w:p w14:paraId="5E9063DC" w14:textId="6DD3DEF3" w:rsidR="002A5167" w:rsidRDefault="002A5167" w:rsidP="002A5167">
      <w:pPr>
        <w:pStyle w:val="Paragraphe"/>
      </w:pPr>
      <w:r>
        <w:t>L’année 2026, mi-parcours de la mise en œuvre du programme Horizon 2030, sera charnière pour l’engagement des financements à des fins opérationnelles et de programmation de nouvelles activités. A cet effet, il est notamment prévu que les ressources du programme appuient la mise en œuvre des activités suivantes</w:t>
      </w:r>
      <w:r w:rsidR="009141D0">
        <w:t>, entre autres</w:t>
      </w:r>
      <w:r>
        <w:t xml:space="preserve"> : </w:t>
      </w:r>
    </w:p>
    <w:p w14:paraId="01582B9C" w14:textId="198ABDE7" w:rsidR="002A5167" w:rsidRDefault="002A5167" w:rsidP="002A5167">
      <w:pPr>
        <w:pStyle w:val="Paragraphe"/>
        <w:numPr>
          <w:ilvl w:val="0"/>
          <w:numId w:val="23"/>
        </w:numPr>
      </w:pPr>
      <w:r>
        <w:t xml:space="preserve">Réactivation des comités des Transporteurs aériens et des Aviations civiles ; </w:t>
      </w:r>
    </w:p>
    <w:p w14:paraId="59B51C84" w14:textId="6FC1BDC5" w:rsidR="002A5167" w:rsidRDefault="002A5167" w:rsidP="002A5167">
      <w:pPr>
        <w:pStyle w:val="Paragraphe"/>
        <w:numPr>
          <w:ilvl w:val="0"/>
          <w:numId w:val="23"/>
        </w:numPr>
      </w:pPr>
      <w:r>
        <w:t xml:space="preserve">Elaboration d’une stratégie régionale sur le genre qui s’avère d’autant plus nécessaire dans le cadre des négociations et instructions de projets financés par les partenaires ; </w:t>
      </w:r>
    </w:p>
    <w:p w14:paraId="7179560F" w14:textId="4306B057" w:rsidR="002A5167" w:rsidRDefault="0009522E" w:rsidP="002A5167">
      <w:pPr>
        <w:pStyle w:val="Paragraphe"/>
        <w:numPr>
          <w:ilvl w:val="0"/>
          <w:numId w:val="23"/>
        </w:numPr>
      </w:pPr>
      <w:r>
        <w:t xml:space="preserve">Mobilisation d’expertises techniques en appui à l’élaboration de projets et/ou de réponses à des appels à propositions internationaux ainsi que consultations des parties prenantes nationales y afférentes ; </w:t>
      </w:r>
    </w:p>
    <w:p w14:paraId="4BFA1625" w14:textId="069154E8" w:rsidR="0009522E" w:rsidRDefault="0009522E" w:rsidP="009141D0">
      <w:pPr>
        <w:pStyle w:val="Paragraphe"/>
        <w:numPr>
          <w:ilvl w:val="0"/>
          <w:numId w:val="23"/>
        </w:numPr>
      </w:pPr>
      <w:r>
        <w:t>Soutien aux OPL pour l’organisation ou l’animation de comités nationaux de coopération régionale COI (selon les besoins)</w:t>
      </w:r>
      <w:r w:rsidR="009141D0">
        <w:t>.</w:t>
      </w:r>
    </w:p>
    <w:p w14:paraId="672BAB29" w14:textId="77777777" w:rsidR="009141D0" w:rsidRPr="0046335B" w:rsidRDefault="009141D0" w:rsidP="00097DA3">
      <w:pPr>
        <w:pStyle w:val="Paragraphe"/>
        <w:ind w:left="720"/>
      </w:pPr>
    </w:p>
    <w:p w14:paraId="729350D2" w14:textId="2F1B2656" w:rsidR="009C7AB2" w:rsidRPr="002A604F" w:rsidRDefault="009C7AB2" w:rsidP="00097DA3">
      <w:pPr>
        <w:pStyle w:val="Titrepartie"/>
      </w:pPr>
      <w:r w:rsidRPr="002A604F">
        <w:t>Perspectives stratégiques</w:t>
      </w:r>
    </w:p>
    <w:p w14:paraId="2C58F8A1" w14:textId="77777777" w:rsidR="009C7AB2" w:rsidRPr="009C7AB2" w:rsidRDefault="009C7AB2" w:rsidP="002A604F">
      <w:pPr>
        <w:spacing w:after="0" w:line="276" w:lineRule="auto"/>
        <w:jc w:val="both"/>
        <w:rPr>
          <w:rFonts w:ascii="Verdana" w:hAnsi="Verdana" w:cs="Calibri"/>
          <w:sz w:val="20"/>
          <w:szCs w:val="20"/>
        </w:rPr>
      </w:pPr>
    </w:p>
    <w:p w14:paraId="24B37BA8" w14:textId="6095164F" w:rsidR="002A604F" w:rsidRPr="002A604F" w:rsidRDefault="009C7AB2" w:rsidP="00097DA3">
      <w:pPr>
        <w:pStyle w:val="Sous-partie2"/>
      </w:pPr>
      <w:r w:rsidRPr="009C7AB2">
        <w:t>Opportunités</w:t>
      </w:r>
    </w:p>
    <w:p w14:paraId="7C835380" w14:textId="24F4AC86" w:rsidR="009C7AB2" w:rsidRPr="002A604F"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Au regard de l’état d’avancement des travaux relatifs à l’accréditation pilier, il apparaît opportun que le Secrétariat général de la COI engage un dialogue formel avec la division compétente de la Commission européenne à Bruxelles, en étroite coordination avec la Délégation de l’Union européenne à Maurice. Cette démarche permettra de positionner la COI dans le processus d’audit final, d’en préciser le calendrier et de garantir que la préparation institutionnelle soit alignée sur les exigences techniques, administratives et procédurales de l’Union européenne.</w:t>
      </w:r>
    </w:p>
    <w:p w14:paraId="2BA4830A" w14:textId="77777777" w:rsidR="002A604F" w:rsidRPr="009C7AB2" w:rsidRDefault="002A604F" w:rsidP="002A604F">
      <w:pPr>
        <w:spacing w:after="0" w:line="276" w:lineRule="auto"/>
        <w:jc w:val="both"/>
        <w:rPr>
          <w:rFonts w:ascii="Verdana" w:hAnsi="Verdana" w:cs="Calibri"/>
          <w:sz w:val="20"/>
          <w:szCs w:val="20"/>
        </w:rPr>
      </w:pPr>
    </w:p>
    <w:p w14:paraId="552742E5" w14:textId="77777777" w:rsidR="009C7AB2" w:rsidRPr="009C7AB2"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Elle offrira également l’occasion de valoriser les progrès accomplis dans le cadre du programme COI-Horizon 2030 et de démontrer la capacité de l’Organisation à répondre durablement aux standards européens de gouvernance et de gestion. Dans cette perspective, la COI pourra mobiliser le programme Horizon 2030 comme un levier stratégique, lui permettant de tirer parti des opportunités offertes par les initiatives Global Gateway et NDICI. Ces cadres de coopération représentent un potentiel majeur pour le financement et la mise en œuvre de projets régionaux structurants, en appui aux priorités du Plan de Développement Stratégique (PDS) 2023–2033.</w:t>
      </w:r>
    </w:p>
    <w:p w14:paraId="5E3E2C86" w14:textId="0923774C" w:rsidR="009C7AB2" w:rsidRPr="009C7AB2" w:rsidRDefault="009C7AB2" w:rsidP="002A604F">
      <w:pPr>
        <w:spacing w:after="0" w:line="276" w:lineRule="auto"/>
        <w:jc w:val="both"/>
        <w:rPr>
          <w:rFonts w:ascii="Verdana" w:hAnsi="Verdana" w:cs="Calibri"/>
          <w:sz w:val="20"/>
          <w:szCs w:val="20"/>
        </w:rPr>
      </w:pPr>
    </w:p>
    <w:p w14:paraId="123EE8A6" w14:textId="48391E0D" w:rsidR="009C7AB2" w:rsidRPr="002A604F" w:rsidRDefault="009C7AB2" w:rsidP="00097DA3">
      <w:pPr>
        <w:pStyle w:val="Sous-partie2"/>
      </w:pPr>
      <w:r w:rsidRPr="002A604F">
        <w:t>Communication</w:t>
      </w:r>
    </w:p>
    <w:p w14:paraId="126FE539" w14:textId="77777777" w:rsidR="009C7AB2"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 xml:space="preserve">En réponse aux attentes exprimées par les partenaires techniques et financiers, la COI mettra un accent particulier sur la communication autour du programme COI-Horizon 2030, afin d’en valoriser les avancées, la portée et les résultats. Conformément aux </w:t>
      </w:r>
      <w:r w:rsidRPr="009C7AB2">
        <w:rPr>
          <w:rFonts w:ascii="Verdana" w:hAnsi="Verdana" w:cs="Calibri"/>
          <w:sz w:val="20"/>
          <w:szCs w:val="20"/>
        </w:rPr>
        <w:lastRenderedPageBreak/>
        <w:t>obligations de visibilité, des sessions officielles de remise d’équipements seront organisées auprès des bureaux des OPL, contribuant à une meilleure reconnaissance des réalisations auprès des États membres et des bailleurs.</w:t>
      </w:r>
    </w:p>
    <w:p w14:paraId="2575E4CB" w14:textId="77777777" w:rsidR="002A604F" w:rsidRPr="009C7AB2" w:rsidRDefault="002A604F" w:rsidP="002A604F">
      <w:pPr>
        <w:spacing w:after="0" w:line="276" w:lineRule="auto"/>
        <w:jc w:val="both"/>
        <w:rPr>
          <w:rFonts w:ascii="Verdana" w:hAnsi="Verdana" w:cs="Calibri"/>
          <w:sz w:val="20"/>
          <w:szCs w:val="20"/>
        </w:rPr>
      </w:pPr>
    </w:p>
    <w:p w14:paraId="69B98908" w14:textId="79033523" w:rsidR="009C7AB2" w:rsidRPr="009C7AB2" w:rsidRDefault="009C7AB2" w:rsidP="002A604F">
      <w:pPr>
        <w:spacing w:after="0" w:line="276" w:lineRule="auto"/>
        <w:jc w:val="both"/>
        <w:rPr>
          <w:rFonts w:ascii="Verdana" w:hAnsi="Verdana" w:cs="Calibri"/>
          <w:sz w:val="20"/>
          <w:szCs w:val="20"/>
        </w:rPr>
      </w:pPr>
      <w:r w:rsidRPr="009C7AB2">
        <w:rPr>
          <w:rFonts w:ascii="Verdana" w:hAnsi="Verdana" w:cs="Calibri"/>
          <w:sz w:val="20"/>
          <w:szCs w:val="20"/>
        </w:rPr>
        <w:t>Au-delà de ces actions de visibilité, la COI développera une approche de communication autour d’Horizon 2030, visant à mettre en lumière</w:t>
      </w:r>
      <w:r w:rsidR="002A5167">
        <w:rPr>
          <w:rFonts w:ascii="Verdana" w:hAnsi="Verdana" w:cs="Calibri"/>
          <w:sz w:val="20"/>
          <w:szCs w:val="20"/>
        </w:rPr>
        <w:t>, auprès des publics institutionnels des Etats membres et des partenaires au développement (observateurs et autres partenaires),</w:t>
      </w:r>
      <w:r w:rsidRPr="009C7AB2">
        <w:rPr>
          <w:rFonts w:ascii="Verdana" w:hAnsi="Verdana" w:cs="Calibri"/>
          <w:sz w:val="20"/>
          <w:szCs w:val="20"/>
        </w:rPr>
        <w:t xml:space="preserve"> les réformes institutionnelles, les progrès accomplis et les impacts concrets des initiatives menées. Cette démarche favorisera une meilleure compréhension des transformations engagées, tout en consolidant la confiance et l’adhésion des partenaires au processus de modernisation et à la mise en œuvre du PDS.</w:t>
      </w:r>
    </w:p>
    <w:p w14:paraId="35E07D65" w14:textId="77777777" w:rsidR="00C70DFC" w:rsidRPr="002A604F" w:rsidRDefault="00C70DFC" w:rsidP="002A604F">
      <w:pPr>
        <w:spacing w:after="0" w:line="276" w:lineRule="auto"/>
        <w:jc w:val="both"/>
        <w:rPr>
          <w:rFonts w:ascii="Verdana" w:eastAsia="Times New Roman" w:hAnsi="Verdana" w:cs="Times New Roman"/>
          <w:kern w:val="2"/>
          <w:sz w:val="20"/>
          <w:szCs w:val="20"/>
          <w14:ligatures w14:val="standardContextual"/>
        </w:rPr>
      </w:pPr>
    </w:p>
    <w:bookmarkEnd w:id="0"/>
    <w:p w14:paraId="3D5C123D" w14:textId="0FC58EDC" w:rsidR="002405CA" w:rsidRPr="00F91E1C" w:rsidRDefault="002405CA" w:rsidP="00097DA3">
      <w:pPr>
        <w:pStyle w:val="Paragraphe"/>
        <w:spacing w:line="276" w:lineRule="auto"/>
        <w:ind w:left="720"/>
      </w:pPr>
    </w:p>
    <w:sectPr w:rsidR="002405CA" w:rsidRPr="00F91E1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5E24" w14:textId="77777777" w:rsidR="00DE6A3E" w:rsidRDefault="00DE6A3E">
      <w:pPr>
        <w:spacing w:after="0" w:line="240" w:lineRule="auto"/>
      </w:pPr>
      <w:r>
        <w:separator/>
      </w:r>
    </w:p>
  </w:endnote>
  <w:endnote w:type="continuationSeparator" w:id="0">
    <w:p w14:paraId="47DC887F" w14:textId="77777777" w:rsidR="00DE6A3E" w:rsidRDefault="00DE6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D760F2">
          <w:rPr>
            <w:noProof/>
          </w:rPr>
          <w:t>6</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537DE" w14:textId="77777777" w:rsidR="00DE6A3E" w:rsidRDefault="00DE6A3E">
      <w:pPr>
        <w:spacing w:after="0" w:line="240" w:lineRule="auto"/>
      </w:pPr>
      <w:r>
        <w:separator/>
      </w:r>
    </w:p>
  </w:footnote>
  <w:footnote w:type="continuationSeparator" w:id="0">
    <w:p w14:paraId="29EC799F" w14:textId="77777777" w:rsidR="00DE6A3E" w:rsidRDefault="00DE6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0DAD028" w:rsidR="00063A26" w:rsidRDefault="00854EEA" w:rsidP="00063A26">
    <w:pPr>
      <w:pStyle w:val="En-tte"/>
      <w:tabs>
        <w:tab w:val="clear" w:pos="4536"/>
        <w:tab w:val="clear" w:pos="9072"/>
        <w:tab w:val="center" w:pos="0"/>
      </w:tabs>
      <w:rPr>
        <w:b/>
        <w:bCs/>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1D055F">
      <w:rPr>
        <w:rFonts w:ascii="Verdana" w:hAnsi="Verdana"/>
        <w:b/>
        <w:bCs/>
        <w:sz w:val="20"/>
        <w:szCs w:val="20"/>
      </w:rPr>
      <w:t>1</w:t>
    </w:r>
    <w:r w:rsidR="0018252D" w:rsidRPr="00E7514D">
      <w:rPr>
        <w:rFonts w:ascii="Verdana" w:hAnsi="Verdana"/>
        <w:b/>
        <w:bCs/>
        <w:sz w:val="20"/>
        <w:szCs w:val="20"/>
      </w:rPr>
      <w:t>.</w:t>
    </w:r>
    <w:r w:rsidR="00416AE5">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81842"/>
    <w:multiLevelType w:val="multilevel"/>
    <w:tmpl w:val="4BF430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CF113E"/>
    <w:multiLevelType w:val="hybridMultilevel"/>
    <w:tmpl w:val="9EBE7F10"/>
    <w:lvl w:ilvl="0" w:tplc="7F94D150">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567EF1"/>
    <w:multiLevelType w:val="multilevel"/>
    <w:tmpl w:val="4E2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E99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7754502">
    <w:abstractNumId w:val="8"/>
  </w:num>
  <w:num w:numId="2" w16cid:durableId="379670961">
    <w:abstractNumId w:val="15"/>
  </w:num>
  <w:num w:numId="3" w16cid:durableId="1493182648">
    <w:abstractNumId w:val="5"/>
  </w:num>
  <w:num w:numId="4" w16cid:durableId="1822502622">
    <w:abstractNumId w:val="1"/>
  </w:num>
  <w:num w:numId="5" w16cid:durableId="2136899333">
    <w:abstractNumId w:val="14"/>
  </w:num>
  <w:num w:numId="6" w16cid:durableId="2077506340">
    <w:abstractNumId w:val="6"/>
  </w:num>
  <w:num w:numId="7" w16cid:durableId="1662931648">
    <w:abstractNumId w:val="10"/>
  </w:num>
  <w:num w:numId="8" w16cid:durableId="426313716">
    <w:abstractNumId w:val="5"/>
    <w:lvlOverride w:ilvl="0">
      <w:startOverride w:val="1"/>
    </w:lvlOverride>
  </w:num>
  <w:num w:numId="9" w16cid:durableId="120194674">
    <w:abstractNumId w:val="4"/>
  </w:num>
  <w:num w:numId="10" w16cid:durableId="247082653">
    <w:abstractNumId w:val="7"/>
  </w:num>
  <w:num w:numId="11" w16cid:durableId="417562094">
    <w:abstractNumId w:val="20"/>
  </w:num>
  <w:num w:numId="12" w16cid:durableId="1539246236">
    <w:abstractNumId w:val="13"/>
  </w:num>
  <w:num w:numId="13" w16cid:durableId="749888463">
    <w:abstractNumId w:val="3"/>
  </w:num>
  <w:num w:numId="14" w16cid:durableId="335768936">
    <w:abstractNumId w:val="12"/>
  </w:num>
  <w:num w:numId="15" w16cid:durableId="1693456978">
    <w:abstractNumId w:val="0"/>
  </w:num>
  <w:num w:numId="16" w16cid:durableId="1849366526">
    <w:abstractNumId w:val="11"/>
  </w:num>
  <w:num w:numId="17" w16cid:durableId="570624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401926">
    <w:abstractNumId w:val="16"/>
  </w:num>
  <w:num w:numId="19" w16cid:durableId="306907960">
    <w:abstractNumId w:val="2"/>
  </w:num>
  <w:num w:numId="20" w16cid:durableId="1084835911">
    <w:abstractNumId w:val="19"/>
  </w:num>
  <w:num w:numId="21" w16cid:durableId="630012616">
    <w:abstractNumId w:val="18"/>
  </w:num>
  <w:num w:numId="22" w16cid:durableId="1846281303">
    <w:abstractNumId w:val="9"/>
  </w:num>
  <w:num w:numId="23" w16cid:durableId="1089228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73B2"/>
    <w:rsid w:val="00040579"/>
    <w:rsid w:val="00041925"/>
    <w:rsid w:val="00042CF5"/>
    <w:rsid w:val="0004376E"/>
    <w:rsid w:val="00046A0A"/>
    <w:rsid w:val="00054900"/>
    <w:rsid w:val="00060CA0"/>
    <w:rsid w:val="0006259A"/>
    <w:rsid w:val="00063A26"/>
    <w:rsid w:val="00071AB2"/>
    <w:rsid w:val="000763B8"/>
    <w:rsid w:val="0008468B"/>
    <w:rsid w:val="00093558"/>
    <w:rsid w:val="0009522E"/>
    <w:rsid w:val="00097DA3"/>
    <w:rsid w:val="000A468A"/>
    <w:rsid w:val="000B0FBD"/>
    <w:rsid w:val="000B2026"/>
    <w:rsid w:val="000C123D"/>
    <w:rsid w:val="000C449A"/>
    <w:rsid w:val="000C539B"/>
    <w:rsid w:val="000F0715"/>
    <w:rsid w:val="000F241C"/>
    <w:rsid w:val="000F35F0"/>
    <w:rsid w:val="000F4728"/>
    <w:rsid w:val="0010236B"/>
    <w:rsid w:val="001024B4"/>
    <w:rsid w:val="00107D9D"/>
    <w:rsid w:val="00111AB6"/>
    <w:rsid w:val="00154B2D"/>
    <w:rsid w:val="0018252D"/>
    <w:rsid w:val="00182B6C"/>
    <w:rsid w:val="00193079"/>
    <w:rsid w:val="001A4B9D"/>
    <w:rsid w:val="001A56F1"/>
    <w:rsid w:val="001B066D"/>
    <w:rsid w:val="001B1003"/>
    <w:rsid w:val="001B4738"/>
    <w:rsid w:val="001D055F"/>
    <w:rsid w:val="001D0FEC"/>
    <w:rsid w:val="001E58F4"/>
    <w:rsid w:val="001F34E5"/>
    <w:rsid w:val="00201EF6"/>
    <w:rsid w:val="00216EF7"/>
    <w:rsid w:val="002171A9"/>
    <w:rsid w:val="002214E6"/>
    <w:rsid w:val="00221D5D"/>
    <w:rsid w:val="00221FE8"/>
    <w:rsid w:val="002346F9"/>
    <w:rsid w:val="002405CA"/>
    <w:rsid w:val="002470EB"/>
    <w:rsid w:val="00272914"/>
    <w:rsid w:val="00284223"/>
    <w:rsid w:val="00284C46"/>
    <w:rsid w:val="00287B70"/>
    <w:rsid w:val="002A0933"/>
    <w:rsid w:val="002A096E"/>
    <w:rsid w:val="002A5167"/>
    <w:rsid w:val="002A604F"/>
    <w:rsid w:val="002B226B"/>
    <w:rsid w:val="002B2CCF"/>
    <w:rsid w:val="002B3B10"/>
    <w:rsid w:val="002C1929"/>
    <w:rsid w:val="002C26EF"/>
    <w:rsid w:val="002C56ED"/>
    <w:rsid w:val="002D0145"/>
    <w:rsid w:val="002D2A54"/>
    <w:rsid w:val="002E10B9"/>
    <w:rsid w:val="002E1237"/>
    <w:rsid w:val="002E14D0"/>
    <w:rsid w:val="002F1265"/>
    <w:rsid w:val="003068C5"/>
    <w:rsid w:val="00306BE9"/>
    <w:rsid w:val="00310AD6"/>
    <w:rsid w:val="0031410B"/>
    <w:rsid w:val="0032519C"/>
    <w:rsid w:val="00332840"/>
    <w:rsid w:val="00340960"/>
    <w:rsid w:val="00342F59"/>
    <w:rsid w:val="003458B7"/>
    <w:rsid w:val="003566B1"/>
    <w:rsid w:val="0035773D"/>
    <w:rsid w:val="003604B9"/>
    <w:rsid w:val="0036201C"/>
    <w:rsid w:val="003643C5"/>
    <w:rsid w:val="0036493D"/>
    <w:rsid w:val="00375F9E"/>
    <w:rsid w:val="003772FB"/>
    <w:rsid w:val="00386938"/>
    <w:rsid w:val="00391152"/>
    <w:rsid w:val="003B1150"/>
    <w:rsid w:val="003B1E79"/>
    <w:rsid w:val="003C0682"/>
    <w:rsid w:val="003C12A6"/>
    <w:rsid w:val="003C2538"/>
    <w:rsid w:val="003D485F"/>
    <w:rsid w:val="003D5328"/>
    <w:rsid w:val="003E7297"/>
    <w:rsid w:val="003F0660"/>
    <w:rsid w:val="003F2872"/>
    <w:rsid w:val="003F2B22"/>
    <w:rsid w:val="00412747"/>
    <w:rsid w:val="0041278C"/>
    <w:rsid w:val="00416AE5"/>
    <w:rsid w:val="00417683"/>
    <w:rsid w:val="00425B0C"/>
    <w:rsid w:val="00426673"/>
    <w:rsid w:val="00431A27"/>
    <w:rsid w:val="00433259"/>
    <w:rsid w:val="00435929"/>
    <w:rsid w:val="00454A71"/>
    <w:rsid w:val="004607F7"/>
    <w:rsid w:val="0046335B"/>
    <w:rsid w:val="00467E72"/>
    <w:rsid w:val="00491974"/>
    <w:rsid w:val="0049782A"/>
    <w:rsid w:val="004A294D"/>
    <w:rsid w:val="004C2C4E"/>
    <w:rsid w:val="004E03B2"/>
    <w:rsid w:val="004E4140"/>
    <w:rsid w:val="004F180B"/>
    <w:rsid w:val="004F5C4B"/>
    <w:rsid w:val="004F6156"/>
    <w:rsid w:val="005053CD"/>
    <w:rsid w:val="00506325"/>
    <w:rsid w:val="005074E2"/>
    <w:rsid w:val="00513D2A"/>
    <w:rsid w:val="00516B59"/>
    <w:rsid w:val="00517BFE"/>
    <w:rsid w:val="005367B4"/>
    <w:rsid w:val="0053773D"/>
    <w:rsid w:val="00537BBF"/>
    <w:rsid w:val="00540B7A"/>
    <w:rsid w:val="00554651"/>
    <w:rsid w:val="00561F1E"/>
    <w:rsid w:val="00587544"/>
    <w:rsid w:val="00591838"/>
    <w:rsid w:val="00596C86"/>
    <w:rsid w:val="00597C15"/>
    <w:rsid w:val="005A4D1D"/>
    <w:rsid w:val="005A5466"/>
    <w:rsid w:val="005A5DF5"/>
    <w:rsid w:val="005B5C4A"/>
    <w:rsid w:val="005D7CAC"/>
    <w:rsid w:val="005E75F8"/>
    <w:rsid w:val="005E77CA"/>
    <w:rsid w:val="005F2C3B"/>
    <w:rsid w:val="0060575B"/>
    <w:rsid w:val="006076E7"/>
    <w:rsid w:val="00612496"/>
    <w:rsid w:val="00613B4D"/>
    <w:rsid w:val="00616590"/>
    <w:rsid w:val="00617F44"/>
    <w:rsid w:val="00620B90"/>
    <w:rsid w:val="006356AF"/>
    <w:rsid w:val="0063692B"/>
    <w:rsid w:val="006469E4"/>
    <w:rsid w:val="0065136E"/>
    <w:rsid w:val="006548BF"/>
    <w:rsid w:val="00655957"/>
    <w:rsid w:val="00660504"/>
    <w:rsid w:val="00663433"/>
    <w:rsid w:val="00663BA8"/>
    <w:rsid w:val="00664808"/>
    <w:rsid w:val="00686185"/>
    <w:rsid w:val="006B1C3A"/>
    <w:rsid w:val="006C4A57"/>
    <w:rsid w:val="006E2D9E"/>
    <w:rsid w:val="006E7B08"/>
    <w:rsid w:val="006F7FCA"/>
    <w:rsid w:val="0070043C"/>
    <w:rsid w:val="0070665A"/>
    <w:rsid w:val="00707B45"/>
    <w:rsid w:val="007160BA"/>
    <w:rsid w:val="007267B3"/>
    <w:rsid w:val="007339F2"/>
    <w:rsid w:val="00737632"/>
    <w:rsid w:val="00737F72"/>
    <w:rsid w:val="00744485"/>
    <w:rsid w:val="00746EFA"/>
    <w:rsid w:val="00752CBB"/>
    <w:rsid w:val="00760238"/>
    <w:rsid w:val="007669D6"/>
    <w:rsid w:val="00782E90"/>
    <w:rsid w:val="00784049"/>
    <w:rsid w:val="00784970"/>
    <w:rsid w:val="00784BC2"/>
    <w:rsid w:val="0078576E"/>
    <w:rsid w:val="00786526"/>
    <w:rsid w:val="0079368A"/>
    <w:rsid w:val="007B245C"/>
    <w:rsid w:val="007C359E"/>
    <w:rsid w:val="007C78FC"/>
    <w:rsid w:val="007C7987"/>
    <w:rsid w:val="007D2752"/>
    <w:rsid w:val="007D4B9D"/>
    <w:rsid w:val="007E5273"/>
    <w:rsid w:val="007E53C4"/>
    <w:rsid w:val="00812221"/>
    <w:rsid w:val="008166FC"/>
    <w:rsid w:val="00816DAC"/>
    <w:rsid w:val="00816EF0"/>
    <w:rsid w:val="00832047"/>
    <w:rsid w:val="0083290E"/>
    <w:rsid w:val="008345B8"/>
    <w:rsid w:val="0084130D"/>
    <w:rsid w:val="00843446"/>
    <w:rsid w:val="00843FF2"/>
    <w:rsid w:val="008453AB"/>
    <w:rsid w:val="00854EEA"/>
    <w:rsid w:val="00854F79"/>
    <w:rsid w:val="008551DA"/>
    <w:rsid w:val="008577DD"/>
    <w:rsid w:val="00874471"/>
    <w:rsid w:val="00874D8C"/>
    <w:rsid w:val="00877DA1"/>
    <w:rsid w:val="008841A3"/>
    <w:rsid w:val="008904CB"/>
    <w:rsid w:val="008927D4"/>
    <w:rsid w:val="008A5AFE"/>
    <w:rsid w:val="008B33B3"/>
    <w:rsid w:val="008D193F"/>
    <w:rsid w:val="008D50F2"/>
    <w:rsid w:val="008E36EA"/>
    <w:rsid w:val="008E713A"/>
    <w:rsid w:val="008F173C"/>
    <w:rsid w:val="008F7E5D"/>
    <w:rsid w:val="00910C1D"/>
    <w:rsid w:val="00911EF6"/>
    <w:rsid w:val="00912E00"/>
    <w:rsid w:val="00913245"/>
    <w:rsid w:val="009141D0"/>
    <w:rsid w:val="0091496D"/>
    <w:rsid w:val="00925B88"/>
    <w:rsid w:val="00925F47"/>
    <w:rsid w:val="00934E6C"/>
    <w:rsid w:val="00936679"/>
    <w:rsid w:val="00951FB4"/>
    <w:rsid w:val="00955BB3"/>
    <w:rsid w:val="00965571"/>
    <w:rsid w:val="0097442A"/>
    <w:rsid w:val="00977840"/>
    <w:rsid w:val="00991DD7"/>
    <w:rsid w:val="00993C07"/>
    <w:rsid w:val="009A38AD"/>
    <w:rsid w:val="009A54C7"/>
    <w:rsid w:val="009A7634"/>
    <w:rsid w:val="009A7AAD"/>
    <w:rsid w:val="009B050E"/>
    <w:rsid w:val="009B26C0"/>
    <w:rsid w:val="009B2D32"/>
    <w:rsid w:val="009C7AB2"/>
    <w:rsid w:val="009D56CA"/>
    <w:rsid w:val="009E30F2"/>
    <w:rsid w:val="009F21B0"/>
    <w:rsid w:val="009F3D49"/>
    <w:rsid w:val="009F611C"/>
    <w:rsid w:val="00A0384F"/>
    <w:rsid w:val="00A11E61"/>
    <w:rsid w:val="00A129D9"/>
    <w:rsid w:val="00A137B8"/>
    <w:rsid w:val="00A148A1"/>
    <w:rsid w:val="00A2265F"/>
    <w:rsid w:val="00A2302D"/>
    <w:rsid w:val="00A25748"/>
    <w:rsid w:val="00A3477B"/>
    <w:rsid w:val="00A34910"/>
    <w:rsid w:val="00A36C09"/>
    <w:rsid w:val="00A3787A"/>
    <w:rsid w:val="00A37C9F"/>
    <w:rsid w:val="00A44804"/>
    <w:rsid w:val="00A55FF6"/>
    <w:rsid w:val="00A57AE4"/>
    <w:rsid w:val="00A649ED"/>
    <w:rsid w:val="00A70123"/>
    <w:rsid w:val="00A76B07"/>
    <w:rsid w:val="00A81B98"/>
    <w:rsid w:val="00A90305"/>
    <w:rsid w:val="00A973FB"/>
    <w:rsid w:val="00AA588E"/>
    <w:rsid w:val="00AA63A3"/>
    <w:rsid w:val="00AA686F"/>
    <w:rsid w:val="00AA7E02"/>
    <w:rsid w:val="00AB1561"/>
    <w:rsid w:val="00AB34A9"/>
    <w:rsid w:val="00AB5EB7"/>
    <w:rsid w:val="00AB6C45"/>
    <w:rsid w:val="00AC5738"/>
    <w:rsid w:val="00AD4D97"/>
    <w:rsid w:val="00AD7407"/>
    <w:rsid w:val="00AE01ED"/>
    <w:rsid w:val="00AE2349"/>
    <w:rsid w:val="00AE2453"/>
    <w:rsid w:val="00AE5991"/>
    <w:rsid w:val="00AE6DBA"/>
    <w:rsid w:val="00AF0062"/>
    <w:rsid w:val="00AF0945"/>
    <w:rsid w:val="00AF6354"/>
    <w:rsid w:val="00B01A7D"/>
    <w:rsid w:val="00B03492"/>
    <w:rsid w:val="00B03571"/>
    <w:rsid w:val="00B05AE8"/>
    <w:rsid w:val="00B05DFC"/>
    <w:rsid w:val="00B11B4B"/>
    <w:rsid w:val="00B14EF2"/>
    <w:rsid w:val="00B16EE2"/>
    <w:rsid w:val="00B175C0"/>
    <w:rsid w:val="00B2373A"/>
    <w:rsid w:val="00B2736A"/>
    <w:rsid w:val="00B30251"/>
    <w:rsid w:val="00B30940"/>
    <w:rsid w:val="00B3553D"/>
    <w:rsid w:val="00B36EEA"/>
    <w:rsid w:val="00B44EF1"/>
    <w:rsid w:val="00B45461"/>
    <w:rsid w:val="00B472AE"/>
    <w:rsid w:val="00B479AE"/>
    <w:rsid w:val="00B53762"/>
    <w:rsid w:val="00B5589A"/>
    <w:rsid w:val="00B6122C"/>
    <w:rsid w:val="00B8032B"/>
    <w:rsid w:val="00B83DF3"/>
    <w:rsid w:val="00BA4B55"/>
    <w:rsid w:val="00BA599F"/>
    <w:rsid w:val="00BA7E57"/>
    <w:rsid w:val="00BB1A35"/>
    <w:rsid w:val="00BB623A"/>
    <w:rsid w:val="00BD1809"/>
    <w:rsid w:val="00BD6BE7"/>
    <w:rsid w:val="00BD6DF8"/>
    <w:rsid w:val="00BE073B"/>
    <w:rsid w:val="00BE51AA"/>
    <w:rsid w:val="00BE7E54"/>
    <w:rsid w:val="00BF7497"/>
    <w:rsid w:val="00C01187"/>
    <w:rsid w:val="00C107B5"/>
    <w:rsid w:val="00C123A5"/>
    <w:rsid w:val="00C12C93"/>
    <w:rsid w:val="00C12FDD"/>
    <w:rsid w:val="00C175C0"/>
    <w:rsid w:val="00C1793F"/>
    <w:rsid w:val="00C20872"/>
    <w:rsid w:val="00C2653C"/>
    <w:rsid w:val="00C325F5"/>
    <w:rsid w:val="00C342C1"/>
    <w:rsid w:val="00C3799A"/>
    <w:rsid w:val="00C44876"/>
    <w:rsid w:val="00C457E8"/>
    <w:rsid w:val="00C46076"/>
    <w:rsid w:val="00C57C68"/>
    <w:rsid w:val="00C57FF9"/>
    <w:rsid w:val="00C609B9"/>
    <w:rsid w:val="00C61EC1"/>
    <w:rsid w:val="00C70DFC"/>
    <w:rsid w:val="00C7171D"/>
    <w:rsid w:val="00C8476F"/>
    <w:rsid w:val="00C92BB2"/>
    <w:rsid w:val="00C93231"/>
    <w:rsid w:val="00C95D52"/>
    <w:rsid w:val="00CB30A3"/>
    <w:rsid w:val="00CB410D"/>
    <w:rsid w:val="00CB6BF2"/>
    <w:rsid w:val="00CB75AD"/>
    <w:rsid w:val="00CC0DA0"/>
    <w:rsid w:val="00CD46E3"/>
    <w:rsid w:val="00CD5CAB"/>
    <w:rsid w:val="00CE211E"/>
    <w:rsid w:val="00CE2386"/>
    <w:rsid w:val="00CE31FE"/>
    <w:rsid w:val="00CF5347"/>
    <w:rsid w:val="00D03316"/>
    <w:rsid w:val="00D10EF9"/>
    <w:rsid w:val="00D2139F"/>
    <w:rsid w:val="00D32593"/>
    <w:rsid w:val="00D3488D"/>
    <w:rsid w:val="00D44F17"/>
    <w:rsid w:val="00D4517A"/>
    <w:rsid w:val="00D527F5"/>
    <w:rsid w:val="00D619CB"/>
    <w:rsid w:val="00D736BD"/>
    <w:rsid w:val="00D760F2"/>
    <w:rsid w:val="00D80195"/>
    <w:rsid w:val="00D87020"/>
    <w:rsid w:val="00D87C9F"/>
    <w:rsid w:val="00D90DAA"/>
    <w:rsid w:val="00DA4577"/>
    <w:rsid w:val="00DA6AFB"/>
    <w:rsid w:val="00DA71F3"/>
    <w:rsid w:val="00DB6E19"/>
    <w:rsid w:val="00DC14E9"/>
    <w:rsid w:val="00DC2747"/>
    <w:rsid w:val="00DC2AE4"/>
    <w:rsid w:val="00DD07E0"/>
    <w:rsid w:val="00DD4BDF"/>
    <w:rsid w:val="00DE08E2"/>
    <w:rsid w:val="00DE62BC"/>
    <w:rsid w:val="00DE6A3E"/>
    <w:rsid w:val="00DE6FA9"/>
    <w:rsid w:val="00DF37A1"/>
    <w:rsid w:val="00E10778"/>
    <w:rsid w:val="00E212B7"/>
    <w:rsid w:val="00E24B60"/>
    <w:rsid w:val="00E25857"/>
    <w:rsid w:val="00E32408"/>
    <w:rsid w:val="00E32477"/>
    <w:rsid w:val="00E4056A"/>
    <w:rsid w:val="00E44930"/>
    <w:rsid w:val="00E544A5"/>
    <w:rsid w:val="00E55239"/>
    <w:rsid w:val="00E6798C"/>
    <w:rsid w:val="00E7514D"/>
    <w:rsid w:val="00E75F68"/>
    <w:rsid w:val="00E809E3"/>
    <w:rsid w:val="00E845D4"/>
    <w:rsid w:val="00E8499C"/>
    <w:rsid w:val="00E85445"/>
    <w:rsid w:val="00EA17AF"/>
    <w:rsid w:val="00EB595A"/>
    <w:rsid w:val="00EB5F32"/>
    <w:rsid w:val="00EC2094"/>
    <w:rsid w:val="00EC22CC"/>
    <w:rsid w:val="00EC3CEE"/>
    <w:rsid w:val="00EC69AF"/>
    <w:rsid w:val="00ED38E6"/>
    <w:rsid w:val="00ED6B69"/>
    <w:rsid w:val="00EE34F4"/>
    <w:rsid w:val="00EF22A4"/>
    <w:rsid w:val="00F002E3"/>
    <w:rsid w:val="00F02109"/>
    <w:rsid w:val="00F13CB7"/>
    <w:rsid w:val="00F20179"/>
    <w:rsid w:val="00F25544"/>
    <w:rsid w:val="00F3263A"/>
    <w:rsid w:val="00F35654"/>
    <w:rsid w:val="00F35C3A"/>
    <w:rsid w:val="00F44C93"/>
    <w:rsid w:val="00F471DE"/>
    <w:rsid w:val="00F4763F"/>
    <w:rsid w:val="00F54E47"/>
    <w:rsid w:val="00F54EA0"/>
    <w:rsid w:val="00F81969"/>
    <w:rsid w:val="00F83CEC"/>
    <w:rsid w:val="00F83DEE"/>
    <w:rsid w:val="00F86008"/>
    <w:rsid w:val="00F91B3E"/>
    <w:rsid w:val="00F91E1C"/>
    <w:rsid w:val="00F92F1D"/>
    <w:rsid w:val="00F933B7"/>
    <w:rsid w:val="00F96EE9"/>
    <w:rsid w:val="00FA42D2"/>
    <w:rsid w:val="00FA730B"/>
    <w:rsid w:val="00FA76F5"/>
    <w:rsid w:val="00FB5272"/>
    <w:rsid w:val="00FC7EFE"/>
    <w:rsid w:val="00FD1D91"/>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docId w15:val="{D37FDE9D-514A-4847-8CE6-AD267D34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 w:type="paragraph" w:styleId="Textedebulles">
    <w:name w:val="Balloon Text"/>
    <w:basedOn w:val="Normal"/>
    <w:link w:val="TextedebullesCar"/>
    <w:uiPriority w:val="99"/>
    <w:semiHidden/>
    <w:unhideWhenUsed/>
    <w:rsid w:val="00FA73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30B"/>
    <w:rPr>
      <w:rFonts w:ascii="Tahoma" w:hAnsi="Tahoma" w:cs="Tahoma"/>
      <w:sz w:val="16"/>
      <w:szCs w:val="16"/>
    </w:rPr>
  </w:style>
  <w:style w:type="paragraph" w:customStyle="1" w:styleId="Default">
    <w:name w:val="Default"/>
    <w:rsid w:val="00812221"/>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1D055F"/>
    <w:rPr>
      <w:color w:val="0563C1" w:themeColor="hyperlink"/>
      <w:u w:val="single"/>
    </w:rPr>
  </w:style>
  <w:style w:type="character" w:styleId="Mentionnonrsolue">
    <w:name w:val="Unresolved Mention"/>
    <w:basedOn w:val="Policepardfaut"/>
    <w:uiPriority w:val="99"/>
    <w:semiHidden/>
    <w:unhideWhenUsed/>
    <w:rsid w:val="001D055F"/>
    <w:rPr>
      <w:color w:val="605E5C"/>
      <w:shd w:val="clear" w:color="auto" w:fill="E1DFDD"/>
    </w:rPr>
  </w:style>
  <w:style w:type="character" w:styleId="lev">
    <w:name w:val="Strong"/>
    <w:basedOn w:val="Policepardfaut"/>
    <w:uiPriority w:val="22"/>
    <w:qFormat/>
    <w:rsid w:val="00416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5351">
      <w:bodyDiv w:val="1"/>
      <w:marLeft w:val="0"/>
      <w:marRight w:val="0"/>
      <w:marTop w:val="0"/>
      <w:marBottom w:val="0"/>
      <w:divBdr>
        <w:top w:val="none" w:sz="0" w:space="0" w:color="auto"/>
        <w:left w:val="none" w:sz="0" w:space="0" w:color="auto"/>
        <w:bottom w:val="none" w:sz="0" w:space="0" w:color="auto"/>
        <w:right w:val="none" w:sz="0" w:space="0" w:color="auto"/>
      </w:divBdr>
    </w:div>
    <w:div w:id="21654969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390275077">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15579594">
      <w:bodyDiv w:val="1"/>
      <w:marLeft w:val="0"/>
      <w:marRight w:val="0"/>
      <w:marTop w:val="0"/>
      <w:marBottom w:val="0"/>
      <w:divBdr>
        <w:top w:val="none" w:sz="0" w:space="0" w:color="auto"/>
        <w:left w:val="none" w:sz="0" w:space="0" w:color="auto"/>
        <w:bottom w:val="none" w:sz="0" w:space="0" w:color="auto"/>
        <w:right w:val="none" w:sz="0" w:space="0" w:color="auto"/>
      </w:divBdr>
    </w:div>
    <w:div w:id="523446437">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625088550">
      <w:bodyDiv w:val="1"/>
      <w:marLeft w:val="0"/>
      <w:marRight w:val="0"/>
      <w:marTop w:val="0"/>
      <w:marBottom w:val="0"/>
      <w:divBdr>
        <w:top w:val="none" w:sz="0" w:space="0" w:color="auto"/>
        <w:left w:val="none" w:sz="0" w:space="0" w:color="auto"/>
        <w:bottom w:val="none" w:sz="0" w:space="0" w:color="auto"/>
        <w:right w:val="none" w:sz="0" w:space="0" w:color="auto"/>
      </w:divBdr>
    </w:div>
    <w:div w:id="692002249">
      <w:bodyDiv w:val="1"/>
      <w:marLeft w:val="0"/>
      <w:marRight w:val="0"/>
      <w:marTop w:val="0"/>
      <w:marBottom w:val="0"/>
      <w:divBdr>
        <w:top w:val="none" w:sz="0" w:space="0" w:color="auto"/>
        <w:left w:val="none" w:sz="0" w:space="0" w:color="auto"/>
        <w:bottom w:val="none" w:sz="0" w:space="0" w:color="auto"/>
        <w:right w:val="none" w:sz="0" w:space="0" w:color="auto"/>
      </w:divBdr>
      <w:divsChild>
        <w:div w:id="1022979100">
          <w:marLeft w:val="0"/>
          <w:marRight w:val="0"/>
          <w:marTop w:val="0"/>
          <w:marBottom w:val="0"/>
          <w:divBdr>
            <w:top w:val="none" w:sz="0" w:space="0" w:color="auto"/>
            <w:left w:val="none" w:sz="0" w:space="0" w:color="auto"/>
            <w:bottom w:val="none" w:sz="0" w:space="0" w:color="auto"/>
            <w:right w:val="none" w:sz="0" w:space="0" w:color="auto"/>
          </w:divBdr>
          <w:divsChild>
            <w:div w:id="1311324989">
              <w:marLeft w:val="0"/>
              <w:marRight w:val="0"/>
              <w:marTop w:val="0"/>
              <w:marBottom w:val="0"/>
              <w:divBdr>
                <w:top w:val="none" w:sz="0" w:space="0" w:color="auto"/>
                <w:left w:val="none" w:sz="0" w:space="0" w:color="auto"/>
                <w:bottom w:val="none" w:sz="0" w:space="0" w:color="auto"/>
                <w:right w:val="none" w:sz="0" w:space="0" w:color="auto"/>
              </w:divBdr>
              <w:divsChild>
                <w:div w:id="1386829312">
                  <w:marLeft w:val="0"/>
                  <w:marRight w:val="0"/>
                  <w:marTop w:val="0"/>
                  <w:marBottom w:val="0"/>
                  <w:divBdr>
                    <w:top w:val="none" w:sz="0" w:space="0" w:color="auto"/>
                    <w:left w:val="none" w:sz="0" w:space="0" w:color="auto"/>
                    <w:bottom w:val="none" w:sz="0" w:space="0" w:color="auto"/>
                    <w:right w:val="none" w:sz="0" w:space="0" w:color="auto"/>
                  </w:divBdr>
                  <w:divsChild>
                    <w:div w:id="709185123">
                      <w:marLeft w:val="0"/>
                      <w:marRight w:val="0"/>
                      <w:marTop w:val="0"/>
                      <w:marBottom w:val="0"/>
                      <w:divBdr>
                        <w:top w:val="none" w:sz="0" w:space="0" w:color="auto"/>
                        <w:left w:val="none" w:sz="0" w:space="0" w:color="auto"/>
                        <w:bottom w:val="none" w:sz="0" w:space="0" w:color="auto"/>
                        <w:right w:val="none" w:sz="0" w:space="0" w:color="auto"/>
                      </w:divBdr>
                      <w:divsChild>
                        <w:div w:id="916868936">
                          <w:marLeft w:val="0"/>
                          <w:marRight w:val="0"/>
                          <w:marTop w:val="0"/>
                          <w:marBottom w:val="0"/>
                          <w:divBdr>
                            <w:top w:val="none" w:sz="0" w:space="0" w:color="auto"/>
                            <w:left w:val="none" w:sz="0" w:space="0" w:color="auto"/>
                            <w:bottom w:val="none" w:sz="0" w:space="0" w:color="auto"/>
                            <w:right w:val="none" w:sz="0" w:space="0" w:color="auto"/>
                          </w:divBdr>
                          <w:divsChild>
                            <w:div w:id="2974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840973760">
      <w:bodyDiv w:val="1"/>
      <w:marLeft w:val="0"/>
      <w:marRight w:val="0"/>
      <w:marTop w:val="0"/>
      <w:marBottom w:val="0"/>
      <w:divBdr>
        <w:top w:val="none" w:sz="0" w:space="0" w:color="auto"/>
        <w:left w:val="none" w:sz="0" w:space="0" w:color="auto"/>
        <w:bottom w:val="none" w:sz="0" w:space="0" w:color="auto"/>
        <w:right w:val="none" w:sz="0" w:space="0" w:color="auto"/>
      </w:divBdr>
    </w:div>
    <w:div w:id="870727336">
      <w:bodyDiv w:val="1"/>
      <w:marLeft w:val="0"/>
      <w:marRight w:val="0"/>
      <w:marTop w:val="0"/>
      <w:marBottom w:val="0"/>
      <w:divBdr>
        <w:top w:val="none" w:sz="0" w:space="0" w:color="auto"/>
        <w:left w:val="none" w:sz="0" w:space="0" w:color="auto"/>
        <w:bottom w:val="none" w:sz="0" w:space="0" w:color="auto"/>
        <w:right w:val="none" w:sz="0" w:space="0" w:color="auto"/>
      </w:divBdr>
      <w:divsChild>
        <w:div w:id="1479608869">
          <w:marLeft w:val="0"/>
          <w:marRight w:val="0"/>
          <w:marTop w:val="0"/>
          <w:marBottom w:val="0"/>
          <w:divBdr>
            <w:top w:val="none" w:sz="0" w:space="0" w:color="auto"/>
            <w:left w:val="none" w:sz="0" w:space="0" w:color="auto"/>
            <w:bottom w:val="none" w:sz="0" w:space="0" w:color="auto"/>
            <w:right w:val="none" w:sz="0" w:space="0" w:color="auto"/>
          </w:divBdr>
          <w:divsChild>
            <w:div w:id="730349044">
              <w:marLeft w:val="0"/>
              <w:marRight w:val="0"/>
              <w:marTop w:val="0"/>
              <w:marBottom w:val="0"/>
              <w:divBdr>
                <w:top w:val="none" w:sz="0" w:space="0" w:color="auto"/>
                <w:left w:val="none" w:sz="0" w:space="0" w:color="auto"/>
                <w:bottom w:val="none" w:sz="0" w:space="0" w:color="auto"/>
                <w:right w:val="none" w:sz="0" w:space="0" w:color="auto"/>
              </w:divBdr>
              <w:divsChild>
                <w:div w:id="2118793264">
                  <w:marLeft w:val="0"/>
                  <w:marRight w:val="0"/>
                  <w:marTop w:val="0"/>
                  <w:marBottom w:val="0"/>
                  <w:divBdr>
                    <w:top w:val="none" w:sz="0" w:space="0" w:color="auto"/>
                    <w:left w:val="none" w:sz="0" w:space="0" w:color="auto"/>
                    <w:bottom w:val="none" w:sz="0" w:space="0" w:color="auto"/>
                    <w:right w:val="none" w:sz="0" w:space="0" w:color="auto"/>
                  </w:divBdr>
                  <w:divsChild>
                    <w:div w:id="1211697176">
                      <w:marLeft w:val="0"/>
                      <w:marRight w:val="0"/>
                      <w:marTop w:val="0"/>
                      <w:marBottom w:val="0"/>
                      <w:divBdr>
                        <w:top w:val="none" w:sz="0" w:space="0" w:color="auto"/>
                        <w:left w:val="none" w:sz="0" w:space="0" w:color="auto"/>
                        <w:bottom w:val="none" w:sz="0" w:space="0" w:color="auto"/>
                        <w:right w:val="none" w:sz="0" w:space="0" w:color="auto"/>
                      </w:divBdr>
                      <w:divsChild>
                        <w:div w:id="1449399272">
                          <w:marLeft w:val="0"/>
                          <w:marRight w:val="0"/>
                          <w:marTop w:val="0"/>
                          <w:marBottom w:val="0"/>
                          <w:divBdr>
                            <w:top w:val="none" w:sz="0" w:space="0" w:color="auto"/>
                            <w:left w:val="none" w:sz="0" w:space="0" w:color="auto"/>
                            <w:bottom w:val="none" w:sz="0" w:space="0" w:color="auto"/>
                            <w:right w:val="none" w:sz="0" w:space="0" w:color="auto"/>
                          </w:divBdr>
                          <w:divsChild>
                            <w:div w:id="658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975916216">
      <w:bodyDiv w:val="1"/>
      <w:marLeft w:val="0"/>
      <w:marRight w:val="0"/>
      <w:marTop w:val="0"/>
      <w:marBottom w:val="0"/>
      <w:divBdr>
        <w:top w:val="none" w:sz="0" w:space="0" w:color="auto"/>
        <w:left w:val="none" w:sz="0" w:space="0" w:color="auto"/>
        <w:bottom w:val="none" w:sz="0" w:space="0" w:color="auto"/>
        <w:right w:val="none" w:sz="0" w:space="0" w:color="auto"/>
      </w:divBdr>
    </w:div>
    <w:div w:id="981617270">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sChild>
        <w:div w:id="1434476032">
          <w:marLeft w:val="0"/>
          <w:marRight w:val="0"/>
          <w:marTop w:val="0"/>
          <w:marBottom w:val="0"/>
          <w:divBdr>
            <w:top w:val="none" w:sz="0" w:space="0" w:color="auto"/>
            <w:left w:val="none" w:sz="0" w:space="0" w:color="auto"/>
            <w:bottom w:val="none" w:sz="0" w:space="0" w:color="auto"/>
            <w:right w:val="none" w:sz="0" w:space="0" w:color="auto"/>
          </w:divBdr>
          <w:divsChild>
            <w:div w:id="1908570626">
              <w:marLeft w:val="0"/>
              <w:marRight w:val="0"/>
              <w:marTop w:val="0"/>
              <w:marBottom w:val="0"/>
              <w:divBdr>
                <w:top w:val="none" w:sz="0" w:space="0" w:color="auto"/>
                <w:left w:val="none" w:sz="0" w:space="0" w:color="auto"/>
                <w:bottom w:val="none" w:sz="0" w:space="0" w:color="auto"/>
                <w:right w:val="none" w:sz="0" w:space="0" w:color="auto"/>
              </w:divBdr>
              <w:divsChild>
                <w:div w:id="1803502102">
                  <w:marLeft w:val="0"/>
                  <w:marRight w:val="0"/>
                  <w:marTop w:val="0"/>
                  <w:marBottom w:val="0"/>
                  <w:divBdr>
                    <w:top w:val="none" w:sz="0" w:space="0" w:color="auto"/>
                    <w:left w:val="none" w:sz="0" w:space="0" w:color="auto"/>
                    <w:bottom w:val="none" w:sz="0" w:space="0" w:color="auto"/>
                    <w:right w:val="none" w:sz="0" w:space="0" w:color="auto"/>
                  </w:divBdr>
                  <w:divsChild>
                    <w:div w:id="792944045">
                      <w:marLeft w:val="0"/>
                      <w:marRight w:val="0"/>
                      <w:marTop w:val="0"/>
                      <w:marBottom w:val="0"/>
                      <w:divBdr>
                        <w:top w:val="none" w:sz="0" w:space="0" w:color="auto"/>
                        <w:left w:val="none" w:sz="0" w:space="0" w:color="auto"/>
                        <w:bottom w:val="none" w:sz="0" w:space="0" w:color="auto"/>
                        <w:right w:val="none" w:sz="0" w:space="0" w:color="auto"/>
                      </w:divBdr>
                      <w:divsChild>
                        <w:div w:id="547449368">
                          <w:marLeft w:val="0"/>
                          <w:marRight w:val="0"/>
                          <w:marTop w:val="0"/>
                          <w:marBottom w:val="0"/>
                          <w:divBdr>
                            <w:top w:val="none" w:sz="0" w:space="0" w:color="auto"/>
                            <w:left w:val="none" w:sz="0" w:space="0" w:color="auto"/>
                            <w:bottom w:val="none" w:sz="0" w:space="0" w:color="auto"/>
                            <w:right w:val="none" w:sz="0" w:space="0" w:color="auto"/>
                          </w:divBdr>
                          <w:divsChild>
                            <w:div w:id="2116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080981403">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007289820">
          <w:marLeft w:val="1973"/>
          <w:marRight w:val="0"/>
          <w:marTop w:val="0"/>
          <w:marBottom w:val="0"/>
          <w:divBdr>
            <w:top w:val="none" w:sz="0" w:space="0" w:color="auto"/>
            <w:left w:val="none" w:sz="0" w:space="0" w:color="auto"/>
            <w:bottom w:val="none" w:sz="0" w:space="0" w:color="auto"/>
            <w:right w:val="none" w:sz="0" w:space="0" w:color="auto"/>
          </w:divBdr>
        </w:div>
        <w:div w:id="1275016869">
          <w:marLeft w:val="1973"/>
          <w:marRight w:val="0"/>
          <w:marTop w:val="0"/>
          <w:marBottom w:val="0"/>
          <w:divBdr>
            <w:top w:val="none" w:sz="0" w:space="0" w:color="auto"/>
            <w:left w:val="none" w:sz="0" w:space="0" w:color="auto"/>
            <w:bottom w:val="none" w:sz="0" w:space="0" w:color="auto"/>
            <w:right w:val="none" w:sz="0" w:space="0" w:color="auto"/>
          </w:divBdr>
        </w:div>
      </w:divsChild>
    </w:div>
    <w:div w:id="1183934239">
      <w:bodyDiv w:val="1"/>
      <w:marLeft w:val="0"/>
      <w:marRight w:val="0"/>
      <w:marTop w:val="0"/>
      <w:marBottom w:val="0"/>
      <w:divBdr>
        <w:top w:val="none" w:sz="0" w:space="0" w:color="auto"/>
        <w:left w:val="none" w:sz="0" w:space="0" w:color="auto"/>
        <w:bottom w:val="none" w:sz="0" w:space="0" w:color="auto"/>
        <w:right w:val="none" w:sz="0" w:space="0" w:color="auto"/>
      </w:divBdr>
    </w:div>
    <w:div w:id="1228685947">
      <w:bodyDiv w:val="1"/>
      <w:marLeft w:val="0"/>
      <w:marRight w:val="0"/>
      <w:marTop w:val="0"/>
      <w:marBottom w:val="0"/>
      <w:divBdr>
        <w:top w:val="none" w:sz="0" w:space="0" w:color="auto"/>
        <w:left w:val="none" w:sz="0" w:space="0" w:color="auto"/>
        <w:bottom w:val="none" w:sz="0" w:space="0" w:color="auto"/>
        <w:right w:val="none" w:sz="0" w:space="0" w:color="auto"/>
      </w:divBdr>
    </w:div>
    <w:div w:id="1233394219">
      <w:bodyDiv w:val="1"/>
      <w:marLeft w:val="0"/>
      <w:marRight w:val="0"/>
      <w:marTop w:val="0"/>
      <w:marBottom w:val="0"/>
      <w:divBdr>
        <w:top w:val="none" w:sz="0" w:space="0" w:color="auto"/>
        <w:left w:val="none" w:sz="0" w:space="0" w:color="auto"/>
        <w:bottom w:val="none" w:sz="0" w:space="0" w:color="auto"/>
        <w:right w:val="none" w:sz="0" w:space="0" w:color="auto"/>
      </w:divBdr>
    </w:div>
    <w:div w:id="1234126713">
      <w:bodyDiv w:val="1"/>
      <w:marLeft w:val="0"/>
      <w:marRight w:val="0"/>
      <w:marTop w:val="0"/>
      <w:marBottom w:val="0"/>
      <w:divBdr>
        <w:top w:val="none" w:sz="0" w:space="0" w:color="auto"/>
        <w:left w:val="none" w:sz="0" w:space="0" w:color="auto"/>
        <w:bottom w:val="none" w:sz="0" w:space="0" w:color="auto"/>
        <w:right w:val="none" w:sz="0" w:space="0" w:color="auto"/>
      </w:divBdr>
      <w:divsChild>
        <w:div w:id="162206126">
          <w:marLeft w:val="0"/>
          <w:marRight w:val="0"/>
          <w:marTop w:val="0"/>
          <w:marBottom w:val="0"/>
          <w:divBdr>
            <w:top w:val="none" w:sz="0" w:space="0" w:color="auto"/>
            <w:left w:val="none" w:sz="0" w:space="0" w:color="auto"/>
            <w:bottom w:val="none" w:sz="0" w:space="0" w:color="auto"/>
            <w:right w:val="none" w:sz="0" w:space="0" w:color="auto"/>
          </w:divBdr>
          <w:divsChild>
            <w:div w:id="2052880930">
              <w:marLeft w:val="0"/>
              <w:marRight w:val="0"/>
              <w:marTop w:val="0"/>
              <w:marBottom w:val="0"/>
              <w:divBdr>
                <w:top w:val="none" w:sz="0" w:space="0" w:color="auto"/>
                <w:left w:val="none" w:sz="0" w:space="0" w:color="auto"/>
                <w:bottom w:val="none" w:sz="0" w:space="0" w:color="auto"/>
                <w:right w:val="none" w:sz="0" w:space="0" w:color="auto"/>
              </w:divBdr>
              <w:divsChild>
                <w:div w:id="823085371">
                  <w:marLeft w:val="0"/>
                  <w:marRight w:val="0"/>
                  <w:marTop w:val="0"/>
                  <w:marBottom w:val="0"/>
                  <w:divBdr>
                    <w:top w:val="none" w:sz="0" w:space="0" w:color="auto"/>
                    <w:left w:val="none" w:sz="0" w:space="0" w:color="auto"/>
                    <w:bottom w:val="none" w:sz="0" w:space="0" w:color="auto"/>
                    <w:right w:val="none" w:sz="0" w:space="0" w:color="auto"/>
                  </w:divBdr>
                  <w:divsChild>
                    <w:div w:id="665136696">
                      <w:marLeft w:val="0"/>
                      <w:marRight w:val="0"/>
                      <w:marTop w:val="0"/>
                      <w:marBottom w:val="0"/>
                      <w:divBdr>
                        <w:top w:val="none" w:sz="0" w:space="0" w:color="auto"/>
                        <w:left w:val="none" w:sz="0" w:space="0" w:color="auto"/>
                        <w:bottom w:val="none" w:sz="0" w:space="0" w:color="auto"/>
                        <w:right w:val="none" w:sz="0" w:space="0" w:color="auto"/>
                      </w:divBdr>
                      <w:divsChild>
                        <w:div w:id="1552229493">
                          <w:marLeft w:val="0"/>
                          <w:marRight w:val="0"/>
                          <w:marTop w:val="0"/>
                          <w:marBottom w:val="0"/>
                          <w:divBdr>
                            <w:top w:val="none" w:sz="0" w:space="0" w:color="auto"/>
                            <w:left w:val="none" w:sz="0" w:space="0" w:color="auto"/>
                            <w:bottom w:val="none" w:sz="0" w:space="0" w:color="auto"/>
                            <w:right w:val="none" w:sz="0" w:space="0" w:color="auto"/>
                          </w:divBdr>
                          <w:divsChild>
                            <w:div w:id="1453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3791">
      <w:bodyDiv w:val="1"/>
      <w:marLeft w:val="0"/>
      <w:marRight w:val="0"/>
      <w:marTop w:val="0"/>
      <w:marBottom w:val="0"/>
      <w:divBdr>
        <w:top w:val="none" w:sz="0" w:space="0" w:color="auto"/>
        <w:left w:val="none" w:sz="0" w:space="0" w:color="auto"/>
        <w:bottom w:val="none" w:sz="0" w:space="0" w:color="auto"/>
        <w:right w:val="none" w:sz="0" w:space="0" w:color="auto"/>
      </w:divBdr>
    </w:div>
    <w:div w:id="1394354305">
      <w:bodyDiv w:val="1"/>
      <w:marLeft w:val="0"/>
      <w:marRight w:val="0"/>
      <w:marTop w:val="0"/>
      <w:marBottom w:val="0"/>
      <w:divBdr>
        <w:top w:val="none" w:sz="0" w:space="0" w:color="auto"/>
        <w:left w:val="none" w:sz="0" w:space="0" w:color="auto"/>
        <w:bottom w:val="none" w:sz="0" w:space="0" w:color="auto"/>
        <w:right w:val="none" w:sz="0" w:space="0" w:color="auto"/>
      </w:divBdr>
    </w:div>
    <w:div w:id="1427270146">
      <w:bodyDiv w:val="1"/>
      <w:marLeft w:val="0"/>
      <w:marRight w:val="0"/>
      <w:marTop w:val="0"/>
      <w:marBottom w:val="0"/>
      <w:divBdr>
        <w:top w:val="none" w:sz="0" w:space="0" w:color="auto"/>
        <w:left w:val="none" w:sz="0" w:space="0" w:color="auto"/>
        <w:bottom w:val="none" w:sz="0" w:space="0" w:color="auto"/>
        <w:right w:val="none" w:sz="0" w:space="0" w:color="auto"/>
      </w:divBdr>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437559856">
      <w:bodyDiv w:val="1"/>
      <w:marLeft w:val="0"/>
      <w:marRight w:val="0"/>
      <w:marTop w:val="0"/>
      <w:marBottom w:val="0"/>
      <w:divBdr>
        <w:top w:val="none" w:sz="0" w:space="0" w:color="auto"/>
        <w:left w:val="none" w:sz="0" w:space="0" w:color="auto"/>
        <w:bottom w:val="none" w:sz="0" w:space="0" w:color="auto"/>
        <w:right w:val="none" w:sz="0" w:space="0" w:color="auto"/>
      </w:divBdr>
    </w:div>
    <w:div w:id="1444957498">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647583014">
      <w:bodyDiv w:val="1"/>
      <w:marLeft w:val="0"/>
      <w:marRight w:val="0"/>
      <w:marTop w:val="0"/>
      <w:marBottom w:val="0"/>
      <w:divBdr>
        <w:top w:val="none" w:sz="0" w:space="0" w:color="auto"/>
        <w:left w:val="none" w:sz="0" w:space="0" w:color="auto"/>
        <w:bottom w:val="none" w:sz="0" w:space="0" w:color="auto"/>
        <w:right w:val="none" w:sz="0" w:space="0" w:color="auto"/>
      </w:divBdr>
    </w:div>
    <w:div w:id="1708413589">
      <w:bodyDiv w:val="1"/>
      <w:marLeft w:val="0"/>
      <w:marRight w:val="0"/>
      <w:marTop w:val="0"/>
      <w:marBottom w:val="0"/>
      <w:divBdr>
        <w:top w:val="none" w:sz="0" w:space="0" w:color="auto"/>
        <w:left w:val="none" w:sz="0" w:space="0" w:color="auto"/>
        <w:bottom w:val="none" w:sz="0" w:space="0" w:color="auto"/>
        <w:right w:val="none" w:sz="0" w:space="0" w:color="auto"/>
      </w:divBdr>
    </w:div>
    <w:div w:id="1720781315">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2003771323">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 w:id="2040735584">
      <w:bodyDiv w:val="1"/>
      <w:marLeft w:val="0"/>
      <w:marRight w:val="0"/>
      <w:marTop w:val="0"/>
      <w:marBottom w:val="0"/>
      <w:divBdr>
        <w:top w:val="none" w:sz="0" w:space="0" w:color="auto"/>
        <w:left w:val="none" w:sz="0" w:space="0" w:color="auto"/>
        <w:bottom w:val="none" w:sz="0" w:space="0" w:color="auto"/>
        <w:right w:val="none" w:sz="0" w:space="0" w:color="auto"/>
      </w:divBdr>
    </w:div>
    <w:div w:id="2056615318">
      <w:bodyDiv w:val="1"/>
      <w:marLeft w:val="0"/>
      <w:marRight w:val="0"/>
      <w:marTop w:val="0"/>
      <w:marBottom w:val="0"/>
      <w:divBdr>
        <w:top w:val="none" w:sz="0" w:space="0" w:color="auto"/>
        <w:left w:val="none" w:sz="0" w:space="0" w:color="auto"/>
        <w:bottom w:val="none" w:sz="0" w:space="0" w:color="auto"/>
        <w:right w:val="none" w:sz="0" w:space="0" w:color="auto"/>
      </w:divBdr>
    </w:div>
    <w:div w:id="212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8246</Characters>
  <Application>Microsoft Office Word</Application>
  <DocSecurity>0</DocSecurity>
  <Lines>158</Lines>
  <Paragraphs>52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2025-10-27T06:10:00Z</dcterms:created>
  <dcterms:modified xsi:type="dcterms:W3CDTF">2025-10-27T06:10:00Z</dcterms:modified>
</cp:coreProperties>
</file>