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972DB" w14:textId="77777777" w:rsidR="00F35333" w:rsidRDefault="00F35333" w:rsidP="00F35333">
      <w:pPr>
        <w:pStyle w:val="NormalWeb"/>
        <w:shd w:val="clear" w:color="auto" w:fill="FFFFFF"/>
        <w:spacing w:before="0" w:beforeAutospacing="0" w:after="0" w:afterAutospacing="0"/>
        <w:jc w:val="both"/>
        <w:rPr>
          <w:rFonts w:asciiTheme="minorHAnsi" w:hAnsiTheme="minorHAnsi" w:cstheme="minorHAnsi"/>
          <w:b/>
          <w:color w:val="000000"/>
          <w:sz w:val="22"/>
          <w:szCs w:val="22"/>
          <w:lang w:val="en-GB"/>
        </w:rPr>
      </w:pPr>
      <w:r w:rsidRPr="007E4943">
        <w:rPr>
          <w:rFonts w:asciiTheme="minorHAnsi" w:hAnsiTheme="minorHAnsi" w:cstheme="minorHAnsi"/>
          <w:b/>
          <w:color w:val="000000"/>
          <w:sz w:val="22"/>
          <w:szCs w:val="22"/>
          <w:lang w:val="en-GB"/>
        </w:rPr>
        <w:t>Publication Ref: COI/PSSN/AO/2025/010</w:t>
      </w:r>
    </w:p>
    <w:p w14:paraId="06B801EC" w14:textId="77777777" w:rsidR="00F35333" w:rsidRPr="007E4943" w:rsidRDefault="00F35333" w:rsidP="00F35333">
      <w:pPr>
        <w:pStyle w:val="NormalWeb"/>
        <w:shd w:val="clear" w:color="auto" w:fill="FFFFFF"/>
        <w:spacing w:before="0" w:beforeAutospacing="0" w:after="0" w:afterAutospacing="0"/>
        <w:jc w:val="both"/>
        <w:rPr>
          <w:rFonts w:asciiTheme="minorHAnsi" w:hAnsiTheme="minorHAnsi" w:cstheme="minorHAnsi"/>
          <w:b/>
          <w:color w:val="000000"/>
          <w:sz w:val="22"/>
          <w:szCs w:val="22"/>
          <w:lang w:val="en-GB"/>
        </w:rPr>
      </w:pPr>
    </w:p>
    <w:p w14:paraId="5C2E5D5A" w14:textId="77777777" w:rsidR="00F35333" w:rsidRDefault="00F35333" w:rsidP="00F35333">
      <w:pPr>
        <w:pStyle w:val="NormalWeb"/>
        <w:shd w:val="clear" w:color="auto" w:fill="FFFFFF"/>
        <w:spacing w:before="0" w:beforeAutospacing="0" w:after="0" w:afterAutospacing="0"/>
        <w:jc w:val="both"/>
        <w:rPr>
          <w:rFonts w:asciiTheme="minorHAnsi" w:hAnsiTheme="minorHAnsi" w:cstheme="minorHAnsi"/>
          <w:b/>
          <w:color w:val="000000"/>
          <w:sz w:val="22"/>
          <w:szCs w:val="22"/>
          <w:lang w:val="en-GB"/>
        </w:rPr>
      </w:pPr>
      <w:r w:rsidRPr="007E4943">
        <w:rPr>
          <w:rFonts w:asciiTheme="minorHAnsi" w:hAnsiTheme="minorHAnsi" w:cstheme="minorHAnsi"/>
          <w:b/>
          <w:color w:val="000000"/>
          <w:sz w:val="22"/>
          <w:szCs w:val="22"/>
          <w:lang w:val="en-GB"/>
        </w:rPr>
        <w:t>Contract Title: Supply, Delivery, Installation, and After-Sales Service of ICT Infrastructure for VTMIS.</w:t>
      </w:r>
    </w:p>
    <w:p w14:paraId="79C01C62" w14:textId="77777777" w:rsidR="00F35333" w:rsidRPr="007E4943" w:rsidRDefault="00F35333" w:rsidP="00F35333">
      <w:pPr>
        <w:pStyle w:val="NormalWeb"/>
        <w:shd w:val="clear" w:color="auto" w:fill="FFFFFF"/>
        <w:spacing w:before="0" w:beforeAutospacing="0" w:after="0" w:afterAutospacing="0"/>
        <w:jc w:val="both"/>
        <w:rPr>
          <w:rFonts w:asciiTheme="minorHAnsi" w:hAnsiTheme="minorHAnsi" w:cstheme="minorHAnsi"/>
          <w:b/>
          <w:color w:val="000000"/>
          <w:sz w:val="22"/>
          <w:szCs w:val="22"/>
          <w:lang w:val="en-GB"/>
        </w:rPr>
      </w:pPr>
    </w:p>
    <w:p w14:paraId="5A0DE1DF" w14:textId="77777777" w:rsidR="00F35333" w:rsidRDefault="00F35333" w:rsidP="00F35333">
      <w:pPr>
        <w:pStyle w:val="NormalWeb"/>
        <w:shd w:val="clear" w:color="auto" w:fill="FFFFFF"/>
        <w:spacing w:before="0" w:beforeAutospacing="0" w:after="0" w:afterAutospacing="0"/>
        <w:jc w:val="both"/>
        <w:rPr>
          <w:rFonts w:asciiTheme="minorHAnsi" w:hAnsiTheme="minorHAnsi" w:cstheme="minorHAnsi"/>
          <w:b/>
          <w:color w:val="000000"/>
          <w:sz w:val="22"/>
          <w:szCs w:val="22"/>
        </w:rPr>
      </w:pPr>
      <w:r w:rsidRPr="007E4943">
        <w:rPr>
          <w:rFonts w:asciiTheme="minorHAnsi" w:hAnsiTheme="minorHAnsi" w:cstheme="minorHAnsi"/>
          <w:b/>
          <w:color w:val="000000"/>
          <w:sz w:val="22"/>
          <w:szCs w:val="22"/>
        </w:rPr>
        <w:t xml:space="preserve">This document by default becomes part of the initial tender documents and must be taken into consideration by all potential bidders. </w:t>
      </w:r>
    </w:p>
    <w:p w14:paraId="619F1508" w14:textId="77777777" w:rsidR="00F35333" w:rsidRPr="007E4943" w:rsidRDefault="00F35333" w:rsidP="00F35333">
      <w:pPr>
        <w:pStyle w:val="NormalWeb"/>
        <w:shd w:val="clear" w:color="auto" w:fill="FFFFFF"/>
        <w:spacing w:before="0" w:beforeAutospacing="0" w:after="0" w:afterAutospacing="0"/>
        <w:jc w:val="both"/>
        <w:rPr>
          <w:rFonts w:asciiTheme="minorHAnsi" w:hAnsiTheme="minorHAnsi" w:cstheme="minorHAnsi"/>
          <w:b/>
          <w:color w:val="000000"/>
          <w:sz w:val="22"/>
          <w:szCs w:val="22"/>
        </w:rPr>
      </w:pPr>
    </w:p>
    <w:p w14:paraId="2EF6B8C3" w14:textId="77777777" w:rsidR="00F35333" w:rsidRPr="007E4943" w:rsidRDefault="00F35333" w:rsidP="00F35333">
      <w:pPr>
        <w:spacing w:after="0" w:line="240" w:lineRule="auto"/>
        <w:jc w:val="center"/>
        <w:rPr>
          <w:rFonts w:eastAsia="Times New Roman" w:cstheme="minorHAnsi"/>
          <w:b/>
          <w:color w:val="000000"/>
          <w:u w:val="single"/>
        </w:rPr>
      </w:pPr>
      <w:r w:rsidRPr="007E4943">
        <w:rPr>
          <w:rFonts w:eastAsia="Times New Roman" w:cstheme="minorHAnsi"/>
          <w:b/>
          <w:color w:val="000000"/>
          <w:u w:val="single"/>
        </w:rPr>
        <w:t>Questions &amp; Answers</w:t>
      </w:r>
    </w:p>
    <w:p w14:paraId="4A1AD70C" w14:textId="77777777" w:rsidR="00F35333" w:rsidRPr="007E4943" w:rsidRDefault="00F35333" w:rsidP="00F35333">
      <w:pPr>
        <w:spacing w:after="0" w:line="240" w:lineRule="auto"/>
        <w:rPr>
          <w:rFonts w:cstheme="minorHAnsi"/>
          <w:color w:val="000000"/>
        </w:rPr>
      </w:pPr>
    </w:p>
    <w:p w14:paraId="02B8C8C5" w14:textId="77777777" w:rsidR="00F35333" w:rsidRPr="007E4943" w:rsidRDefault="00F35333" w:rsidP="00F35333">
      <w:pPr>
        <w:spacing w:after="0" w:line="240" w:lineRule="auto"/>
        <w:jc w:val="both"/>
        <w:rPr>
          <w:rFonts w:cstheme="minorHAnsi"/>
          <w:color w:val="000000"/>
        </w:rPr>
      </w:pPr>
      <w:r w:rsidRPr="007E4943">
        <w:rPr>
          <w:rFonts w:cstheme="minorHAnsi"/>
          <w:b/>
          <w:color w:val="000000"/>
          <w:u w:val="single"/>
        </w:rPr>
        <w:t>Question No. 1</w:t>
      </w:r>
      <w:r>
        <w:rPr>
          <w:rFonts w:cstheme="minorHAnsi"/>
          <w:b/>
          <w:color w:val="000000"/>
          <w:u w:val="single"/>
        </w:rPr>
        <w:t xml:space="preserve">: </w:t>
      </w:r>
      <w:r w:rsidRPr="007E4943">
        <w:rPr>
          <w:rFonts w:cstheme="minorHAnsi"/>
          <w:color w:val="000000"/>
        </w:rPr>
        <w:t>As per section 1.1 Supplies to be provided: The subject of the contract is “Supply, delivery, installation, and after-sales service” and includes the following supplies: -</w:t>
      </w:r>
    </w:p>
    <w:p w14:paraId="05FAE624" w14:textId="77777777" w:rsidR="00F35333" w:rsidRPr="007E4943" w:rsidRDefault="00F35333" w:rsidP="00F35333">
      <w:pPr>
        <w:spacing w:after="0" w:line="240" w:lineRule="auto"/>
        <w:jc w:val="both"/>
        <w:rPr>
          <w:rFonts w:cstheme="minorHAnsi"/>
          <w:color w:val="000000"/>
        </w:rPr>
      </w:pPr>
      <w:r w:rsidRPr="007E4943">
        <w:rPr>
          <w:rFonts w:cstheme="minorHAnsi"/>
          <w:color w:val="000000"/>
        </w:rPr>
        <w:t>- Twelve (12) Server</w:t>
      </w:r>
    </w:p>
    <w:p w14:paraId="055BABE1" w14:textId="77777777" w:rsidR="00F35333" w:rsidRPr="007E4943" w:rsidRDefault="00F35333" w:rsidP="00F35333">
      <w:pPr>
        <w:spacing w:after="0" w:line="240" w:lineRule="auto"/>
        <w:jc w:val="both"/>
        <w:rPr>
          <w:rFonts w:cstheme="minorHAnsi"/>
          <w:color w:val="000000"/>
        </w:rPr>
      </w:pPr>
      <w:r w:rsidRPr="007E4943">
        <w:rPr>
          <w:rFonts w:cstheme="minorHAnsi"/>
          <w:color w:val="000000"/>
        </w:rPr>
        <w:t>- Six (6) Operating System</w:t>
      </w:r>
    </w:p>
    <w:p w14:paraId="28DD9512" w14:textId="77777777" w:rsidR="00F35333" w:rsidRDefault="00F35333" w:rsidP="00F35333">
      <w:pPr>
        <w:spacing w:after="0" w:line="240" w:lineRule="auto"/>
        <w:jc w:val="both"/>
        <w:rPr>
          <w:rFonts w:cstheme="minorHAnsi"/>
          <w:color w:val="000000"/>
        </w:rPr>
      </w:pPr>
      <w:r w:rsidRPr="007E4943">
        <w:rPr>
          <w:rFonts w:cstheme="minorHAnsi"/>
          <w:color w:val="000000"/>
        </w:rPr>
        <w:t xml:space="preserve"> Given that there will be 12 Servers for this project, can you please confirm that the number of operating system should be twelve (12), instead of six (6) as mentioned in the RFP?</w:t>
      </w:r>
    </w:p>
    <w:p w14:paraId="57ACA2EA" w14:textId="77777777" w:rsidR="00F35333" w:rsidRDefault="00F35333" w:rsidP="00F35333">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1</w:t>
      </w:r>
      <w:r>
        <w:rPr>
          <w:rFonts w:cstheme="minorHAnsi"/>
          <w:b/>
          <w:color w:val="2E74B5" w:themeColor="accent5" w:themeShade="BF"/>
          <w:u w:val="single"/>
        </w:rPr>
        <w:t xml:space="preserve">: </w:t>
      </w:r>
      <w:r w:rsidRPr="007E4943">
        <w:rPr>
          <w:rFonts w:cstheme="minorHAnsi"/>
          <w:color w:val="2E74B5" w:themeColor="accent5" w:themeShade="BF"/>
        </w:rPr>
        <w:t>As specified in Section 1.4 (</w:t>
      </w:r>
      <w:proofErr w:type="spellStart"/>
      <w:r w:rsidRPr="007E4943">
        <w:rPr>
          <w:rFonts w:cstheme="minorHAnsi"/>
          <w:color w:val="2E74B5" w:themeColor="accent5" w:themeShade="BF"/>
        </w:rPr>
        <w:t>i</w:t>
      </w:r>
      <w:proofErr w:type="spellEnd"/>
      <w:r w:rsidRPr="007E4943">
        <w:rPr>
          <w:rFonts w:cstheme="minorHAnsi"/>
          <w:color w:val="2E74B5" w:themeColor="accent5" w:themeShade="BF"/>
        </w:rPr>
        <w:t xml:space="preserve">) of the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xml:space="preserve"> document, the servers at each site must be configured for high availability using clustering or failover mechanisms. This means that for each site, only one physical server will be active (in production mode) at any given time, while the second server will be in passive (standby) mode.</w:t>
      </w:r>
    </w:p>
    <w:p w14:paraId="14F2D9FB" w14:textId="77777777" w:rsidR="00F35333" w:rsidRDefault="00F35333" w:rsidP="00F35333">
      <w:pPr>
        <w:spacing w:after="0" w:line="240" w:lineRule="auto"/>
        <w:jc w:val="both"/>
        <w:rPr>
          <w:rFonts w:cstheme="minorHAnsi"/>
          <w:color w:val="2E74B5" w:themeColor="accent5" w:themeShade="BF"/>
        </w:rPr>
      </w:pPr>
      <w:r w:rsidRPr="007E4943">
        <w:rPr>
          <w:rFonts w:cstheme="minorHAnsi"/>
          <w:color w:val="2E74B5" w:themeColor="accent5" w:themeShade="BF"/>
        </w:rPr>
        <w:t xml:space="preserve">Accordingly, the operating system (OS) licensing should reflect this setup. Since only one OS instance will be active per cluster at a time, therefore six (6) OS licenses (one per active server) are sufficient. The passive servers are not expected to consume additional licenses under typical high-availability licensing models, but bidders should verify this with their OS vendor and ensure compliance. </w:t>
      </w:r>
    </w:p>
    <w:p w14:paraId="43A12609" w14:textId="77777777" w:rsidR="00F35333" w:rsidRPr="007E4943" w:rsidRDefault="00F35333" w:rsidP="00F35333">
      <w:pPr>
        <w:spacing w:after="0" w:line="240" w:lineRule="auto"/>
        <w:jc w:val="both"/>
        <w:rPr>
          <w:rFonts w:cstheme="minorHAnsi"/>
          <w:color w:val="2E74B5" w:themeColor="accent5" w:themeShade="BF"/>
        </w:rPr>
      </w:pPr>
      <w:r w:rsidRPr="007E4943">
        <w:rPr>
          <w:rFonts w:cstheme="minorHAnsi"/>
          <w:color w:val="2E74B5" w:themeColor="accent5" w:themeShade="BF"/>
        </w:rPr>
        <w:t>In case a bidder proposes twelve (12) OS licenses (one for each physical server), then this must be clearly justified, with appropriate reference to the licensing model or technical requirements of the proposed solution.</w:t>
      </w:r>
    </w:p>
    <w:p w14:paraId="183CF56C" w14:textId="77777777" w:rsidR="00F35333" w:rsidRDefault="00F35333" w:rsidP="00F35333">
      <w:pPr>
        <w:spacing w:after="0" w:line="240" w:lineRule="auto"/>
        <w:jc w:val="both"/>
        <w:rPr>
          <w:rFonts w:cstheme="minorHAnsi"/>
          <w:color w:val="2E74B5" w:themeColor="accent5" w:themeShade="BF"/>
        </w:rPr>
      </w:pPr>
    </w:p>
    <w:p w14:paraId="759FF504" w14:textId="77777777" w:rsidR="00F35333" w:rsidRPr="007E4943" w:rsidRDefault="00F35333" w:rsidP="00F35333">
      <w:pPr>
        <w:spacing w:after="0" w:line="240" w:lineRule="auto"/>
        <w:jc w:val="both"/>
        <w:rPr>
          <w:rFonts w:cstheme="minorHAnsi"/>
          <w:color w:val="2E74B5" w:themeColor="accent5" w:themeShade="BF"/>
        </w:rPr>
      </w:pPr>
    </w:p>
    <w:p w14:paraId="148790EB" w14:textId="77777777" w:rsidR="00F35333" w:rsidRPr="007E4943" w:rsidRDefault="00F35333" w:rsidP="00F35333">
      <w:pPr>
        <w:spacing w:after="0" w:line="240" w:lineRule="auto"/>
        <w:rPr>
          <w:rFonts w:cstheme="minorHAnsi"/>
        </w:rPr>
      </w:pPr>
      <w:r w:rsidRPr="007E4943">
        <w:rPr>
          <w:rFonts w:cstheme="minorHAnsi"/>
          <w:b/>
          <w:color w:val="000000"/>
          <w:u w:val="single"/>
        </w:rPr>
        <w:t>Question No. 2</w:t>
      </w:r>
      <w:r>
        <w:rPr>
          <w:rFonts w:cstheme="minorHAnsi"/>
          <w:b/>
          <w:color w:val="000000"/>
          <w:u w:val="single"/>
        </w:rPr>
        <w:t xml:space="preserve">: </w:t>
      </w:r>
      <w:r w:rsidRPr="007E4943">
        <w:rPr>
          <w:rFonts w:cstheme="minorHAnsi"/>
        </w:rPr>
        <w:t xml:space="preserve">As per the Term of Reference document and section 2.2 - Operating System: </w:t>
      </w:r>
    </w:p>
    <w:p w14:paraId="2FCF4197" w14:textId="77777777" w:rsidR="00F35333" w:rsidRDefault="00F35333" w:rsidP="00F35333">
      <w:pPr>
        <w:spacing w:after="0" w:line="240" w:lineRule="auto"/>
        <w:jc w:val="both"/>
        <w:rPr>
          <w:rFonts w:cstheme="minorHAnsi"/>
        </w:rPr>
      </w:pPr>
      <w:r w:rsidRPr="007E4943">
        <w:rPr>
          <w:rFonts w:cstheme="minorHAnsi"/>
        </w:rPr>
        <w:t>The Operating system (OS) must be licensed for 16 Cores and 10 CALs (Client Access Licenses) for connected users/devices.</w:t>
      </w:r>
    </w:p>
    <w:p w14:paraId="3D141CDD" w14:textId="77777777" w:rsidR="00F35333" w:rsidRDefault="00F35333" w:rsidP="00F35333">
      <w:pPr>
        <w:spacing w:after="0" w:line="240" w:lineRule="auto"/>
        <w:jc w:val="both"/>
        <w:rPr>
          <w:rFonts w:cstheme="minorHAnsi"/>
        </w:rPr>
      </w:pPr>
      <w:r w:rsidRPr="007E4943">
        <w:rPr>
          <w:rFonts w:cstheme="minorHAnsi"/>
        </w:rPr>
        <w:t>Can you please confirm which type of CALs will be required, users or Devices or a mixed of both? If a mixed is opted, can you please give details?</w:t>
      </w:r>
    </w:p>
    <w:p w14:paraId="47A4306A" w14:textId="77777777" w:rsidR="00F35333" w:rsidRDefault="00F35333" w:rsidP="00F35333">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2</w:t>
      </w:r>
      <w:r>
        <w:rPr>
          <w:rFonts w:cstheme="minorHAnsi"/>
          <w:b/>
          <w:color w:val="2E74B5" w:themeColor="accent5" w:themeShade="BF"/>
          <w:u w:val="single"/>
        </w:rPr>
        <w:t xml:space="preserve">: </w:t>
      </w:r>
      <w:r w:rsidRPr="007E4943">
        <w:rPr>
          <w:rFonts w:cstheme="minorHAnsi"/>
          <w:color w:val="2E74B5" w:themeColor="accent5" w:themeShade="BF"/>
        </w:rPr>
        <w:t xml:space="preserve">The CALs (Client Access Licenses) mentioned in Section 2.2 of the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xml:space="preserve"> are intended to allow up to 10 authenticated connections to the operating system, whether by users or devices.</w:t>
      </w:r>
    </w:p>
    <w:p w14:paraId="00E21C17" w14:textId="77777777" w:rsidR="00F35333" w:rsidRPr="007E4943" w:rsidRDefault="00F35333" w:rsidP="00F35333">
      <w:pPr>
        <w:spacing w:after="0" w:line="240" w:lineRule="auto"/>
        <w:jc w:val="both"/>
        <w:rPr>
          <w:rFonts w:cstheme="minorHAnsi"/>
          <w:color w:val="2E74B5" w:themeColor="accent5" w:themeShade="BF"/>
        </w:rPr>
      </w:pPr>
      <w:r w:rsidRPr="007E4943">
        <w:rPr>
          <w:rFonts w:cstheme="minorHAnsi"/>
          <w:color w:val="2E74B5" w:themeColor="accent5" w:themeShade="BF"/>
        </w:rPr>
        <w:t>The choice between User CALs, Device CALs, or a mix of both depends on the licensing model of the proposed operating system and the specific architecture of the VTMIS solution proposed by the bidder.</w:t>
      </w:r>
    </w:p>
    <w:p w14:paraId="7D5C6010" w14:textId="77777777" w:rsidR="00F35333" w:rsidRPr="007E4943" w:rsidRDefault="00F35333" w:rsidP="00F35333">
      <w:pPr>
        <w:spacing w:after="0" w:line="240" w:lineRule="auto"/>
        <w:jc w:val="both"/>
        <w:rPr>
          <w:rFonts w:cstheme="minorHAnsi"/>
          <w:color w:val="2E74B5" w:themeColor="accent5" w:themeShade="BF"/>
        </w:rPr>
      </w:pPr>
      <w:r w:rsidRPr="007E4943">
        <w:rPr>
          <w:rFonts w:cstheme="minorHAnsi"/>
          <w:color w:val="2E74B5" w:themeColor="accent5" w:themeShade="BF"/>
        </w:rPr>
        <w:t xml:space="preserve">If the bidder opts for a mix of User and Device CALs, the allocation should be based on the bidder’s assessment of how the system will be accessed. </w:t>
      </w:r>
    </w:p>
    <w:p w14:paraId="5BDE517B" w14:textId="77777777" w:rsidR="00F35333" w:rsidRPr="007E4943" w:rsidRDefault="00F35333" w:rsidP="00F35333">
      <w:pPr>
        <w:spacing w:after="0" w:line="240" w:lineRule="auto"/>
        <w:jc w:val="both"/>
        <w:rPr>
          <w:rFonts w:cstheme="minorHAnsi"/>
          <w:color w:val="2E74B5" w:themeColor="accent5" w:themeShade="BF"/>
        </w:rPr>
      </w:pPr>
      <w:r w:rsidRPr="007E4943">
        <w:rPr>
          <w:rFonts w:cstheme="minorHAnsi"/>
          <w:color w:val="2E74B5" w:themeColor="accent5" w:themeShade="BF"/>
        </w:rPr>
        <w:t>In all cases, bidders are required to: -</w:t>
      </w:r>
    </w:p>
    <w:p w14:paraId="7AE8B0E0" w14:textId="77777777" w:rsidR="00F35333" w:rsidRPr="007E4943" w:rsidRDefault="00F35333" w:rsidP="00F35333">
      <w:pPr>
        <w:pStyle w:val="Paragraphedeliste"/>
        <w:numPr>
          <w:ilvl w:val="0"/>
          <w:numId w:val="1"/>
        </w:numPr>
        <w:spacing w:after="0" w:line="240" w:lineRule="auto"/>
        <w:jc w:val="both"/>
        <w:rPr>
          <w:rFonts w:cstheme="minorHAnsi"/>
          <w:color w:val="2E74B5" w:themeColor="accent5" w:themeShade="BF"/>
        </w:rPr>
      </w:pPr>
      <w:r w:rsidRPr="007E4943">
        <w:rPr>
          <w:rFonts w:cstheme="minorHAnsi"/>
          <w:color w:val="2E74B5" w:themeColor="accent5" w:themeShade="BF"/>
        </w:rPr>
        <w:t xml:space="preserve">Clearly state the type(s) of CALs being </w:t>
      </w:r>
      <w:proofErr w:type="gramStart"/>
      <w:r w:rsidRPr="007E4943">
        <w:rPr>
          <w:rFonts w:cstheme="minorHAnsi"/>
          <w:color w:val="2E74B5" w:themeColor="accent5" w:themeShade="BF"/>
        </w:rPr>
        <w:t>proposed;</w:t>
      </w:r>
      <w:proofErr w:type="gramEnd"/>
    </w:p>
    <w:p w14:paraId="4BD66F5F" w14:textId="77777777" w:rsidR="00F35333" w:rsidRPr="007E4943" w:rsidRDefault="00F35333" w:rsidP="00F35333">
      <w:pPr>
        <w:pStyle w:val="Paragraphedeliste"/>
        <w:numPr>
          <w:ilvl w:val="0"/>
          <w:numId w:val="1"/>
        </w:numPr>
        <w:spacing w:after="0" w:line="240" w:lineRule="auto"/>
        <w:jc w:val="both"/>
        <w:rPr>
          <w:rFonts w:cstheme="minorHAnsi"/>
          <w:color w:val="2E74B5" w:themeColor="accent5" w:themeShade="BF"/>
        </w:rPr>
      </w:pPr>
      <w:r w:rsidRPr="007E4943">
        <w:rPr>
          <w:rFonts w:cstheme="minorHAnsi"/>
          <w:color w:val="2E74B5" w:themeColor="accent5" w:themeShade="BF"/>
        </w:rPr>
        <w:t xml:space="preserve">Justify the chosen </w:t>
      </w:r>
      <w:proofErr w:type="gramStart"/>
      <w:r w:rsidRPr="007E4943">
        <w:rPr>
          <w:rFonts w:cstheme="minorHAnsi"/>
          <w:color w:val="2E74B5" w:themeColor="accent5" w:themeShade="BF"/>
        </w:rPr>
        <w:t>configuration;</w:t>
      </w:r>
      <w:proofErr w:type="gramEnd"/>
    </w:p>
    <w:p w14:paraId="7C7B5BDC" w14:textId="77777777" w:rsidR="00F35333" w:rsidRPr="007E4943" w:rsidRDefault="00F35333" w:rsidP="00F35333">
      <w:pPr>
        <w:pStyle w:val="Paragraphedeliste"/>
        <w:numPr>
          <w:ilvl w:val="0"/>
          <w:numId w:val="1"/>
        </w:numPr>
        <w:spacing w:after="0" w:line="240" w:lineRule="auto"/>
        <w:jc w:val="both"/>
        <w:rPr>
          <w:rFonts w:cstheme="minorHAnsi"/>
          <w:color w:val="2E74B5" w:themeColor="accent5" w:themeShade="BF"/>
        </w:rPr>
      </w:pPr>
      <w:r w:rsidRPr="007E4943">
        <w:rPr>
          <w:rFonts w:cstheme="minorHAnsi"/>
          <w:color w:val="2E74B5" w:themeColor="accent5" w:themeShade="BF"/>
        </w:rPr>
        <w:t>Ensure that the total number of CALs covers the expected concurrent access load in compliance with licensing terms.</w:t>
      </w:r>
    </w:p>
    <w:p w14:paraId="23800AA6" w14:textId="77777777" w:rsidR="00F35333" w:rsidRDefault="00F35333" w:rsidP="00F35333">
      <w:pPr>
        <w:spacing w:after="0" w:line="240" w:lineRule="auto"/>
        <w:jc w:val="both"/>
        <w:rPr>
          <w:rFonts w:cstheme="minorHAnsi"/>
          <w:color w:val="2E74B5" w:themeColor="accent5" w:themeShade="BF"/>
        </w:rPr>
      </w:pPr>
    </w:p>
    <w:p w14:paraId="6A6FF599" w14:textId="77777777" w:rsidR="00F35333" w:rsidRDefault="00F35333" w:rsidP="00F35333">
      <w:pPr>
        <w:spacing w:after="0" w:line="240" w:lineRule="auto"/>
        <w:jc w:val="both"/>
        <w:rPr>
          <w:rFonts w:cstheme="minorHAnsi"/>
          <w:color w:val="2E74B5" w:themeColor="accent5" w:themeShade="BF"/>
        </w:rPr>
      </w:pPr>
    </w:p>
    <w:p w14:paraId="642DEC89" w14:textId="77777777" w:rsidR="00F35333" w:rsidRPr="007E4943" w:rsidRDefault="00F35333" w:rsidP="00F35333">
      <w:pPr>
        <w:spacing w:after="0" w:line="240" w:lineRule="auto"/>
        <w:jc w:val="both"/>
        <w:rPr>
          <w:rFonts w:cstheme="minorHAnsi"/>
          <w:color w:val="2E74B5" w:themeColor="accent5" w:themeShade="BF"/>
        </w:rPr>
      </w:pPr>
    </w:p>
    <w:p w14:paraId="50D84193" w14:textId="77777777" w:rsidR="00F35333" w:rsidRPr="007E4943" w:rsidRDefault="00F35333" w:rsidP="00F35333">
      <w:pPr>
        <w:spacing w:after="0" w:line="240" w:lineRule="auto"/>
        <w:rPr>
          <w:rFonts w:cstheme="minorHAnsi"/>
        </w:rPr>
      </w:pPr>
      <w:r w:rsidRPr="007E4943">
        <w:rPr>
          <w:rFonts w:cstheme="minorHAnsi"/>
          <w:b/>
          <w:color w:val="000000"/>
          <w:u w:val="single"/>
        </w:rPr>
        <w:t>Question No. 3</w:t>
      </w:r>
      <w:r>
        <w:rPr>
          <w:rFonts w:cstheme="minorHAnsi"/>
          <w:b/>
          <w:color w:val="000000"/>
          <w:u w:val="single"/>
        </w:rPr>
        <w:t xml:space="preserve">: </w:t>
      </w:r>
      <w:r w:rsidRPr="007E4943">
        <w:rPr>
          <w:rFonts w:cstheme="minorHAnsi"/>
        </w:rPr>
        <w:t>As per the Term of Reference document and section 2.6.1-Workstation PC:</w:t>
      </w:r>
    </w:p>
    <w:tbl>
      <w:tblPr>
        <w:tblStyle w:val="Grilledutableau"/>
        <w:tblW w:w="0" w:type="auto"/>
        <w:tblLook w:val="04A0" w:firstRow="1" w:lastRow="0" w:firstColumn="1" w:lastColumn="0" w:noHBand="0" w:noVBand="1"/>
      </w:tblPr>
      <w:tblGrid>
        <w:gridCol w:w="392"/>
        <w:gridCol w:w="1134"/>
        <w:gridCol w:w="3827"/>
      </w:tblGrid>
      <w:tr w:rsidR="00F35333" w:rsidRPr="007E4943" w14:paraId="23C2102D" w14:textId="77777777" w:rsidTr="000E439B">
        <w:tc>
          <w:tcPr>
            <w:tcW w:w="392" w:type="dxa"/>
          </w:tcPr>
          <w:p w14:paraId="13587D45" w14:textId="77777777" w:rsidR="00F35333" w:rsidRPr="007E4943" w:rsidRDefault="00F35333" w:rsidP="000E439B">
            <w:pPr>
              <w:spacing w:after="0" w:line="240" w:lineRule="auto"/>
              <w:jc w:val="both"/>
              <w:rPr>
                <w:rFonts w:cstheme="minorHAnsi"/>
              </w:rPr>
            </w:pPr>
            <w:r w:rsidRPr="007E4943">
              <w:rPr>
                <w:rFonts w:cstheme="minorHAnsi"/>
              </w:rPr>
              <w:t xml:space="preserve"> 4</w:t>
            </w:r>
          </w:p>
        </w:tc>
        <w:tc>
          <w:tcPr>
            <w:tcW w:w="1134" w:type="dxa"/>
          </w:tcPr>
          <w:p w14:paraId="44CA83E0" w14:textId="77777777" w:rsidR="00F35333" w:rsidRPr="007E4943" w:rsidRDefault="00F35333" w:rsidP="000E439B">
            <w:pPr>
              <w:spacing w:after="0" w:line="240" w:lineRule="auto"/>
              <w:jc w:val="both"/>
              <w:rPr>
                <w:rFonts w:cstheme="minorHAnsi"/>
              </w:rPr>
            </w:pPr>
            <w:r w:rsidRPr="007E4943">
              <w:rPr>
                <w:rFonts w:cstheme="minorHAnsi"/>
              </w:rPr>
              <w:t>RAM</w:t>
            </w:r>
          </w:p>
        </w:tc>
        <w:tc>
          <w:tcPr>
            <w:tcW w:w="3827" w:type="dxa"/>
          </w:tcPr>
          <w:p w14:paraId="283210FA" w14:textId="77777777" w:rsidR="00F35333" w:rsidRPr="007E4943" w:rsidRDefault="00F35333" w:rsidP="000E439B">
            <w:pPr>
              <w:spacing w:after="0" w:line="240" w:lineRule="auto"/>
              <w:jc w:val="both"/>
              <w:rPr>
                <w:rFonts w:cstheme="minorHAnsi"/>
              </w:rPr>
            </w:pPr>
            <w:r w:rsidRPr="007E4943">
              <w:rPr>
                <w:rFonts w:cstheme="minorHAnsi"/>
              </w:rPr>
              <w:t>32 GB DDR5 ECC upgradable to 128 TB</w:t>
            </w:r>
          </w:p>
        </w:tc>
      </w:tr>
    </w:tbl>
    <w:p w14:paraId="66F36184" w14:textId="77777777" w:rsidR="00F35333" w:rsidRDefault="00F35333" w:rsidP="00F35333">
      <w:pPr>
        <w:spacing w:after="0" w:line="240" w:lineRule="auto"/>
        <w:jc w:val="both"/>
        <w:rPr>
          <w:rFonts w:cstheme="minorHAnsi"/>
        </w:rPr>
      </w:pPr>
      <w:r w:rsidRPr="007E4943">
        <w:rPr>
          <w:rFonts w:cstheme="minorHAnsi"/>
        </w:rPr>
        <w:t>Can you please confirm that the RAM should be upgradable to 128 TB?</w:t>
      </w:r>
    </w:p>
    <w:p w14:paraId="21F0F69F" w14:textId="77777777" w:rsidR="00F35333" w:rsidRPr="007E4943" w:rsidRDefault="00F35333" w:rsidP="00F35333">
      <w:pPr>
        <w:spacing w:after="0" w:line="240" w:lineRule="auto"/>
        <w:jc w:val="both"/>
        <w:rPr>
          <w:rFonts w:cstheme="minorHAnsi"/>
          <w:color w:val="2E74B5" w:themeColor="accent5" w:themeShade="BF"/>
        </w:rPr>
      </w:pPr>
      <w:r w:rsidRPr="007E4943">
        <w:rPr>
          <w:rFonts w:cstheme="minorHAnsi"/>
          <w:b/>
          <w:color w:val="2E74B5" w:themeColor="accent5" w:themeShade="BF"/>
          <w:u w:val="single"/>
        </w:rPr>
        <w:lastRenderedPageBreak/>
        <w:t>Answer No. 3</w:t>
      </w:r>
      <w:r>
        <w:rPr>
          <w:rFonts w:cstheme="minorHAnsi"/>
          <w:b/>
          <w:color w:val="2E74B5" w:themeColor="accent5" w:themeShade="BF"/>
          <w:u w:val="single"/>
        </w:rPr>
        <w:t xml:space="preserve">: </w:t>
      </w:r>
      <w:r w:rsidRPr="007E4943">
        <w:rPr>
          <w:rFonts w:cstheme="minorHAnsi"/>
          <w:color w:val="2E74B5" w:themeColor="accent5" w:themeShade="BF"/>
        </w:rPr>
        <w:t xml:space="preserve">RAM should be upgradable to 128 GB. Therefore, please read “32 GB DDR5 ECC upgradable to 128 GB” instead of “32 GB DDR5 ECC upgradable to 128 TB” in Item no. 4 of the table in Section 2.6.1 of the </w:t>
      </w:r>
      <w:proofErr w:type="spellStart"/>
      <w:r w:rsidRPr="007E4943">
        <w:rPr>
          <w:rFonts w:cstheme="minorHAnsi"/>
          <w:color w:val="2E74B5" w:themeColor="accent5" w:themeShade="BF"/>
        </w:rPr>
        <w:t>ToR</w:t>
      </w:r>
      <w:r>
        <w:rPr>
          <w:rFonts w:cstheme="minorHAnsi"/>
          <w:color w:val="2E74B5" w:themeColor="accent5" w:themeShade="BF"/>
        </w:rPr>
        <w:t>s</w:t>
      </w:r>
      <w:proofErr w:type="spellEnd"/>
      <w:r w:rsidRPr="007E4943">
        <w:rPr>
          <w:rFonts w:cstheme="minorHAnsi"/>
          <w:color w:val="2E74B5" w:themeColor="accent5" w:themeShade="BF"/>
        </w:rPr>
        <w:t xml:space="preserve"> document.</w:t>
      </w:r>
    </w:p>
    <w:p w14:paraId="3431FA4B" w14:textId="77777777" w:rsidR="00F35333" w:rsidRDefault="00F35333" w:rsidP="00F35333">
      <w:pPr>
        <w:spacing w:after="0" w:line="240" w:lineRule="auto"/>
        <w:jc w:val="both"/>
        <w:rPr>
          <w:rFonts w:cstheme="minorHAnsi"/>
        </w:rPr>
      </w:pPr>
    </w:p>
    <w:p w14:paraId="7C5BE27D" w14:textId="77777777" w:rsidR="00F35333" w:rsidRPr="007E4943" w:rsidRDefault="00F35333" w:rsidP="00F35333">
      <w:pPr>
        <w:spacing w:after="0" w:line="240" w:lineRule="auto"/>
        <w:jc w:val="both"/>
        <w:rPr>
          <w:rFonts w:cstheme="minorHAnsi"/>
        </w:rPr>
      </w:pPr>
    </w:p>
    <w:p w14:paraId="6C0CCE0B" w14:textId="77777777" w:rsidR="00F35333" w:rsidRPr="007E4943" w:rsidRDefault="00F35333" w:rsidP="00F35333">
      <w:pPr>
        <w:spacing w:after="0" w:line="240" w:lineRule="auto"/>
        <w:rPr>
          <w:rFonts w:cstheme="minorHAnsi"/>
        </w:rPr>
      </w:pPr>
      <w:r w:rsidRPr="007E4943">
        <w:rPr>
          <w:rFonts w:cstheme="minorHAnsi"/>
          <w:b/>
          <w:color w:val="000000"/>
          <w:u w:val="single"/>
        </w:rPr>
        <w:t>Question No. 4</w:t>
      </w:r>
      <w:r>
        <w:rPr>
          <w:rFonts w:cstheme="minorHAnsi"/>
          <w:b/>
          <w:color w:val="000000"/>
          <w:u w:val="single"/>
        </w:rPr>
        <w:t xml:space="preserve">: </w:t>
      </w:r>
      <w:r w:rsidRPr="007E4943">
        <w:rPr>
          <w:rFonts w:cstheme="minorHAnsi"/>
        </w:rPr>
        <w:t>As per the Term of Reference document and section 2.1 Server:</w:t>
      </w:r>
    </w:p>
    <w:tbl>
      <w:tblPr>
        <w:tblStyle w:val="Grilledutableau"/>
        <w:tblW w:w="0" w:type="auto"/>
        <w:tblLook w:val="04A0" w:firstRow="1" w:lastRow="0" w:firstColumn="1" w:lastColumn="0" w:noHBand="0" w:noVBand="1"/>
      </w:tblPr>
      <w:tblGrid>
        <w:gridCol w:w="520"/>
        <w:gridCol w:w="1497"/>
        <w:gridCol w:w="7045"/>
      </w:tblGrid>
      <w:tr w:rsidR="00F35333" w:rsidRPr="007E4943" w14:paraId="60089CD1" w14:textId="77777777" w:rsidTr="000E439B">
        <w:tc>
          <w:tcPr>
            <w:tcW w:w="534" w:type="dxa"/>
          </w:tcPr>
          <w:p w14:paraId="424966EB" w14:textId="77777777" w:rsidR="00F35333" w:rsidRPr="007E4943" w:rsidRDefault="00F35333" w:rsidP="000E439B">
            <w:pPr>
              <w:spacing w:after="0" w:line="240" w:lineRule="auto"/>
              <w:jc w:val="both"/>
              <w:rPr>
                <w:rFonts w:cstheme="minorHAnsi"/>
              </w:rPr>
            </w:pPr>
            <w:r w:rsidRPr="007E4943">
              <w:rPr>
                <w:rFonts w:cstheme="minorHAnsi"/>
              </w:rPr>
              <w:t>5</w:t>
            </w:r>
          </w:p>
        </w:tc>
        <w:tc>
          <w:tcPr>
            <w:tcW w:w="1559" w:type="dxa"/>
          </w:tcPr>
          <w:p w14:paraId="14FE2701" w14:textId="77777777" w:rsidR="00F35333" w:rsidRPr="007E4943" w:rsidRDefault="00F35333" w:rsidP="000E439B">
            <w:pPr>
              <w:spacing w:after="0" w:line="240" w:lineRule="auto"/>
              <w:jc w:val="both"/>
              <w:rPr>
                <w:rFonts w:cstheme="minorHAnsi"/>
              </w:rPr>
            </w:pPr>
            <w:r w:rsidRPr="007E4943">
              <w:rPr>
                <w:rFonts w:cstheme="minorHAnsi"/>
              </w:rPr>
              <w:t>Hard Disks</w:t>
            </w:r>
          </w:p>
        </w:tc>
        <w:tc>
          <w:tcPr>
            <w:tcW w:w="7483" w:type="dxa"/>
          </w:tcPr>
          <w:p w14:paraId="752B1ED6" w14:textId="77777777" w:rsidR="00F35333" w:rsidRPr="007E4943" w:rsidRDefault="00F35333" w:rsidP="000E439B">
            <w:pPr>
              <w:spacing w:after="0" w:line="240" w:lineRule="auto"/>
              <w:jc w:val="both"/>
              <w:rPr>
                <w:rFonts w:cstheme="minorHAnsi"/>
              </w:rPr>
            </w:pPr>
            <w:r w:rsidRPr="007E4943">
              <w:rPr>
                <w:rFonts w:cstheme="minorHAnsi"/>
              </w:rPr>
              <w:t xml:space="preserve">2 x 512 GB SSD hot plug disks configured in RAID 1 for OS and related </w:t>
            </w:r>
            <w:proofErr w:type="gramStart"/>
            <w:r w:rsidRPr="007E4943">
              <w:rPr>
                <w:rFonts w:cstheme="minorHAnsi"/>
              </w:rPr>
              <w:t>utilities</w:t>
            </w:r>
            <w:proofErr w:type="gramEnd"/>
          </w:p>
          <w:p w14:paraId="124AF0E8" w14:textId="77777777" w:rsidR="00F35333" w:rsidRPr="007E4943" w:rsidRDefault="00F35333" w:rsidP="000E439B">
            <w:pPr>
              <w:spacing w:after="0" w:line="240" w:lineRule="auto"/>
              <w:jc w:val="both"/>
              <w:rPr>
                <w:rFonts w:cstheme="minorHAnsi"/>
              </w:rPr>
            </w:pPr>
            <w:r w:rsidRPr="007E4943">
              <w:rPr>
                <w:rFonts w:cstheme="minorHAnsi"/>
              </w:rPr>
              <w:t>3 x 1 TB SAS 10,000 rpm SFF configured in RAIS 5 for data</w:t>
            </w:r>
          </w:p>
        </w:tc>
      </w:tr>
    </w:tbl>
    <w:p w14:paraId="4574E208" w14:textId="77777777" w:rsidR="00F35333" w:rsidRPr="007E4943" w:rsidRDefault="00F35333" w:rsidP="00F35333">
      <w:pPr>
        <w:spacing w:after="0" w:line="240" w:lineRule="auto"/>
        <w:jc w:val="both"/>
        <w:rPr>
          <w:rFonts w:cstheme="minorHAnsi"/>
        </w:rPr>
      </w:pPr>
      <w:r w:rsidRPr="007E4943">
        <w:rPr>
          <w:rFonts w:cstheme="minorHAnsi"/>
        </w:rPr>
        <w:t xml:space="preserve">As per above Hard Disks specification for the Server, RAID 5 has been requested for the data. However, RAID 5 requirement is as per below: - </w:t>
      </w:r>
    </w:p>
    <w:p w14:paraId="30101A29" w14:textId="77777777" w:rsidR="00F35333" w:rsidRPr="007E4943" w:rsidRDefault="00F35333" w:rsidP="00F35333">
      <w:pPr>
        <w:pStyle w:val="Paragraphedeliste"/>
        <w:numPr>
          <w:ilvl w:val="0"/>
          <w:numId w:val="1"/>
        </w:numPr>
        <w:spacing w:after="0" w:line="240" w:lineRule="auto"/>
        <w:jc w:val="both"/>
        <w:rPr>
          <w:rFonts w:cstheme="minorHAnsi"/>
        </w:rPr>
      </w:pPr>
      <w:r w:rsidRPr="007E4943">
        <w:rPr>
          <w:rFonts w:cstheme="minorHAnsi"/>
        </w:rPr>
        <w:t>RAID 5 Fault Tolerance Summary:</w:t>
      </w:r>
    </w:p>
    <w:p w14:paraId="74C854C8" w14:textId="77777777" w:rsidR="00F35333" w:rsidRPr="007E4943" w:rsidRDefault="00F35333" w:rsidP="00F35333">
      <w:pPr>
        <w:pStyle w:val="Paragraphedeliste"/>
        <w:numPr>
          <w:ilvl w:val="0"/>
          <w:numId w:val="1"/>
        </w:numPr>
        <w:spacing w:after="0" w:line="240" w:lineRule="auto"/>
        <w:jc w:val="both"/>
        <w:rPr>
          <w:rFonts w:cstheme="minorHAnsi"/>
        </w:rPr>
      </w:pPr>
      <w:r w:rsidRPr="007E4943">
        <w:rPr>
          <w:rFonts w:cstheme="minorHAnsi"/>
        </w:rPr>
        <w:t xml:space="preserve">No of Disks requested: </w:t>
      </w:r>
      <w:proofErr w:type="gramStart"/>
      <w:r w:rsidRPr="007E4943">
        <w:rPr>
          <w:rFonts w:cstheme="minorHAnsi"/>
        </w:rPr>
        <w:t>3</w:t>
      </w:r>
      <w:proofErr w:type="gramEnd"/>
    </w:p>
    <w:p w14:paraId="44697E35" w14:textId="77777777" w:rsidR="00F35333" w:rsidRPr="007E4943" w:rsidRDefault="00F35333" w:rsidP="00F35333">
      <w:pPr>
        <w:pStyle w:val="Paragraphedeliste"/>
        <w:numPr>
          <w:ilvl w:val="0"/>
          <w:numId w:val="1"/>
        </w:numPr>
        <w:spacing w:after="0" w:line="240" w:lineRule="auto"/>
        <w:jc w:val="both"/>
        <w:rPr>
          <w:rFonts w:cstheme="minorHAnsi"/>
        </w:rPr>
      </w:pPr>
      <w:r w:rsidRPr="007E4943">
        <w:rPr>
          <w:rFonts w:cstheme="minorHAnsi"/>
        </w:rPr>
        <w:t xml:space="preserve">Fault tolerance: Can survive 1 disk </w:t>
      </w:r>
      <w:proofErr w:type="gramStart"/>
      <w:r w:rsidRPr="007E4943">
        <w:rPr>
          <w:rFonts w:cstheme="minorHAnsi"/>
        </w:rPr>
        <w:t>failure</w:t>
      </w:r>
      <w:proofErr w:type="gramEnd"/>
    </w:p>
    <w:p w14:paraId="1E1B9358" w14:textId="77777777" w:rsidR="00F35333" w:rsidRPr="007E4943" w:rsidRDefault="00F35333" w:rsidP="00F35333">
      <w:pPr>
        <w:pStyle w:val="Paragraphedeliste"/>
        <w:numPr>
          <w:ilvl w:val="0"/>
          <w:numId w:val="1"/>
        </w:numPr>
        <w:spacing w:after="0" w:line="240" w:lineRule="auto"/>
        <w:jc w:val="both"/>
        <w:rPr>
          <w:rFonts w:cstheme="minorHAnsi"/>
        </w:rPr>
      </w:pPr>
      <w:r w:rsidRPr="007E4943">
        <w:rPr>
          <w:rFonts w:cstheme="minorHAnsi"/>
        </w:rPr>
        <w:t xml:space="preserve">If 2 disks fail, the array becomes </w:t>
      </w:r>
      <w:proofErr w:type="gramStart"/>
      <w:r w:rsidRPr="007E4943">
        <w:rPr>
          <w:rFonts w:cstheme="minorHAnsi"/>
        </w:rPr>
        <w:t>unrecoverable</w:t>
      </w:r>
      <w:proofErr w:type="gramEnd"/>
    </w:p>
    <w:p w14:paraId="22F05383" w14:textId="77777777" w:rsidR="00F35333" w:rsidRPr="007E4943" w:rsidRDefault="00F35333" w:rsidP="00F35333">
      <w:pPr>
        <w:spacing w:after="0" w:line="240" w:lineRule="auto"/>
        <w:jc w:val="both"/>
        <w:rPr>
          <w:rFonts w:cstheme="minorHAnsi"/>
        </w:rPr>
      </w:pPr>
      <w:r w:rsidRPr="007E4943">
        <w:rPr>
          <w:rFonts w:cstheme="minorHAnsi"/>
        </w:rPr>
        <w:t>Can you please confirm that an additional disk will be required as hot pairs in case of 2 disks failure, making it a total of 4 Hard disks instead of 3?</w:t>
      </w:r>
    </w:p>
    <w:p w14:paraId="78C0996F" w14:textId="77777777" w:rsidR="00F35333" w:rsidRDefault="00F35333" w:rsidP="00F35333">
      <w:pPr>
        <w:spacing w:after="0" w:line="240" w:lineRule="auto"/>
        <w:jc w:val="both"/>
        <w:rPr>
          <w:rFonts w:cstheme="minorHAnsi"/>
        </w:rPr>
      </w:pPr>
      <w:r w:rsidRPr="007E4943">
        <w:rPr>
          <w:rFonts w:cstheme="minorHAnsi"/>
        </w:rPr>
        <w:t>Can you please confirm whether the two (2) Servers at each site will be in a clustered configuration?  If yes, can please give further details and confirm of any existing common storage at each site?</w:t>
      </w:r>
    </w:p>
    <w:p w14:paraId="0FCB3728" w14:textId="77777777" w:rsidR="00F35333" w:rsidRDefault="00F35333" w:rsidP="00F35333">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4</w:t>
      </w:r>
      <w:r>
        <w:rPr>
          <w:rFonts w:cstheme="minorHAnsi"/>
          <w:b/>
          <w:color w:val="2E74B5" w:themeColor="accent5" w:themeShade="BF"/>
          <w:u w:val="single"/>
        </w:rPr>
        <w:t xml:space="preserve">: </w:t>
      </w:r>
      <w:r w:rsidRPr="007E4943">
        <w:rPr>
          <w:rFonts w:cstheme="minorHAnsi"/>
          <w:color w:val="2E74B5" w:themeColor="accent5" w:themeShade="BF"/>
        </w:rPr>
        <w:t>According to their proposed solutions, bidders are free to propose additional disks to enhance system resilience and fault tolerance. Bidders may include a fourth disk configured as a hot spare if deemed necessary to support automatic recovery and minimize downtime. All such proposals must be clearly documented and technically justified in the bidder’s submission.</w:t>
      </w:r>
    </w:p>
    <w:p w14:paraId="020FA884" w14:textId="77777777" w:rsidR="00F35333" w:rsidRPr="007E4943" w:rsidRDefault="00F35333" w:rsidP="00F35333">
      <w:pPr>
        <w:spacing w:after="0" w:line="240" w:lineRule="auto"/>
        <w:jc w:val="both"/>
        <w:rPr>
          <w:rFonts w:cstheme="minorHAnsi"/>
          <w:color w:val="2E74B5" w:themeColor="accent5" w:themeShade="BF"/>
        </w:rPr>
      </w:pPr>
      <w:r w:rsidRPr="007E4943">
        <w:rPr>
          <w:rFonts w:cstheme="minorHAnsi"/>
          <w:color w:val="2E74B5" w:themeColor="accent5" w:themeShade="BF"/>
        </w:rPr>
        <w:t xml:space="preserve">The fault tolerance, high availability, and redundancy features of the required solution are described in Section 1.4 of the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xml:space="preserve"> document. Bidders are advised to refer to this section when designing and justifying their proposed system architecture.</w:t>
      </w:r>
    </w:p>
    <w:p w14:paraId="2DC07F29" w14:textId="77777777" w:rsidR="00F35333" w:rsidRDefault="00F35333" w:rsidP="00F35333">
      <w:pPr>
        <w:spacing w:after="0" w:line="240" w:lineRule="auto"/>
        <w:jc w:val="both"/>
        <w:rPr>
          <w:rFonts w:cstheme="minorHAnsi"/>
        </w:rPr>
      </w:pPr>
    </w:p>
    <w:p w14:paraId="4CDB0C02" w14:textId="77777777" w:rsidR="00F35333" w:rsidRPr="007E4943" w:rsidRDefault="00F35333" w:rsidP="00F35333">
      <w:pPr>
        <w:spacing w:after="0" w:line="240" w:lineRule="auto"/>
        <w:jc w:val="both"/>
        <w:rPr>
          <w:rFonts w:cstheme="minorHAnsi"/>
        </w:rPr>
      </w:pPr>
    </w:p>
    <w:p w14:paraId="0A68777B" w14:textId="77777777" w:rsidR="00F35333" w:rsidRPr="007E4943" w:rsidRDefault="00F35333" w:rsidP="00F35333">
      <w:pPr>
        <w:spacing w:after="0" w:line="240" w:lineRule="auto"/>
        <w:jc w:val="both"/>
        <w:rPr>
          <w:rFonts w:cstheme="minorHAnsi"/>
        </w:rPr>
      </w:pPr>
      <w:r w:rsidRPr="007E4943">
        <w:rPr>
          <w:rFonts w:cstheme="minorHAnsi"/>
          <w:b/>
          <w:color w:val="000000"/>
          <w:u w:val="single"/>
        </w:rPr>
        <w:t>Question No. 5</w:t>
      </w:r>
      <w:r>
        <w:rPr>
          <w:rFonts w:cstheme="minorHAnsi"/>
          <w:b/>
          <w:color w:val="000000"/>
          <w:u w:val="single"/>
        </w:rPr>
        <w:t xml:space="preserve">: </w:t>
      </w:r>
      <w:r w:rsidRPr="007E4943">
        <w:rPr>
          <w:rFonts w:cstheme="minorHAnsi"/>
        </w:rPr>
        <w:t>Country of Origin: As per the tender TOR, can you please confirm that all supplies under this contract must originate in one or more of the following eligible regions?</w:t>
      </w:r>
    </w:p>
    <w:p w14:paraId="64BC597C" w14:textId="77777777" w:rsidR="00F35333" w:rsidRPr="007E4943" w:rsidRDefault="00F35333" w:rsidP="00F35333">
      <w:pPr>
        <w:pStyle w:val="Paragraphedeliste"/>
        <w:numPr>
          <w:ilvl w:val="0"/>
          <w:numId w:val="1"/>
        </w:numPr>
        <w:spacing w:after="0" w:line="240" w:lineRule="auto"/>
        <w:jc w:val="both"/>
        <w:rPr>
          <w:rFonts w:cstheme="minorHAnsi"/>
        </w:rPr>
      </w:pPr>
      <w:r w:rsidRPr="007E4943">
        <w:rPr>
          <w:rFonts w:cstheme="minorHAnsi"/>
        </w:rPr>
        <w:t>European Union (EU) Member States</w:t>
      </w:r>
    </w:p>
    <w:p w14:paraId="28C1E5E8" w14:textId="77777777" w:rsidR="00F35333" w:rsidRPr="007E4943" w:rsidRDefault="00F35333" w:rsidP="00F35333">
      <w:pPr>
        <w:pStyle w:val="Paragraphedeliste"/>
        <w:numPr>
          <w:ilvl w:val="0"/>
          <w:numId w:val="1"/>
        </w:numPr>
        <w:spacing w:after="0" w:line="240" w:lineRule="auto"/>
        <w:jc w:val="both"/>
        <w:rPr>
          <w:rFonts w:cstheme="minorHAnsi"/>
        </w:rPr>
      </w:pPr>
      <w:r w:rsidRPr="007E4943">
        <w:rPr>
          <w:rFonts w:cstheme="minorHAnsi"/>
        </w:rPr>
        <w:t>ACP States (African, Caribbean, and Pacific Group of States)</w:t>
      </w:r>
    </w:p>
    <w:p w14:paraId="319DB26D" w14:textId="77777777" w:rsidR="00F35333" w:rsidRPr="007E4943" w:rsidRDefault="00F35333" w:rsidP="00F35333">
      <w:pPr>
        <w:pStyle w:val="Paragraphedeliste"/>
        <w:numPr>
          <w:ilvl w:val="0"/>
          <w:numId w:val="1"/>
        </w:numPr>
        <w:spacing w:after="0" w:line="240" w:lineRule="auto"/>
        <w:jc w:val="both"/>
        <w:rPr>
          <w:rFonts w:cstheme="minorHAnsi"/>
        </w:rPr>
      </w:pPr>
      <w:r w:rsidRPr="007E4943">
        <w:rPr>
          <w:rFonts w:cstheme="minorHAnsi"/>
        </w:rPr>
        <w:t>Countries or territories authorized by the ACP–EU Partnership Agreement</w:t>
      </w:r>
    </w:p>
    <w:p w14:paraId="09D2BB78" w14:textId="77777777" w:rsidR="00F35333" w:rsidRPr="00B264DA" w:rsidRDefault="00F35333" w:rsidP="00F35333">
      <w:pPr>
        <w:pStyle w:val="Titre2"/>
        <w:keepNext w:val="0"/>
        <w:numPr>
          <w:ilvl w:val="1"/>
          <w:numId w:val="0"/>
        </w:numPr>
        <w:jc w:val="both"/>
        <w:rPr>
          <w:rFonts w:cstheme="minorHAnsi"/>
          <w:b/>
          <w:color w:val="000000"/>
          <w:u w:val="single"/>
          <w:lang w:val="en-GB"/>
        </w:rPr>
      </w:pPr>
      <w:r w:rsidRPr="001500E8">
        <w:rPr>
          <w:rFonts w:cstheme="minorHAnsi"/>
          <w:b/>
          <w:color w:val="2E74B5" w:themeColor="accent5" w:themeShade="BF"/>
          <w:u w:val="single"/>
          <w:lang w:val="en-GB"/>
        </w:rPr>
        <w:t xml:space="preserve">Answer No. 5: </w:t>
      </w:r>
      <w:r w:rsidRPr="001500E8">
        <w:rPr>
          <w:rFonts w:cstheme="minorHAnsi"/>
          <w:color w:val="2E74B5" w:themeColor="accent5" w:themeShade="BF"/>
          <w:lang w:val="en-GB"/>
        </w:rPr>
        <w:t>Goods under this contract must originat</w:t>
      </w:r>
      <w:r>
        <w:rPr>
          <w:rFonts w:cstheme="minorHAnsi"/>
          <w:color w:val="2E74B5" w:themeColor="accent5" w:themeShade="BF"/>
          <w:lang w:val="en-GB"/>
        </w:rPr>
        <w:t>e</w:t>
      </w:r>
      <w:r w:rsidRPr="001500E8">
        <w:rPr>
          <w:rFonts w:cstheme="minorHAnsi"/>
          <w:color w:val="2E74B5" w:themeColor="accent5" w:themeShade="BF"/>
          <w:lang w:val="en-GB"/>
        </w:rPr>
        <w:t xml:space="preserve"> in the EU and in the Overseas Countries and Territories.</w:t>
      </w:r>
    </w:p>
    <w:p w14:paraId="746EA316" w14:textId="77777777" w:rsidR="00F35333" w:rsidRPr="007E4943" w:rsidRDefault="00F35333" w:rsidP="00F35333">
      <w:pPr>
        <w:spacing w:after="0" w:line="240" w:lineRule="auto"/>
        <w:rPr>
          <w:rFonts w:cstheme="minorHAnsi"/>
          <w:b/>
          <w:color w:val="000000"/>
          <w:u w:val="single"/>
        </w:rPr>
      </w:pPr>
    </w:p>
    <w:p w14:paraId="5373818C" w14:textId="77777777" w:rsidR="00F35333" w:rsidRPr="007E4943" w:rsidRDefault="00F35333" w:rsidP="00F35333">
      <w:pPr>
        <w:spacing w:after="0" w:line="240" w:lineRule="auto"/>
        <w:rPr>
          <w:rFonts w:cstheme="minorHAnsi"/>
        </w:rPr>
      </w:pPr>
      <w:r w:rsidRPr="007E4943">
        <w:rPr>
          <w:rFonts w:cstheme="minorHAnsi"/>
          <w:b/>
          <w:color w:val="000000"/>
          <w:u w:val="single"/>
        </w:rPr>
        <w:t>Question No. 6</w:t>
      </w:r>
      <w:r>
        <w:rPr>
          <w:rFonts w:cstheme="minorHAnsi"/>
          <w:b/>
          <w:color w:val="000000"/>
          <w:u w:val="single"/>
        </w:rPr>
        <w:t xml:space="preserve">: </w:t>
      </w:r>
      <w:r w:rsidRPr="007E4943">
        <w:rPr>
          <w:rFonts w:cstheme="minorHAnsi"/>
        </w:rPr>
        <w:t>This tender is closely linked to 2 other tenders, namely: -</w:t>
      </w:r>
    </w:p>
    <w:p w14:paraId="113DA9C2" w14:textId="77777777" w:rsidR="00F35333" w:rsidRPr="007E4943" w:rsidRDefault="00F35333" w:rsidP="00F35333">
      <w:pPr>
        <w:pStyle w:val="NormalWeb"/>
        <w:shd w:val="clear" w:color="auto" w:fill="FFFFFF"/>
        <w:spacing w:before="0" w:beforeAutospacing="0" w:after="0" w:afterAutospacing="0"/>
        <w:jc w:val="both"/>
        <w:rPr>
          <w:rFonts w:asciiTheme="minorHAnsi" w:eastAsiaTheme="minorHAnsi" w:hAnsiTheme="minorHAnsi" w:cstheme="minorHAnsi"/>
          <w:sz w:val="22"/>
          <w:szCs w:val="22"/>
        </w:rPr>
      </w:pPr>
      <w:r w:rsidRPr="007E4943">
        <w:rPr>
          <w:rFonts w:asciiTheme="minorHAnsi" w:eastAsiaTheme="minorHAnsi" w:hAnsiTheme="minorHAnsi" w:cstheme="minorHAnsi"/>
          <w:sz w:val="22"/>
          <w:szCs w:val="22"/>
        </w:rPr>
        <w:t>“COI/PSSN/AO/2025/011 - Supply, Delivery, Siting and Installation, Commissioning and After-Sales Service of AIS Shore Stations for VTMIS;” and</w:t>
      </w:r>
    </w:p>
    <w:p w14:paraId="05A63F69" w14:textId="77777777" w:rsidR="00F35333" w:rsidRPr="007E4943" w:rsidRDefault="00F35333" w:rsidP="00F35333">
      <w:pPr>
        <w:pStyle w:val="NormalWeb"/>
        <w:shd w:val="clear" w:color="auto" w:fill="FFFFFF"/>
        <w:spacing w:before="0" w:beforeAutospacing="0" w:after="0" w:afterAutospacing="0"/>
        <w:jc w:val="both"/>
        <w:rPr>
          <w:rFonts w:asciiTheme="minorHAnsi" w:eastAsiaTheme="minorHAnsi" w:hAnsiTheme="minorHAnsi" w:cstheme="minorHAnsi"/>
          <w:sz w:val="22"/>
          <w:szCs w:val="22"/>
        </w:rPr>
      </w:pPr>
      <w:r w:rsidRPr="007E4943">
        <w:rPr>
          <w:rFonts w:asciiTheme="minorHAnsi" w:eastAsiaTheme="minorHAnsi" w:hAnsiTheme="minorHAnsi" w:cstheme="minorHAnsi"/>
          <w:sz w:val="22"/>
          <w:szCs w:val="22"/>
        </w:rPr>
        <w:t xml:space="preserve"> “COI/PSSN/AO/2025/012 - Supply, Delivery, Installation, Training, Maintenance services and After-Sales Service of an application software for Vessel Traffic Management Information System (VTMIS).”</w:t>
      </w:r>
    </w:p>
    <w:p w14:paraId="55DB6101" w14:textId="77777777" w:rsidR="00F35333" w:rsidRPr="007E4943" w:rsidRDefault="00F35333" w:rsidP="00F35333">
      <w:pPr>
        <w:pStyle w:val="NormalWeb"/>
        <w:shd w:val="clear" w:color="auto" w:fill="FFFFFF"/>
        <w:spacing w:before="0" w:beforeAutospacing="0" w:after="0" w:afterAutospacing="0"/>
        <w:jc w:val="both"/>
        <w:rPr>
          <w:rFonts w:asciiTheme="minorHAnsi" w:eastAsiaTheme="minorHAnsi" w:hAnsiTheme="minorHAnsi" w:cstheme="minorHAnsi"/>
          <w:sz w:val="22"/>
          <w:szCs w:val="22"/>
        </w:rPr>
      </w:pPr>
      <w:r w:rsidRPr="007E4943">
        <w:rPr>
          <w:rFonts w:asciiTheme="minorHAnsi" w:eastAsiaTheme="minorHAnsi" w:hAnsiTheme="minorHAnsi" w:cstheme="minorHAnsi"/>
          <w:sz w:val="22"/>
          <w:szCs w:val="22"/>
        </w:rPr>
        <w:t xml:space="preserve">How </w:t>
      </w:r>
      <w:proofErr w:type="gramStart"/>
      <w:r w:rsidRPr="007E4943">
        <w:rPr>
          <w:rFonts w:asciiTheme="minorHAnsi" w:eastAsiaTheme="minorHAnsi" w:hAnsiTheme="minorHAnsi" w:cstheme="minorHAnsi"/>
          <w:sz w:val="22"/>
          <w:szCs w:val="22"/>
        </w:rPr>
        <w:t>IOC will</w:t>
      </w:r>
      <w:proofErr w:type="gramEnd"/>
      <w:r w:rsidRPr="007E4943">
        <w:rPr>
          <w:rFonts w:asciiTheme="minorHAnsi" w:eastAsiaTheme="minorHAnsi" w:hAnsiTheme="minorHAnsi" w:cstheme="minorHAnsi"/>
          <w:sz w:val="22"/>
          <w:szCs w:val="22"/>
        </w:rPr>
        <w:t xml:space="preserve"> consider a single offer for the 3 tenders?</w:t>
      </w:r>
    </w:p>
    <w:p w14:paraId="5C25569A" w14:textId="77777777" w:rsidR="00F35333" w:rsidRPr="007E4943" w:rsidRDefault="00F35333" w:rsidP="00F35333">
      <w:pPr>
        <w:spacing w:after="0" w:line="240" w:lineRule="auto"/>
        <w:jc w:val="both"/>
        <w:rPr>
          <w:rFonts w:cstheme="minorHAnsi"/>
          <w:b/>
          <w:color w:val="000000"/>
          <w:lang w:val="en-GB"/>
        </w:rPr>
      </w:pPr>
      <w:r w:rsidRPr="007E4943">
        <w:rPr>
          <w:rFonts w:cstheme="minorHAnsi"/>
          <w:b/>
          <w:color w:val="2E74B5" w:themeColor="accent5" w:themeShade="BF"/>
          <w:u w:val="single"/>
        </w:rPr>
        <w:t>Answer No. 6</w:t>
      </w:r>
      <w:r>
        <w:rPr>
          <w:rFonts w:cstheme="minorHAnsi"/>
          <w:b/>
          <w:color w:val="2E74B5" w:themeColor="accent5" w:themeShade="BF"/>
          <w:u w:val="single"/>
        </w:rPr>
        <w:t xml:space="preserve">: </w:t>
      </w:r>
      <w:r w:rsidRPr="007E4943">
        <w:rPr>
          <w:rFonts w:cstheme="minorHAnsi"/>
          <w:color w:val="2E74B5" w:themeColor="accent5" w:themeShade="BF"/>
        </w:rPr>
        <w:t>Bidders who wish to participate in the three tenders must submit separate offers for each tender, in accordance with the specific requirements and procedures outlined in each respective tender document. The IOC will not consider a single combined offer covering all three tenders.</w:t>
      </w:r>
    </w:p>
    <w:p w14:paraId="3FAAA3E3" w14:textId="77777777" w:rsidR="006510DE" w:rsidRPr="00F35333" w:rsidRDefault="006510DE">
      <w:pPr>
        <w:rPr>
          <w:lang w:val="en-GB"/>
        </w:rPr>
      </w:pPr>
    </w:p>
    <w:sectPr w:rsidR="006510DE" w:rsidRPr="00F35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7172F"/>
    <w:multiLevelType w:val="hybridMultilevel"/>
    <w:tmpl w:val="E0B29934"/>
    <w:lvl w:ilvl="0" w:tplc="B106A0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42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33"/>
    <w:rsid w:val="004340F4"/>
    <w:rsid w:val="006510DE"/>
    <w:rsid w:val="00F35333"/>
  </w:rsids>
  <m:mathPr>
    <m:mathFont m:val="Cambria Math"/>
    <m:brkBin m:val="before"/>
    <m:brkBinSub m:val="--"/>
    <m:smallFrac m:val="0"/>
    <m:dispDef/>
    <m:lMargin m:val="0"/>
    <m:rMargin m:val="0"/>
    <m:defJc m:val="centerGroup"/>
    <m:wrapIndent m:val="1440"/>
    <m:intLim m:val="subSup"/>
    <m:naryLim m:val="undOvr"/>
  </m:mathPr>
  <w:themeFontLang w:val="fr-M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A27F"/>
  <w15:chartTrackingRefBased/>
  <w15:docId w15:val="{702E5DDD-0818-4E8F-B0C3-6E325119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M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33"/>
    <w:pPr>
      <w:spacing w:after="200" w:line="276" w:lineRule="auto"/>
    </w:pPr>
    <w:rPr>
      <w:kern w:val="0"/>
      <w:lang w:val="en-US"/>
      <w14:ligatures w14:val="none"/>
    </w:rPr>
  </w:style>
  <w:style w:type="paragraph" w:styleId="Titre2">
    <w:name w:val="heading 2"/>
    <w:basedOn w:val="Normal"/>
    <w:next w:val="Normal"/>
    <w:link w:val="Titre2Car"/>
    <w:uiPriority w:val="9"/>
    <w:qFormat/>
    <w:rsid w:val="00F35333"/>
    <w:pPr>
      <w:keepNext/>
      <w:spacing w:before="120" w:after="120" w:line="240" w:lineRule="auto"/>
      <w:outlineLvl w:val="1"/>
    </w:pPr>
    <w:rPr>
      <w:rFonts w:ascii="Arial" w:eastAsia="Times New Roman" w:hAnsi="Arial" w:cs="Times New Roman"/>
      <w:snapToGrid w:val="0"/>
      <w:sz w:val="20"/>
      <w:szCs w:val="20"/>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35333"/>
    <w:rPr>
      <w:rFonts w:ascii="Arial" w:eastAsia="Times New Roman" w:hAnsi="Arial" w:cs="Times New Roman"/>
      <w:snapToGrid w:val="0"/>
      <w:kern w:val="0"/>
      <w:sz w:val="20"/>
      <w:szCs w:val="20"/>
      <w:lang w:val="fr-FR" w:eastAsia="fr-FR" w:bidi="fr-FR"/>
      <w14:ligatures w14:val="none"/>
    </w:rPr>
  </w:style>
  <w:style w:type="paragraph" w:styleId="NormalWeb">
    <w:name w:val="Normal (Web)"/>
    <w:basedOn w:val="Normal"/>
    <w:uiPriority w:val="99"/>
    <w:unhideWhenUsed/>
    <w:rsid w:val="00F35333"/>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35333"/>
    <w:pPr>
      <w:ind w:left="720"/>
      <w:contextualSpacing/>
    </w:pPr>
  </w:style>
  <w:style w:type="table" w:styleId="Grilledutableau">
    <w:name w:val="Table Grid"/>
    <w:basedOn w:val="TableauNormal"/>
    <w:uiPriority w:val="39"/>
    <w:rsid w:val="00F35333"/>
    <w:pPr>
      <w:spacing w:after="0" w:line="240" w:lineRule="auto"/>
    </w:pPr>
    <w:rPr>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Nancy RATEFISAONINA</dc:creator>
  <cp:keywords/>
  <dc:description/>
  <cp:lastModifiedBy>Stella Nancy RATEFISAONINA</cp:lastModifiedBy>
  <cp:revision>1</cp:revision>
  <dcterms:created xsi:type="dcterms:W3CDTF">2025-08-05T18:32:00Z</dcterms:created>
  <dcterms:modified xsi:type="dcterms:W3CDTF">2025-08-05T18:35:00Z</dcterms:modified>
</cp:coreProperties>
</file>