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6BFCE" w14:textId="474111CE" w:rsidR="00DD6ECC" w:rsidRPr="003C2AF2" w:rsidRDefault="002A45EA" w:rsidP="008259F5">
      <w:pPr>
        <w:jc w:val="both"/>
        <w:rPr>
          <w:rFonts w:cs="Calibri"/>
          <w:b/>
          <w:bCs/>
        </w:rPr>
      </w:pPr>
      <w:r w:rsidRPr="003C2AF2">
        <w:rPr>
          <w:rFonts w:cs="Calibri"/>
          <w:b/>
          <w:bCs/>
        </w:rPr>
        <w:t>Préface d</w:t>
      </w:r>
      <w:r w:rsidR="00D11671" w:rsidRPr="003C2AF2">
        <w:rPr>
          <w:rFonts w:cs="Calibri"/>
          <w:b/>
          <w:bCs/>
        </w:rPr>
        <w:t>e</w:t>
      </w:r>
      <w:r w:rsidR="004D56A3">
        <w:rPr>
          <w:rFonts w:cs="Calibri"/>
          <w:b/>
          <w:bCs/>
        </w:rPr>
        <w:t xml:space="preserve"> M.</w:t>
      </w:r>
      <w:r w:rsidR="00D11671" w:rsidRPr="003C2AF2">
        <w:rPr>
          <w:rFonts w:cs="Calibri"/>
          <w:b/>
          <w:bCs/>
        </w:rPr>
        <w:t xml:space="preserve"> Edgard Razafindravahy,</w:t>
      </w:r>
      <w:r w:rsidRPr="003C2AF2">
        <w:rPr>
          <w:rFonts w:cs="Calibri"/>
          <w:b/>
          <w:bCs/>
        </w:rPr>
        <w:t xml:space="preserve"> Secrétaire général de la Commission de l'océan Indien </w:t>
      </w:r>
    </w:p>
    <w:p w14:paraId="32B0A9D3" w14:textId="77777777" w:rsidR="00403390" w:rsidRDefault="00403390" w:rsidP="008259F5">
      <w:pPr>
        <w:jc w:val="both"/>
        <w:rPr>
          <w:rFonts w:cs="Calibri"/>
        </w:rPr>
      </w:pPr>
    </w:p>
    <w:p w14:paraId="43C4FEF7" w14:textId="2D3DE3FA" w:rsidR="0092548B" w:rsidRDefault="00483AFB" w:rsidP="008259F5">
      <w:pPr>
        <w:jc w:val="both"/>
        <w:rPr>
          <w:rFonts w:cs="Calibri"/>
          <w:b/>
          <w:bCs/>
        </w:rPr>
      </w:pPr>
      <w:r w:rsidRPr="00403390">
        <w:rPr>
          <w:rFonts w:cs="Calibri"/>
          <w:b/>
          <w:bCs/>
        </w:rPr>
        <w:t>Le réseau SEGA</w:t>
      </w:r>
      <w:r>
        <w:rPr>
          <w:rFonts w:cs="Calibri"/>
          <w:b/>
          <w:bCs/>
        </w:rPr>
        <w:t xml:space="preserve"> </w:t>
      </w:r>
      <w:r w:rsidRPr="00403390">
        <w:rPr>
          <w:rFonts w:cs="Calibri"/>
          <w:b/>
          <w:bCs/>
        </w:rPr>
        <w:t>-</w:t>
      </w:r>
      <w:r>
        <w:rPr>
          <w:rFonts w:cs="Calibri"/>
          <w:b/>
          <w:bCs/>
        </w:rPr>
        <w:t xml:space="preserve"> </w:t>
      </w:r>
      <w:r w:rsidRPr="00403390">
        <w:rPr>
          <w:rFonts w:cs="Calibri"/>
          <w:b/>
          <w:bCs/>
        </w:rPr>
        <w:t>One Health</w:t>
      </w:r>
      <w:r w:rsidR="00C81A22">
        <w:rPr>
          <w:rFonts w:cs="Calibri"/>
          <w:b/>
          <w:bCs/>
        </w:rPr>
        <w:t xml:space="preserve">, une </w:t>
      </w:r>
      <w:r>
        <w:rPr>
          <w:rFonts w:cs="Calibri"/>
          <w:b/>
          <w:bCs/>
        </w:rPr>
        <w:t>coopération sanitaire qui fait la différence</w:t>
      </w:r>
      <w:r w:rsidR="0056618D">
        <w:rPr>
          <w:rFonts w:cs="Calibri"/>
          <w:b/>
          <w:bCs/>
        </w:rPr>
        <w:t xml:space="preserve"> en Indianocéanie</w:t>
      </w:r>
    </w:p>
    <w:p w14:paraId="67818B1E" w14:textId="77777777" w:rsidR="00941829" w:rsidRPr="003C2AF2" w:rsidRDefault="00941829" w:rsidP="008259F5">
      <w:pPr>
        <w:jc w:val="both"/>
        <w:rPr>
          <w:rFonts w:cs="Calibri"/>
        </w:rPr>
      </w:pPr>
    </w:p>
    <w:p w14:paraId="6F6BF6CD" w14:textId="562F52C6" w:rsidR="004B0925" w:rsidRPr="003C2AF2" w:rsidRDefault="0068616F" w:rsidP="008259F5">
      <w:pPr>
        <w:jc w:val="both"/>
        <w:rPr>
          <w:rFonts w:cs="Calibri"/>
        </w:rPr>
      </w:pPr>
      <w:r>
        <w:t>En 2006</w:t>
      </w:r>
      <w:r w:rsidR="00CA52D3" w:rsidRPr="003C2AF2">
        <w:t xml:space="preserve">, </w:t>
      </w:r>
      <w:r w:rsidR="00943782">
        <w:t xml:space="preserve">la </w:t>
      </w:r>
      <w:r w:rsidR="00CA52D3" w:rsidRPr="003C2AF2">
        <w:t xml:space="preserve">crise </w:t>
      </w:r>
      <w:r w:rsidR="00943782">
        <w:t>du Chikungunya</w:t>
      </w:r>
      <w:r w:rsidR="00CA52D3" w:rsidRPr="003C2AF2">
        <w:t xml:space="preserve"> a </w:t>
      </w:r>
      <w:r w:rsidR="00B22871">
        <w:t xml:space="preserve">montré combien la </w:t>
      </w:r>
      <w:r w:rsidR="00CA52D3" w:rsidRPr="003C2AF2">
        <w:t xml:space="preserve">coordination et </w:t>
      </w:r>
      <w:r w:rsidR="001C096F">
        <w:t>l</w:t>
      </w:r>
      <w:r w:rsidR="001C096F" w:rsidRPr="003C2AF2">
        <w:t xml:space="preserve">e </w:t>
      </w:r>
      <w:r w:rsidR="00CA52D3" w:rsidRPr="003C2AF2">
        <w:t xml:space="preserve">partage d'informations sanitaires entre des îles </w:t>
      </w:r>
      <w:r w:rsidR="00B22871">
        <w:t>sont essentiels</w:t>
      </w:r>
      <w:r w:rsidR="00CC0E1E">
        <w:t xml:space="preserve"> face aux</w:t>
      </w:r>
      <w:r w:rsidR="00CA52D3" w:rsidRPr="003C2AF2">
        <w:t xml:space="preserve"> défis communs. </w:t>
      </w:r>
      <w:r w:rsidR="004B0925" w:rsidRPr="003C2AF2">
        <w:rPr>
          <w:rFonts w:cs="Calibri"/>
        </w:rPr>
        <w:t xml:space="preserve">Cette crise a </w:t>
      </w:r>
      <w:r w:rsidR="00CC0E1E">
        <w:rPr>
          <w:rFonts w:cs="Calibri"/>
        </w:rPr>
        <w:t>marqué</w:t>
      </w:r>
      <w:r w:rsidR="004B0925" w:rsidRPr="003C2AF2">
        <w:rPr>
          <w:rFonts w:cs="Calibri"/>
        </w:rPr>
        <w:t xml:space="preserve"> un tournant décisi</w:t>
      </w:r>
      <w:r w:rsidR="00DB0C9C" w:rsidRPr="003C2AF2">
        <w:rPr>
          <w:rFonts w:cs="Calibri"/>
        </w:rPr>
        <w:t xml:space="preserve">f </w:t>
      </w:r>
      <w:r w:rsidR="00525586">
        <w:rPr>
          <w:rFonts w:cs="Calibri"/>
        </w:rPr>
        <w:t>dans la</w:t>
      </w:r>
      <w:r w:rsidR="004B0925" w:rsidRPr="003C2AF2">
        <w:rPr>
          <w:rFonts w:cs="Calibri"/>
        </w:rPr>
        <w:t xml:space="preserve"> coopération régionale</w:t>
      </w:r>
      <w:r w:rsidR="001A6B76">
        <w:rPr>
          <w:rFonts w:cs="Calibri"/>
        </w:rPr>
        <w:t xml:space="preserve"> animée par </w:t>
      </w:r>
      <w:r w:rsidR="004B0925" w:rsidRPr="003C2AF2">
        <w:rPr>
          <w:rFonts w:cs="Calibri"/>
        </w:rPr>
        <w:t xml:space="preserve">la Commission de l’océan Indien (COI) </w:t>
      </w:r>
      <w:r w:rsidR="001A6B76">
        <w:rPr>
          <w:rFonts w:cs="Calibri"/>
        </w:rPr>
        <w:t>avec la création</w:t>
      </w:r>
      <w:r w:rsidR="008F2719" w:rsidRPr="003C2AF2">
        <w:rPr>
          <w:rFonts w:cs="Calibri"/>
        </w:rPr>
        <w:t>, en 2009</w:t>
      </w:r>
      <w:r w:rsidR="001251C6" w:rsidRPr="003C2AF2">
        <w:rPr>
          <w:rFonts w:cs="Calibri"/>
        </w:rPr>
        <w:t>,</w:t>
      </w:r>
      <w:r w:rsidR="004B0925" w:rsidRPr="003C2AF2">
        <w:rPr>
          <w:rFonts w:cs="Calibri"/>
        </w:rPr>
        <w:t xml:space="preserve"> </w:t>
      </w:r>
      <w:r w:rsidR="001A6B76">
        <w:rPr>
          <w:rFonts w:cs="Calibri"/>
        </w:rPr>
        <w:t>du</w:t>
      </w:r>
      <w:r w:rsidR="001A6B76" w:rsidRPr="003C2AF2">
        <w:rPr>
          <w:rFonts w:cs="Calibri"/>
        </w:rPr>
        <w:t xml:space="preserve"> </w:t>
      </w:r>
      <w:r w:rsidR="008F2719" w:rsidRPr="003C2AF2">
        <w:rPr>
          <w:rFonts w:cs="Calibri"/>
        </w:rPr>
        <w:t>r</w:t>
      </w:r>
      <w:r w:rsidR="004B0925" w:rsidRPr="003C2AF2">
        <w:rPr>
          <w:rFonts w:cs="Calibri"/>
        </w:rPr>
        <w:t xml:space="preserve">éseau </w:t>
      </w:r>
      <w:r w:rsidR="001251C6" w:rsidRPr="003C2AF2">
        <w:rPr>
          <w:rFonts w:cs="Calibri"/>
        </w:rPr>
        <w:t>de surveillance épidémiologique et de gest</w:t>
      </w:r>
      <w:r w:rsidR="008722A1" w:rsidRPr="003C2AF2">
        <w:rPr>
          <w:rFonts w:cs="Calibri"/>
        </w:rPr>
        <w:t xml:space="preserve">ion des alertes : </w:t>
      </w:r>
      <w:r w:rsidR="004B0925" w:rsidRPr="003C2AF2">
        <w:rPr>
          <w:rFonts w:cs="Calibri"/>
        </w:rPr>
        <w:t>SEGA - One Health</w:t>
      </w:r>
      <w:r w:rsidR="006462D7">
        <w:rPr>
          <w:rFonts w:cs="Calibri"/>
        </w:rPr>
        <w:t>. Ce réseau, soutenu par</w:t>
      </w:r>
      <w:r w:rsidR="004B0925" w:rsidRPr="003C2AF2">
        <w:rPr>
          <w:rFonts w:cs="Calibri"/>
        </w:rPr>
        <w:t xml:space="preserve"> l’Agence française de développement</w:t>
      </w:r>
      <w:r w:rsidR="006462D7">
        <w:rPr>
          <w:rFonts w:cs="Calibri"/>
        </w:rPr>
        <w:t xml:space="preserve"> et, depuis</w:t>
      </w:r>
      <w:r w:rsidR="008F2719" w:rsidRPr="003C2AF2">
        <w:rPr>
          <w:rFonts w:cs="Calibri"/>
        </w:rPr>
        <w:t xml:space="preserve"> 2020</w:t>
      </w:r>
      <w:r w:rsidR="006462D7">
        <w:rPr>
          <w:rFonts w:cs="Calibri"/>
        </w:rPr>
        <w:t>,</w:t>
      </w:r>
      <w:r w:rsidR="008F2719" w:rsidRPr="003C2AF2">
        <w:rPr>
          <w:rFonts w:cs="Calibri"/>
        </w:rPr>
        <w:t xml:space="preserve"> par l’Union européenne</w:t>
      </w:r>
      <w:r w:rsidR="006462D7">
        <w:rPr>
          <w:rFonts w:cs="Calibri"/>
        </w:rPr>
        <w:t xml:space="preserve">, </w:t>
      </w:r>
      <w:r w:rsidR="00CA52D3" w:rsidRPr="003C2AF2">
        <w:rPr>
          <w:rFonts w:cs="Calibri"/>
        </w:rPr>
        <w:t>s’est affirmé</w:t>
      </w:r>
      <w:r w:rsidR="004B0925" w:rsidRPr="003C2AF2">
        <w:rPr>
          <w:rFonts w:cs="Calibri"/>
        </w:rPr>
        <w:t xml:space="preserve"> </w:t>
      </w:r>
      <w:r w:rsidR="00CA52D3" w:rsidRPr="003C2AF2">
        <w:rPr>
          <w:rFonts w:cs="Calibri"/>
        </w:rPr>
        <w:t xml:space="preserve">comme un </w:t>
      </w:r>
      <w:r w:rsidR="004B0925" w:rsidRPr="003C2AF2">
        <w:rPr>
          <w:rFonts w:cs="Calibri"/>
        </w:rPr>
        <w:t xml:space="preserve">modèle de </w:t>
      </w:r>
      <w:r w:rsidR="00292C35">
        <w:rPr>
          <w:rFonts w:cs="Calibri"/>
        </w:rPr>
        <w:t>solidarité</w:t>
      </w:r>
      <w:r w:rsidR="001B1629">
        <w:rPr>
          <w:rFonts w:cs="Calibri"/>
        </w:rPr>
        <w:t xml:space="preserve"> et d’actions à impact</w:t>
      </w:r>
      <w:r w:rsidR="004B5495">
        <w:rPr>
          <w:rFonts w:cs="Calibri"/>
        </w:rPr>
        <w:t>s positifs</w:t>
      </w:r>
      <w:r w:rsidR="004B0925" w:rsidRPr="003C2AF2">
        <w:rPr>
          <w:rFonts w:cs="Calibri"/>
        </w:rPr>
        <w:t xml:space="preserve">. </w:t>
      </w:r>
    </w:p>
    <w:p w14:paraId="490B9CE9" w14:textId="77777777" w:rsidR="004B0925" w:rsidRPr="003C2AF2" w:rsidRDefault="004B0925" w:rsidP="008259F5">
      <w:pPr>
        <w:jc w:val="both"/>
        <w:rPr>
          <w:rFonts w:cs="Calibri"/>
        </w:rPr>
      </w:pPr>
    </w:p>
    <w:p w14:paraId="38013484" w14:textId="0C0092C2" w:rsidR="000A63E5" w:rsidRPr="003C2AF2" w:rsidRDefault="004B5495" w:rsidP="008259F5">
      <w:pPr>
        <w:jc w:val="both"/>
        <w:rPr>
          <w:rFonts w:cs="Calibri"/>
        </w:rPr>
      </w:pPr>
      <w:r>
        <w:t>En effet</w:t>
      </w:r>
      <w:r w:rsidR="00AA2C20" w:rsidRPr="003C2AF2">
        <w:t xml:space="preserve">, le réseau SEGA - One Health </w:t>
      </w:r>
      <w:r w:rsidR="00141CE4">
        <w:t>participe concrètement au</w:t>
      </w:r>
      <w:r w:rsidR="00AA2C20" w:rsidRPr="003C2AF2">
        <w:t xml:space="preserve"> renforce</w:t>
      </w:r>
      <w:r w:rsidR="00141CE4">
        <w:t>ment</w:t>
      </w:r>
      <w:r w:rsidR="00F819A2">
        <w:t xml:space="preserve"> des</w:t>
      </w:r>
      <w:r w:rsidR="00AA2C20" w:rsidRPr="003C2AF2">
        <w:t xml:space="preserve"> capacité</w:t>
      </w:r>
      <w:r w:rsidR="00F819A2">
        <w:t>s</w:t>
      </w:r>
      <w:r w:rsidR="00AA2C20" w:rsidRPr="003C2AF2">
        <w:t xml:space="preserve"> des États membres de la COI à détecter, prévenir et répondre aux urgences de santé publique</w:t>
      </w:r>
      <w:r w:rsidR="004B0925" w:rsidRPr="003C2AF2">
        <w:rPr>
          <w:rFonts w:cs="Calibri"/>
        </w:rPr>
        <w:t xml:space="preserve">. </w:t>
      </w:r>
      <w:r w:rsidR="000A63E5" w:rsidRPr="003C2AF2">
        <w:rPr>
          <w:rFonts w:cs="Calibri"/>
        </w:rPr>
        <w:t xml:space="preserve">Les pages qui suivent </w:t>
      </w:r>
      <w:r w:rsidR="00CA52D3" w:rsidRPr="003C2AF2">
        <w:rPr>
          <w:rFonts w:cs="Calibri"/>
        </w:rPr>
        <w:t>illustrent</w:t>
      </w:r>
      <w:r w:rsidR="000A63E5" w:rsidRPr="003C2AF2">
        <w:rPr>
          <w:rFonts w:cs="Calibri"/>
        </w:rPr>
        <w:t xml:space="preserve"> </w:t>
      </w:r>
      <w:r w:rsidR="00C133F5">
        <w:rPr>
          <w:rFonts w:cs="Calibri"/>
        </w:rPr>
        <w:t>quinze années d’engagement, d’initiatives et d’impacts</w:t>
      </w:r>
      <w:r w:rsidR="00AA2C20" w:rsidRPr="003C2AF2">
        <w:rPr>
          <w:rFonts w:cs="Calibri"/>
        </w:rPr>
        <w:t xml:space="preserve"> de ce réseau</w:t>
      </w:r>
      <w:r w:rsidR="0060387E">
        <w:rPr>
          <w:rFonts w:cs="Calibri"/>
        </w:rPr>
        <w:t xml:space="preserve">. </w:t>
      </w:r>
      <w:r w:rsidR="007C5342">
        <w:rPr>
          <w:rFonts w:cs="Calibri"/>
        </w:rPr>
        <w:t>Elle</w:t>
      </w:r>
      <w:r w:rsidR="00C46378">
        <w:rPr>
          <w:rFonts w:cs="Calibri"/>
        </w:rPr>
        <w:t>s</w:t>
      </w:r>
      <w:r w:rsidR="007C5342">
        <w:rPr>
          <w:rFonts w:cs="Calibri"/>
        </w:rPr>
        <w:t xml:space="preserve"> donnent à voir l’adaptation du réseau face</w:t>
      </w:r>
      <w:r w:rsidR="00AA2C20" w:rsidRPr="003C2AF2">
        <w:rPr>
          <w:rFonts w:cs="Calibri"/>
        </w:rPr>
        <w:t xml:space="preserve"> </w:t>
      </w:r>
      <w:r w:rsidR="000A63E5" w:rsidRPr="003C2AF2">
        <w:rPr>
          <w:rFonts w:cs="Calibri"/>
        </w:rPr>
        <w:t xml:space="preserve">aux menaces émergentes et </w:t>
      </w:r>
      <w:r w:rsidR="007C5342">
        <w:rPr>
          <w:rFonts w:cs="Calibri"/>
        </w:rPr>
        <w:t>sa capacité de réponse</w:t>
      </w:r>
      <w:r w:rsidR="00315796">
        <w:rPr>
          <w:rFonts w:cs="Calibri"/>
        </w:rPr>
        <w:t xml:space="preserve"> </w:t>
      </w:r>
      <w:r w:rsidR="000A63E5" w:rsidRPr="003C2AF2">
        <w:rPr>
          <w:rFonts w:cs="Calibri"/>
        </w:rPr>
        <w:t xml:space="preserve">aux besoins des États membres et de ses populations, tout en restant fidèle à son approche holistique : Une seule santé. </w:t>
      </w:r>
    </w:p>
    <w:p w14:paraId="2185FD5E" w14:textId="77777777" w:rsidR="00812EE1" w:rsidRPr="003C2AF2" w:rsidRDefault="00812EE1" w:rsidP="008259F5">
      <w:pPr>
        <w:jc w:val="both"/>
        <w:rPr>
          <w:rFonts w:cs="Calibri"/>
        </w:rPr>
      </w:pPr>
    </w:p>
    <w:p w14:paraId="4BDE5672" w14:textId="4757A2E1" w:rsidR="009B58B6" w:rsidRPr="003C2AF2" w:rsidRDefault="00AA2C20" w:rsidP="008259F5">
      <w:pPr>
        <w:jc w:val="both"/>
        <w:rPr>
          <w:rFonts w:cs="Calibri"/>
        </w:rPr>
      </w:pPr>
      <w:r w:rsidRPr="003C2AF2">
        <w:t xml:space="preserve">Cet ouvrage </w:t>
      </w:r>
      <w:r w:rsidR="00C133F5">
        <w:t>est une invitation</w:t>
      </w:r>
      <w:r w:rsidRPr="003C2AF2">
        <w:t xml:space="preserve"> à explorer</w:t>
      </w:r>
      <w:r w:rsidR="00FE5F35">
        <w:t xml:space="preserve"> et</w:t>
      </w:r>
      <w:r w:rsidR="00710840">
        <w:t xml:space="preserve"> comprendre</w:t>
      </w:r>
      <w:r w:rsidR="00FE5F35">
        <w:t xml:space="preserve"> </w:t>
      </w:r>
      <w:r w:rsidR="00261474">
        <w:t>les nombreux</w:t>
      </w:r>
      <w:r w:rsidR="00261474" w:rsidRPr="003C2AF2">
        <w:t xml:space="preserve"> </w:t>
      </w:r>
      <w:r w:rsidRPr="003C2AF2">
        <w:t>aspects de cette aventure collective</w:t>
      </w:r>
      <w:r w:rsidR="005C1118">
        <w:t>.</w:t>
      </w:r>
    </w:p>
    <w:p w14:paraId="4F48765A" w14:textId="4B6C1299" w:rsidR="004B0925" w:rsidRPr="003C2AF2" w:rsidRDefault="0078357B" w:rsidP="008259F5">
      <w:pPr>
        <w:jc w:val="both"/>
        <w:rPr>
          <w:rFonts w:cs="Calibri"/>
        </w:rPr>
      </w:pPr>
      <w:r w:rsidRPr="003C2AF2">
        <w:rPr>
          <w:rFonts w:cs="Calibri"/>
        </w:rPr>
        <w:t>Lorsque l’épidémie de choléra a éclaté, quand la Covid-19 a bouleversé le monde, ou encore quand des maladies comme la</w:t>
      </w:r>
      <w:r w:rsidR="00812EE1" w:rsidRPr="003C2AF2">
        <w:rPr>
          <w:rFonts w:cs="Calibri"/>
        </w:rPr>
        <w:t xml:space="preserve"> fièvre de la Vallée du Rift, la</w:t>
      </w:r>
      <w:r w:rsidRPr="003C2AF2">
        <w:rPr>
          <w:rFonts w:cs="Calibri"/>
        </w:rPr>
        <w:t xml:space="preserve"> fièvre aphteuse</w:t>
      </w:r>
      <w:r w:rsidR="00812EE1" w:rsidRPr="003C2AF2">
        <w:rPr>
          <w:rFonts w:cs="Calibri"/>
        </w:rPr>
        <w:t>, la cysticercose</w:t>
      </w:r>
      <w:r w:rsidRPr="003C2AF2">
        <w:rPr>
          <w:rFonts w:cs="Calibri"/>
        </w:rPr>
        <w:t xml:space="preserve"> ou la rage ont menacé nos États membres, ce réseau a été en première ligne</w:t>
      </w:r>
      <w:r w:rsidR="00812EE1" w:rsidRPr="003C2AF2">
        <w:rPr>
          <w:rFonts w:cs="Calibri"/>
        </w:rPr>
        <w:t xml:space="preserve">. </w:t>
      </w:r>
      <w:r w:rsidR="00A95C33">
        <w:t>Ces</w:t>
      </w:r>
      <w:r w:rsidR="00114A02">
        <w:t xml:space="preserve"> actions concrètes conduites sur le terrain sont ici racontées. </w:t>
      </w:r>
    </w:p>
    <w:p w14:paraId="1B99658F" w14:textId="77777777" w:rsidR="000C540E" w:rsidRPr="003C2AF2" w:rsidRDefault="000C540E" w:rsidP="008259F5">
      <w:pPr>
        <w:jc w:val="both"/>
        <w:rPr>
          <w:rFonts w:cs="Calibri"/>
        </w:rPr>
      </w:pPr>
    </w:p>
    <w:p w14:paraId="6793ECB6" w14:textId="4435C635" w:rsidR="00B87EAA" w:rsidRPr="003C2AF2" w:rsidRDefault="00C133F5" w:rsidP="008259F5">
      <w:pPr>
        <w:jc w:val="both"/>
      </w:pPr>
      <w:r>
        <w:t>Mais l</w:t>
      </w:r>
      <w:r w:rsidR="00856910" w:rsidRPr="003C2AF2">
        <w:t>e réseau SEGA - One Health ne se limite pas à répondre aux urgences sanitaires. Bien sûr, des réalisations comme des campagnes de vaccination, la mise en place d’un laboratoire P3 ou l’utilisation d’une clinique vétérinaire mobile</w:t>
      </w:r>
      <w:r w:rsidR="00FA5786">
        <w:t>,</w:t>
      </w:r>
      <w:r w:rsidR="00856910" w:rsidRPr="003C2AF2">
        <w:t xml:space="preserve"> sont des exemples concrets</w:t>
      </w:r>
      <w:r w:rsidR="005C1118">
        <w:t xml:space="preserve">, voire </w:t>
      </w:r>
      <w:r w:rsidR="00856910" w:rsidRPr="003C2AF2">
        <w:t>impressionnants</w:t>
      </w:r>
      <w:r w:rsidR="005C1118">
        <w:t>,</w:t>
      </w:r>
      <w:r w:rsidR="00856910" w:rsidRPr="003C2AF2">
        <w:t xml:space="preserve"> que vous retrouverez dans ces pages. Cependant, leur efficacité repose sur un travail bien plus profond : celui de la préparation.</w:t>
      </w:r>
      <w:r w:rsidR="00FB4B3A" w:rsidRPr="003C2AF2">
        <w:t xml:space="preserve"> Un laboratoire, aussi sophistiqué soit-il, ne peut fonctionner sans une connaissance précise des règles de biosécurité. Une campagne de vaccination ne peut porter ses fruits sans des professionnels qualifiés pour administrer les vaccins et sensibiliser les population</w:t>
      </w:r>
      <w:r w:rsidR="00AA2C20" w:rsidRPr="003C2AF2">
        <w:t>s</w:t>
      </w:r>
      <w:r w:rsidR="00FB4B3A" w:rsidRPr="003C2AF2">
        <w:t xml:space="preserve">. </w:t>
      </w:r>
      <w:r w:rsidR="00495241" w:rsidRPr="003C2AF2">
        <w:t>Cet ouvrage vous invite</w:t>
      </w:r>
      <w:r w:rsidR="00495241">
        <w:t xml:space="preserve"> ainsi </w:t>
      </w:r>
      <w:r w:rsidR="00495241" w:rsidRPr="003C2AF2">
        <w:t>à découvrir un travail de fond, souvent discret mais essentiel, qui fait toute la force de ce réseau</w:t>
      </w:r>
      <w:r w:rsidR="00495241">
        <w:t xml:space="preserve"> :</w:t>
      </w:r>
      <w:r w:rsidR="00495241" w:rsidRPr="00FF773A">
        <w:t xml:space="preserve"> </w:t>
      </w:r>
      <w:r w:rsidR="00495241" w:rsidRPr="003C2AF2">
        <w:t>celui de la coordination intersectorielle</w:t>
      </w:r>
      <w:r w:rsidR="0040621A">
        <w:t>,</w:t>
      </w:r>
      <w:r w:rsidR="00495241" w:rsidRPr="003C2AF2">
        <w:t xml:space="preserve"> du partage d’informations</w:t>
      </w:r>
      <w:r w:rsidR="0040621A">
        <w:t xml:space="preserve"> et de la formation</w:t>
      </w:r>
      <w:r w:rsidR="00495241" w:rsidRPr="003C2AF2">
        <w:t>.</w:t>
      </w:r>
    </w:p>
    <w:p w14:paraId="39F22DE3" w14:textId="77777777" w:rsidR="005B11EE" w:rsidRPr="003C2AF2" w:rsidRDefault="005B11EE" w:rsidP="008259F5">
      <w:pPr>
        <w:jc w:val="both"/>
        <w:rPr>
          <w:rFonts w:cs="Calibri"/>
        </w:rPr>
      </w:pPr>
    </w:p>
    <w:p w14:paraId="671BF31C" w14:textId="068B6FA3" w:rsidR="000E710F" w:rsidRPr="003C2AF2" w:rsidRDefault="00856910" w:rsidP="008259F5">
      <w:pPr>
        <w:jc w:val="both"/>
        <w:rPr>
          <w:rFonts w:cs="Calibri"/>
        </w:rPr>
      </w:pPr>
      <w:r w:rsidRPr="003C2AF2">
        <w:t>Le programme de formation en épidémiologie de terrain (FETP), dont il est question dans cet ouvrage, est un exemple éloquent de cet engagement. En formant des professionnels capables de surveiller, d’analyser et de répondre aux épidémies, le réseau permet une gestion proactive des menaces sanitaires.</w:t>
      </w:r>
      <w:r w:rsidR="00651726">
        <w:rPr>
          <w:rFonts w:cs="Calibri"/>
        </w:rPr>
        <w:t xml:space="preserve"> </w:t>
      </w:r>
      <w:r w:rsidR="004F0297">
        <w:rPr>
          <w:rFonts w:cs="Calibri"/>
        </w:rPr>
        <w:t>En complément, d</w:t>
      </w:r>
      <w:r w:rsidR="001A3E1B" w:rsidRPr="003C2AF2">
        <w:rPr>
          <w:rFonts w:cs="Calibri"/>
        </w:rPr>
        <w:t>’autres</w:t>
      </w:r>
      <w:r w:rsidR="008672EE" w:rsidRPr="003C2AF2">
        <w:rPr>
          <w:rFonts w:cs="Calibri"/>
        </w:rPr>
        <w:t xml:space="preserve"> formations spécialisées</w:t>
      </w:r>
      <w:r w:rsidR="005E7330">
        <w:rPr>
          <w:rFonts w:cs="Calibri"/>
        </w:rPr>
        <w:t xml:space="preserve"> </w:t>
      </w:r>
      <w:r w:rsidR="008672EE" w:rsidRPr="003C2AF2">
        <w:rPr>
          <w:rFonts w:cs="Calibri"/>
        </w:rPr>
        <w:t>ont également été mises en place, couvrant un spectre large de compétences</w:t>
      </w:r>
      <w:r w:rsidR="0040621A">
        <w:rPr>
          <w:rFonts w:cs="Calibri"/>
        </w:rPr>
        <w:t xml:space="preserve"> en adéquation avec les besoins des États membres</w:t>
      </w:r>
      <w:r w:rsidR="004F0297">
        <w:rPr>
          <w:rFonts w:cs="Calibri"/>
        </w:rPr>
        <w:t xml:space="preserve"> : </w:t>
      </w:r>
      <w:r w:rsidR="004F0297" w:rsidRPr="003C2AF2">
        <w:rPr>
          <w:rFonts w:cs="Calibri"/>
        </w:rPr>
        <w:t>biosécurité, surveillance communautaire, surveillance entomologique, diagnostic du paludisme…</w:t>
      </w:r>
      <w:r w:rsidR="008672EE" w:rsidRPr="003C2AF2">
        <w:rPr>
          <w:rFonts w:cs="Calibri"/>
        </w:rPr>
        <w:t xml:space="preserve"> </w:t>
      </w:r>
      <w:r w:rsidR="000E710F" w:rsidRPr="003C2AF2">
        <w:rPr>
          <w:rFonts w:cs="Calibri"/>
        </w:rPr>
        <w:t xml:space="preserve">Le </w:t>
      </w:r>
      <w:r w:rsidR="00005554" w:rsidRPr="003C2AF2">
        <w:rPr>
          <w:rFonts w:cs="Calibri"/>
        </w:rPr>
        <w:lastRenderedPageBreak/>
        <w:t>r</w:t>
      </w:r>
      <w:r w:rsidR="000E710F" w:rsidRPr="003C2AF2">
        <w:rPr>
          <w:rFonts w:cs="Calibri"/>
        </w:rPr>
        <w:t>éseau SEGA - One Health développe ainsi un</w:t>
      </w:r>
      <w:r w:rsidR="00301E87" w:rsidRPr="003C2AF2">
        <w:rPr>
          <w:rFonts w:cs="Calibri"/>
        </w:rPr>
        <w:t xml:space="preserve"> savoir-faire local, mais aussi régional, solide et essentiel</w:t>
      </w:r>
      <w:r w:rsidR="00AA2C20" w:rsidRPr="003C2AF2">
        <w:rPr>
          <w:rFonts w:cs="Calibri"/>
        </w:rPr>
        <w:t>.</w:t>
      </w:r>
    </w:p>
    <w:p w14:paraId="544E5710" w14:textId="77777777" w:rsidR="00FB4B3A" w:rsidRPr="003C2AF2" w:rsidRDefault="00FB4B3A" w:rsidP="008259F5">
      <w:pPr>
        <w:jc w:val="both"/>
        <w:rPr>
          <w:rFonts w:cs="Calibri"/>
        </w:rPr>
      </w:pPr>
    </w:p>
    <w:p w14:paraId="29760C1A" w14:textId="7807B6F6" w:rsidR="00812EE1" w:rsidRPr="003C2AF2" w:rsidRDefault="00E23351" w:rsidP="008259F5">
      <w:pPr>
        <w:jc w:val="both"/>
      </w:pPr>
      <w:r>
        <w:t>Parmi ces compétences, la gestion du risque vectoriel occupe une place importante.</w:t>
      </w:r>
      <w:r w:rsidR="005976B4">
        <w:t xml:space="preserve"> </w:t>
      </w:r>
      <w:r w:rsidR="00DB0C9C" w:rsidRPr="003C2AF2">
        <w:t xml:space="preserve">Un chapitre </w:t>
      </w:r>
      <w:r>
        <w:t>est d’ailleurs dédié à ce suje</w:t>
      </w:r>
      <w:r w:rsidR="005976B4">
        <w:t>t</w:t>
      </w:r>
      <w:r>
        <w:t>, où vous</w:t>
      </w:r>
      <w:r w:rsidR="00DB0C9C" w:rsidRPr="003C2AF2">
        <w:t xml:space="preserve"> découvrirez comment le réseau a renforcé les capacités à travers des équipements, des formations et le partage de connaissances.</w:t>
      </w:r>
    </w:p>
    <w:p w14:paraId="5178B047" w14:textId="77777777" w:rsidR="00F4627E" w:rsidRPr="003C2AF2" w:rsidRDefault="00F4627E" w:rsidP="008259F5">
      <w:pPr>
        <w:jc w:val="both"/>
        <w:rPr>
          <w:rFonts w:cs="Calibri"/>
        </w:rPr>
      </w:pPr>
    </w:p>
    <w:p w14:paraId="24EBBFF9" w14:textId="6A182203" w:rsidR="00DB0C9C" w:rsidRPr="003C2AF2" w:rsidRDefault="00812EE1" w:rsidP="008259F5">
      <w:pPr>
        <w:jc w:val="both"/>
      </w:pPr>
      <w:r w:rsidRPr="003C2AF2">
        <w:t xml:space="preserve">Vous </w:t>
      </w:r>
      <w:r w:rsidR="00DB0C9C" w:rsidRPr="003C2AF2">
        <w:t xml:space="preserve">apprendrez aussi </w:t>
      </w:r>
      <w:r w:rsidRPr="003C2AF2">
        <w:t>comment des projets de recherche opérationnelle</w:t>
      </w:r>
      <w:r w:rsidR="00F4627E" w:rsidRPr="003C2AF2">
        <w:t xml:space="preserve"> contribuent à façonner les stratégies de santé publique de demain. </w:t>
      </w:r>
      <w:r w:rsidR="00DB0C9C" w:rsidRPr="003C2AF2">
        <w:t xml:space="preserve">L’un </w:t>
      </w:r>
      <w:r w:rsidR="00AA2C20" w:rsidRPr="003C2AF2">
        <w:t>d’eux</w:t>
      </w:r>
      <w:r w:rsidR="00DB0C9C" w:rsidRPr="003C2AF2">
        <w:t xml:space="preserve"> explore les interactions entre changement climatique et maladies infectieuses. Ce lien climat-santé fait d’ailleurs l'objet d'une analyse </w:t>
      </w:r>
      <w:r w:rsidR="00C133F5">
        <w:t xml:space="preserve">approfondie </w:t>
      </w:r>
      <w:r w:rsidR="00DB0C9C" w:rsidRPr="003C2AF2">
        <w:t>dans cet ouvrage, soulignant l'importance d'une approche intégrée</w:t>
      </w:r>
      <w:r w:rsidR="00AA2C20" w:rsidRPr="003C2AF2">
        <w:t>.</w:t>
      </w:r>
      <w:r w:rsidR="00DB0C9C" w:rsidRPr="003C2AF2">
        <w:t xml:space="preserve"> </w:t>
      </w:r>
    </w:p>
    <w:p w14:paraId="14B1EB61" w14:textId="77777777" w:rsidR="00787ABF" w:rsidRDefault="00787ABF" w:rsidP="008259F5">
      <w:pPr>
        <w:jc w:val="both"/>
      </w:pPr>
    </w:p>
    <w:p w14:paraId="66B0A52D" w14:textId="0CD95F45" w:rsidR="008B17A4" w:rsidRPr="003C2AF2" w:rsidRDefault="00DB0C9C" w:rsidP="008259F5">
      <w:pPr>
        <w:jc w:val="both"/>
        <w:rPr>
          <w:rFonts w:cs="Calibri"/>
        </w:rPr>
      </w:pPr>
      <w:r w:rsidRPr="003C2AF2">
        <w:t>Le second projet se penche sur</w:t>
      </w:r>
      <w:r w:rsidR="00F4627E" w:rsidRPr="003C2AF2">
        <w:t xml:space="preserve"> les </w:t>
      </w:r>
      <w:r w:rsidR="00812EE1" w:rsidRPr="003C2AF2">
        <w:t>maladies non transmissibles (MNT)</w:t>
      </w:r>
      <w:r w:rsidR="00F4627E" w:rsidRPr="003C2AF2">
        <w:t xml:space="preserve">, </w:t>
      </w:r>
      <w:r w:rsidR="00856910" w:rsidRPr="003C2AF2">
        <w:rPr>
          <w:rFonts w:cs="Calibri"/>
        </w:rPr>
        <w:t>longtemps négligé</w:t>
      </w:r>
      <w:r w:rsidR="00AA2C20" w:rsidRPr="003C2AF2">
        <w:rPr>
          <w:rFonts w:cs="Calibri"/>
        </w:rPr>
        <w:t xml:space="preserve">es, </w:t>
      </w:r>
      <w:r w:rsidR="008570BE">
        <w:rPr>
          <w:rFonts w:cs="Calibri"/>
        </w:rPr>
        <w:t>mais désormais intégrées</w:t>
      </w:r>
      <w:r w:rsidR="00856910" w:rsidRPr="003C2AF2">
        <w:rPr>
          <w:rFonts w:cs="Calibri"/>
        </w:rPr>
        <w:t xml:space="preserve"> dans le cadre d’action du réseau SEGA - One Health et dans la stratégie régionale de sécurité sanitaire de la COI adoptée en 2023.</w:t>
      </w:r>
      <w:r w:rsidR="00651726">
        <w:rPr>
          <w:rFonts w:cs="Calibri"/>
        </w:rPr>
        <w:t xml:space="preserve"> </w:t>
      </w:r>
      <w:r w:rsidR="007346DB">
        <w:t>Cet ouvrage aborde également un autre enjeu crucial, souvent sous-estimé :</w:t>
      </w:r>
      <w:r w:rsidR="00F4627E" w:rsidRPr="003C2AF2">
        <w:t xml:space="preserve"> la résistance aux antimicrobiens, défi majeur pour la santé publique</w:t>
      </w:r>
      <w:r w:rsidR="00AA2C20" w:rsidRPr="003C2AF2">
        <w:t>.</w:t>
      </w:r>
    </w:p>
    <w:p w14:paraId="081AE0BA" w14:textId="77777777" w:rsidR="00FB4B3A" w:rsidRPr="003C2AF2" w:rsidRDefault="00FB4B3A" w:rsidP="008259F5">
      <w:pPr>
        <w:jc w:val="both"/>
        <w:rPr>
          <w:rFonts w:cs="Calibri"/>
        </w:rPr>
      </w:pPr>
    </w:p>
    <w:p w14:paraId="6F1E50A3" w14:textId="66058B2E" w:rsidR="008B17A4" w:rsidRPr="003C2AF2" w:rsidRDefault="006F0952" w:rsidP="008259F5">
      <w:pPr>
        <w:jc w:val="both"/>
        <w:rPr>
          <w:rFonts w:cs="Calibri"/>
        </w:rPr>
      </w:pPr>
      <w:r>
        <w:rPr>
          <w:rFonts w:cs="Calibri"/>
        </w:rPr>
        <w:t>L’ensemble de ces initiatives</w:t>
      </w:r>
      <w:r w:rsidR="00292C35">
        <w:rPr>
          <w:rFonts w:cs="Calibri"/>
        </w:rPr>
        <w:t>,</w:t>
      </w:r>
      <w:r w:rsidR="008B17A4" w:rsidRPr="003C2AF2">
        <w:rPr>
          <w:rFonts w:cs="Calibri"/>
        </w:rPr>
        <w:t xml:space="preserve"> </w:t>
      </w:r>
      <w:r w:rsidR="00D45418">
        <w:rPr>
          <w:rFonts w:cs="Calibri"/>
        </w:rPr>
        <w:t xml:space="preserve">que vous </w:t>
      </w:r>
      <w:r w:rsidR="00292C35">
        <w:rPr>
          <w:rFonts w:cs="Calibri"/>
        </w:rPr>
        <w:t xml:space="preserve">(re)découvrirez au fil de ces pages, </w:t>
      </w:r>
      <w:r w:rsidR="008B17A4" w:rsidRPr="003C2AF2">
        <w:rPr>
          <w:rFonts w:cs="Calibri"/>
        </w:rPr>
        <w:t>vise à anticiper les crises avant qu’elles ne se transforment en catastrophes</w:t>
      </w:r>
      <w:r w:rsidR="005E7330">
        <w:rPr>
          <w:rFonts w:cs="Calibri"/>
        </w:rPr>
        <w:t>. L’adage est bien connu</w:t>
      </w:r>
      <w:r w:rsidR="008B17A4" w:rsidRPr="003C2AF2">
        <w:rPr>
          <w:rFonts w:cs="Calibri"/>
        </w:rPr>
        <w:t> : il vaut mieux prévenir</w:t>
      </w:r>
      <w:r w:rsidR="000B3025" w:rsidRPr="003C2AF2">
        <w:rPr>
          <w:rFonts w:cs="Calibri"/>
        </w:rPr>
        <w:t xml:space="preserve"> </w:t>
      </w:r>
      <w:r w:rsidR="008B17A4" w:rsidRPr="003C2AF2">
        <w:rPr>
          <w:rFonts w:cs="Calibri"/>
        </w:rPr>
        <w:t>que guérir.</w:t>
      </w:r>
    </w:p>
    <w:p w14:paraId="0406B236" w14:textId="77777777" w:rsidR="004B0925" w:rsidRPr="003C2AF2" w:rsidRDefault="004B0925" w:rsidP="008259F5">
      <w:pPr>
        <w:jc w:val="both"/>
        <w:rPr>
          <w:rFonts w:cs="Calibri"/>
        </w:rPr>
      </w:pPr>
    </w:p>
    <w:p w14:paraId="1400E1B7" w14:textId="554D6D4F" w:rsidR="004B0925" w:rsidRDefault="00AA2C20" w:rsidP="008259F5">
      <w:pPr>
        <w:jc w:val="both"/>
      </w:pPr>
      <w:r w:rsidRPr="003C2AF2">
        <w:t>À travers cet</w:t>
      </w:r>
      <w:r w:rsidR="00DB0C9C" w:rsidRPr="003C2AF2">
        <w:t xml:space="preserve"> ouvrage</w:t>
      </w:r>
      <w:r w:rsidR="00856910" w:rsidRPr="003C2AF2">
        <w:t xml:space="preserve">, </w:t>
      </w:r>
      <w:r w:rsidR="00E00CE2">
        <w:t>nous avons surtout</w:t>
      </w:r>
      <w:r w:rsidR="0015445E">
        <w:t xml:space="preserve"> souhaité</w:t>
      </w:r>
      <w:r w:rsidR="00E00CE2">
        <w:t xml:space="preserve"> mettre à l’honneur ces femmes et ces hommes </w:t>
      </w:r>
      <w:r w:rsidR="002205CF" w:rsidRPr="003C2AF2">
        <w:t>qui incarnent le mieux la force du réseau SEGA - One Health</w:t>
      </w:r>
      <w:r w:rsidR="008319B2">
        <w:t> :</w:t>
      </w:r>
      <w:r w:rsidR="00665C98">
        <w:t xml:space="preserve"> des professionnels de santé, des chercheurs, mais aussi des bénéficiaires</w:t>
      </w:r>
      <w:r w:rsidR="00353D15">
        <w:t>…</w:t>
      </w:r>
      <w:r w:rsidR="002205CF">
        <w:t xml:space="preserve"> La coopération est une aventure humaine et notre </w:t>
      </w:r>
      <w:r w:rsidR="00B07B7D">
        <w:t>réseau régional en est une belle illustration.</w:t>
      </w:r>
    </w:p>
    <w:p w14:paraId="71A3C494" w14:textId="77777777" w:rsidR="003F372B" w:rsidRPr="003F372B" w:rsidRDefault="003F372B" w:rsidP="008259F5">
      <w:pPr>
        <w:jc w:val="both"/>
      </w:pPr>
    </w:p>
    <w:p w14:paraId="2AA74A8D" w14:textId="03637004" w:rsidR="000A63E5" w:rsidRPr="003C2AF2" w:rsidRDefault="00DB0C9C" w:rsidP="008259F5">
      <w:pPr>
        <w:jc w:val="both"/>
        <w:rPr>
          <w:rFonts w:cs="Calibri"/>
        </w:rPr>
      </w:pPr>
      <w:r w:rsidRPr="003C2AF2">
        <w:t xml:space="preserve">Face aux menaces sanitaires de plus en plus complexes, le réseau SEGA - One Health se distingue comme un modèle </w:t>
      </w:r>
      <w:r w:rsidR="0069279D">
        <w:t>pour la résilience des populations</w:t>
      </w:r>
      <w:r w:rsidRPr="003C2AF2">
        <w:t xml:space="preserve">. Cet ouvrage </w:t>
      </w:r>
      <w:r w:rsidR="00CB68C5">
        <w:t>est</w:t>
      </w:r>
      <w:r w:rsidRPr="003C2AF2">
        <w:t xml:space="preserve"> un témoignage de ce qu’il est possible d’accomplir</w:t>
      </w:r>
      <w:r w:rsidR="00CB68C5">
        <w:t xml:space="preserve"> grâce à la coopération</w:t>
      </w:r>
      <w:r w:rsidRPr="003C2AF2">
        <w:t>. En feuilletant ces pages, j’espère que vous serez inspiré</w:t>
      </w:r>
      <w:r w:rsidR="006F0952">
        <w:t>s</w:t>
      </w:r>
      <w:r w:rsidRPr="003C2AF2">
        <w:t xml:space="preserve"> par </w:t>
      </w:r>
      <w:r w:rsidR="00292C35">
        <w:t>c</w:t>
      </w:r>
      <w:r w:rsidRPr="003C2AF2">
        <w:t>e parcours</w:t>
      </w:r>
      <w:r w:rsidR="00292C35">
        <w:t xml:space="preserve"> exemplaire</w:t>
      </w:r>
      <w:r w:rsidRPr="003C2AF2">
        <w:t xml:space="preserve"> et convaincu</w:t>
      </w:r>
      <w:r w:rsidR="006F0952">
        <w:t>s</w:t>
      </w:r>
      <w:r w:rsidRPr="003C2AF2">
        <w:t xml:space="preserve"> de la nécessité de poursuivre cette démarche collective, indispensable </w:t>
      </w:r>
      <w:r w:rsidR="00647214">
        <w:t>pour notre sécurité sanitaire</w:t>
      </w:r>
      <w:r w:rsidRPr="003C2AF2">
        <w:t>.</w:t>
      </w:r>
    </w:p>
    <w:p w14:paraId="5BBAA581" w14:textId="77777777" w:rsidR="00647214" w:rsidRPr="003C2AF2" w:rsidRDefault="00647214">
      <w:pPr>
        <w:jc w:val="both"/>
        <w:rPr>
          <w:rFonts w:cs="Calibri"/>
        </w:rPr>
      </w:pPr>
    </w:p>
    <w:sectPr w:rsidR="00647214" w:rsidRPr="003C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963E3"/>
    <w:multiLevelType w:val="multilevel"/>
    <w:tmpl w:val="94DC3EE2"/>
    <w:lvl w:ilvl="0">
      <w:start w:val="1"/>
      <w:numFmt w:val="decimal"/>
      <w:lvlText w:val="%1"/>
      <w:lvlJc w:val="left"/>
      <w:pPr>
        <w:ind w:left="720" w:firstLine="0"/>
      </w:pPr>
      <w:rPr>
        <w:rFonts w:asciiTheme="minorHAnsi" w:hAnsiTheme="minorHAnsi" w:hint="default"/>
        <w:b/>
        <w:bCs w:val="0"/>
        <w:i w:val="0"/>
        <w:iCs w:val="0"/>
        <w:caps w:val="0"/>
        <w:smallCaps w:val="0"/>
        <w:strike w:val="0"/>
        <w:dstrike w:val="0"/>
        <w:vanish w:val="0"/>
        <w:color w:val="00ACCD"/>
        <w:spacing w:val="0"/>
        <w:kern w:val="0"/>
        <w:position w:val="0"/>
        <w:sz w:val="32"/>
        <w:u w:val="none"/>
        <w:vertAlign w:val="baseline"/>
        <w:em w:val="none"/>
      </w:rPr>
    </w:lvl>
    <w:lvl w:ilvl="1">
      <w:start w:val="1"/>
      <w:numFmt w:val="decimal"/>
      <w:lvlText w:val="%1.%2"/>
      <w:lvlJc w:val="left"/>
      <w:pPr>
        <w:ind w:left="720" w:firstLine="0"/>
      </w:pPr>
      <w:rPr>
        <w:rFonts w:asciiTheme="minorHAnsi" w:hAnsiTheme="minorHAnsi" w:hint="default"/>
        <w:b/>
        <w:i w:val="0"/>
        <w:color w:val="F58220"/>
        <w:sz w:val="28"/>
      </w:rPr>
    </w:lvl>
    <w:lvl w:ilvl="2">
      <w:start w:val="1"/>
      <w:numFmt w:val="decimal"/>
      <w:lvlText w:val="%1.%2.%3"/>
      <w:lvlJc w:val="left"/>
      <w:pPr>
        <w:ind w:left="1854" w:hanging="850"/>
      </w:pPr>
      <w:rPr>
        <w:rFonts w:asciiTheme="minorHAnsi" w:hAnsiTheme="minorHAnsi" w:hint="default"/>
        <w:b w:val="0"/>
        <w:bCs w:val="0"/>
        <w:i w:val="0"/>
        <w:iCs w:val="0"/>
        <w:caps w:val="0"/>
        <w:smallCaps w:val="0"/>
        <w:strike w:val="0"/>
        <w:dstrike w:val="0"/>
        <w:vanish w:val="0"/>
        <w:color w:val="F58220"/>
        <w:spacing w:val="0"/>
        <w:kern w:val="0"/>
        <w:position w:val="0"/>
        <w:sz w:val="24"/>
        <w:u w:val="none"/>
        <w:vertAlign w:val="baseline"/>
        <w:em w:val="none"/>
      </w:rPr>
    </w:lvl>
    <w:lvl w:ilvl="3">
      <w:start w:val="1"/>
      <w:numFmt w:val="decimal"/>
      <w:lvlText w:val="%1.%2.%3.%4"/>
      <w:lvlJc w:val="left"/>
      <w:pPr>
        <w:ind w:left="1854" w:hanging="283"/>
      </w:pPr>
      <w:rPr>
        <w:rFonts w:asciiTheme="minorHAnsi" w:hAnsiTheme="minorHAnsi" w:hint="default"/>
        <w:b w:val="0"/>
        <w:i w:val="0"/>
        <w:color w:val="F58220"/>
        <w:sz w:val="22"/>
      </w:rPr>
    </w:lvl>
    <w:lvl w:ilvl="4">
      <w:start w:val="1"/>
      <w:numFmt w:val="decimal"/>
      <w:lvlText w:val="%1.%2.%3.%4.%5"/>
      <w:lvlJc w:val="left"/>
      <w:pPr>
        <w:ind w:left="-257" w:hanging="1008"/>
      </w:pPr>
      <w:rPr>
        <w:rFonts w:hint="default"/>
      </w:rPr>
    </w:lvl>
    <w:lvl w:ilvl="5">
      <w:start w:val="1"/>
      <w:numFmt w:val="decimal"/>
      <w:lvlText w:val="%1.%2.%3.%4.%5.%6"/>
      <w:lvlJc w:val="left"/>
      <w:pPr>
        <w:ind w:left="-113" w:hanging="1152"/>
      </w:pPr>
      <w:rPr>
        <w:rFonts w:hint="default"/>
      </w:rPr>
    </w:lvl>
    <w:lvl w:ilvl="6">
      <w:start w:val="1"/>
      <w:numFmt w:val="decimal"/>
      <w:lvlText w:val="%1.%2.%3.%4.%5.%6.%7"/>
      <w:lvlJc w:val="left"/>
      <w:pPr>
        <w:ind w:left="31" w:hanging="1296"/>
      </w:pPr>
      <w:rPr>
        <w:rFonts w:hint="default"/>
      </w:rPr>
    </w:lvl>
    <w:lvl w:ilvl="7">
      <w:start w:val="1"/>
      <w:numFmt w:val="decimal"/>
      <w:lvlText w:val="%1.%2.%3.%4.%5.%6.%7.%8"/>
      <w:lvlJc w:val="left"/>
      <w:pPr>
        <w:ind w:left="175" w:hanging="1440"/>
      </w:pPr>
      <w:rPr>
        <w:rFonts w:hint="default"/>
      </w:rPr>
    </w:lvl>
    <w:lvl w:ilvl="8">
      <w:start w:val="1"/>
      <w:numFmt w:val="decimal"/>
      <w:lvlText w:val="%1.%2.%3.%4.%5.%6.%7.%8.%9"/>
      <w:lvlJc w:val="left"/>
      <w:pPr>
        <w:ind w:left="319" w:hanging="1584"/>
      </w:pPr>
      <w:rPr>
        <w:rFonts w:hint="default"/>
      </w:rPr>
    </w:lvl>
  </w:abstractNum>
  <w:abstractNum w:abstractNumId="1" w15:restartNumberingAfterBreak="0">
    <w:nsid w:val="72A03D82"/>
    <w:multiLevelType w:val="multilevel"/>
    <w:tmpl w:val="B016B86E"/>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2730287">
    <w:abstractNumId w:val="0"/>
  </w:num>
  <w:num w:numId="2" w16cid:durableId="194341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EA"/>
    <w:rsid w:val="00005554"/>
    <w:rsid w:val="00017940"/>
    <w:rsid w:val="00020305"/>
    <w:rsid w:val="00024509"/>
    <w:rsid w:val="000A63E5"/>
    <w:rsid w:val="000B3025"/>
    <w:rsid w:val="000C540E"/>
    <w:rsid w:val="000D0859"/>
    <w:rsid w:val="000E710F"/>
    <w:rsid w:val="00114A02"/>
    <w:rsid w:val="001251C6"/>
    <w:rsid w:val="00141CE4"/>
    <w:rsid w:val="00151FDC"/>
    <w:rsid w:val="0015445E"/>
    <w:rsid w:val="00156858"/>
    <w:rsid w:val="00163601"/>
    <w:rsid w:val="00183410"/>
    <w:rsid w:val="0018586F"/>
    <w:rsid w:val="001A3E1B"/>
    <w:rsid w:val="001A6B76"/>
    <w:rsid w:val="001B1629"/>
    <w:rsid w:val="001B6458"/>
    <w:rsid w:val="001C096F"/>
    <w:rsid w:val="001F49BF"/>
    <w:rsid w:val="00214A92"/>
    <w:rsid w:val="002205CF"/>
    <w:rsid w:val="00232969"/>
    <w:rsid w:val="002561F4"/>
    <w:rsid w:val="00261474"/>
    <w:rsid w:val="00273989"/>
    <w:rsid w:val="002908D4"/>
    <w:rsid w:val="002928F4"/>
    <w:rsid w:val="00292C35"/>
    <w:rsid w:val="002A45EA"/>
    <w:rsid w:val="00301E87"/>
    <w:rsid w:val="00315796"/>
    <w:rsid w:val="00353D15"/>
    <w:rsid w:val="00396603"/>
    <w:rsid w:val="003C2AF2"/>
    <w:rsid w:val="003C4FFD"/>
    <w:rsid w:val="003F372B"/>
    <w:rsid w:val="00403390"/>
    <w:rsid w:val="0040621A"/>
    <w:rsid w:val="004072CC"/>
    <w:rsid w:val="00483AFB"/>
    <w:rsid w:val="00484605"/>
    <w:rsid w:val="00495241"/>
    <w:rsid w:val="004B0925"/>
    <w:rsid w:val="004B5495"/>
    <w:rsid w:val="004D40CF"/>
    <w:rsid w:val="004D56A3"/>
    <w:rsid w:val="004F0297"/>
    <w:rsid w:val="00525586"/>
    <w:rsid w:val="005409EF"/>
    <w:rsid w:val="00542193"/>
    <w:rsid w:val="00553392"/>
    <w:rsid w:val="0056618D"/>
    <w:rsid w:val="00591524"/>
    <w:rsid w:val="005976B4"/>
    <w:rsid w:val="005A20C0"/>
    <w:rsid w:val="005A66C0"/>
    <w:rsid w:val="005B11EE"/>
    <w:rsid w:val="005C1118"/>
    <w:rsid w:val="005C172B"/>
    <w:rsid w:val="005E7330"/>
    <w:rsid w:val="0060387E"/>
    <w:rsid w:val="006462D7"/>
    <w:rsid w:val="00647214"/>
    <w:rsid w:val="00647457"/>
    <w:rsid w:val="00651726"/>
    <w:rsid w:val="00664DED"/>
    <w:rsid w:val="00665C98"/>
    <w:rsid w:val="0068616F"/>
    <w:rsid w:val="0069279D"/>
    <w:rsid w:val="006D456A"/>
    <w:rsid w:val="006F0952"/>
    <w:rsid w:val="0070069B"/>
    <w:rsid w:val="00705754"/>
    <w:rsid w:val="00710840"/>
    <w:rsid w:val="007346DB"/>
    <w:rsid w:val="00751BD0"/>
    <w:rsid w:val="0078357B"/>
    <w:rsid w:val="00787ABF"/>
    <w:rsid w:val="007951E6"/>
    <w:rsid w:val="007A00CB"/>
    <w:rsid w:val="007C5342"/>
    <w:rsid w:val="00806A14"/>
    <w:rsid w:val="0081179B"/>
    <w:rsid w:val="00812EE1"/>
    <w:rsid w:val="008259F5"/>
    <w:rsid w:val="008319B2"/>
    <w:rsid w:val="00856910"/>
    <w:rsid w:val="008570BE"/>
    <w:rsid w:val="0085732B"/>
    <w:rsid w:val="008672EE"/>
    <w:rsid w:val="008722A1"/>
    <w:rsid w:val="008B17A4"/>
    <w:rsid w:val="008D11FC"/>
    <w:rsid w:val="008F2719"/>
    <w:rsid w:val="009049E1"/>
    <w:rsid w:val="0092548B"/>
    <w:rsid w:val="00931063"/>
    <w:rsid w:val="00941829"/>
    <w:rsid w:val="00943782"/>
    <w:rsid w:val="00986542"/>
    <w:rsid w:val="00994D5F"/>
    <w:rsid w:val="009B21E5"/>
    <w:rsid w:val="009B58B6"/>
    <w:rsid w:val="009C3BCC"/>
    <w:rsid w:val="009F52CE"/>
    <w:rsid w:val="009F7EDE"/>
    <w:rsid w:val="00A27B38"/>
    <w:rsid w:val="00A372F3"/>
    <w:rsid w:val="00A95C33"/>
    <w:rsid w:val="00AA2C20"/>
    <w:rsid w:val="00AB7A95"/>
    <w:rsid w:val="00AE7A16"/>
    <w:rsid w:val="00B0606B"/>
    <w:rsid w:val="00B07B7D"/>
    <w:rsid w:val="00B220FD"/>
    <w:rsid w:val="00B22871"/>
    <w:rsid w:val="00B612BB"/>
    <w:rsid w:val="00B77F46"/>
    <w:rsid w:val="00B87EAA"/>
    <w:rsid w:val="00BA77DC"/>
    <w:rsid w:val="00BC1A4E"/>
    <w:rsid w:val="00BC1D57"/>
    <w:rsid w:val="00BC24BA"/>
    <w:rsid w:val="00BE12D4"/>
    <w:rsid w:val="00C133F5"/>
    <w:rsid w:val="00C24591"/>
    <w:rsid w:val="00C46378"/>
    <w:rsid w:val="00C6546E"/>
    <w:rsid w:val="00C81A22"/>
    <w:rsid w:val="00CA52D3"/>
    <w:rsid w:val="00CB68C5"/>
    <w:rsid w:val="00CC0E1E"/>
    <w:rsid w:val="00CD7FA5"/>
    <w:rsid w:val="00CE206A"/>
    <w:rsid w:val="00D07A51"/>
    <w:rsid w:val="00D11671"/>
    <w:rsid w:val="00D45418"/>
    <w:rsid w:val="00DB0C9C"/>
    <w:rsid w:val="00DC7FE1"/>
    <w:rsid w:val="00DD6ECC"/>
    <w:rsid w:val="00E00CE2"/>
    <w:rsid w:val="00E16523"/>
    <w:rsid w:val="00E23351"/>
    <w:rsid w:val="00E769D1"/>
    <w:rsid w:val="00E769EA"/>
    <w:rsid w:val="00E913E4"/>
    <w:rsid w:val="00EA3A5A"/>
    <w:rsid w:val="00EE4D09"/>
    <w:rsid w:val="00EE504A"/>
    <w:rsid w:val="00EF442C"/>
    <w:rsid w:val="00EF6BAB"/>
    <w:rsid w:val="00F24AB8"/>
    <w:rsid w:val="00F33248"/>
    <w:rsid w:val="00F4627E"/>
    <w:rsid w:val="00F819A2"/>
    <w:rsid w:val="00F924C6"/>
    <w:rsid w:val="00F949C4"/>
    <w:rsid w:val="00FA5786"/>
    <w:rsid w:val="00FB4B3A"/>
    <w:rsid w:val="00FE5F35"/>
    <w:rsid w:val="00FF7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AD1A"/>
  <w15:chartTrackingRefBased/>
  <w15:docId w15:val="{69135119-5EE2-DE43-959E-07149EE5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4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autoRedefine/>
    <w:uiPriority w:val="9"/>
    <w:unhideWhenUsed/>
    <w:qFormat/>
    <w:rsid w:val="00BC24BA"/>
    <w:pPr>
      <w:numPr>
        <w:ilvl w:val="1"/>
        <w:numId w:val="2"/>
      </w:numPr>
      <w:tabs>
        <w:tab w:val="left" w:pos="993"/>
      </w:tabs>
      <w:autoSpaceDE w:val="0"/>
      <w:autoSpaceDN w:val="0"/>
      <w:adjustRightInd w:val="0"/>
      <w:spacing w:before="120" w:after="120"/>
      <w:ind w:left="720"/>
      <w:jc w:val="both"/>
      <w:outlineLvl w:val="1"/>
    </w:pPr>
    <w:rPr>
      <w:rFonts w:ascii="Verdana" w:hAnsi="Verdana" w:cs="Times New Roman"/>
      <w:b/>
      <w:color w:val="F58220"/>
      <w:sz w:val="21"/>
      <w:szCs w:val="28"/>
      <w:lang w:eastAsia="x-none"/>
    </w:rPr>
  </w:style>
  <w:style w:type="paragraph" w:styleId="Titre3">
    <w:name w:val="heading 3"/>
    <w:basedOn w:val="Normal"/>
    <w:next w:val="Normal"/>
    <w:link w:val="Titre3Car"/>
    <w:uiPriority w:val="9"/>
    <w:semiHidden/>
    <w:unhideWhenUsed/>
    <w:qFormat/>
    <w:rsid w:val="002A45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45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45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45E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45E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45E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45E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BC24BA"/>
    <w:rPr>
      <w:rFonts w:ascii="Verdana" w:hAnsi="Verdana" w:cs="Times New Roman"/>
      <w:b/>
      <w:color w:val="F58220"/>
      <w:sz w:val="21"/>
      <w:szCs w:val="28"/>
      <w:lang w:eastAsia="x-none"/>
    </w:rPr>
  </w:style>
  <w:style w:type="character" w:customStyle="1" w:styleId="Titre1Car">
    <w:name w:val="Titre 1 Car"/>
    <w:basedOn w:val="Policepardfaut"/>
    <w:link w:val="Titre1"/>
    <w:uiPriority w:val="9"/>
    <w:rsid w:val="002A45EA"/>
    <w:rPr>
      <w:rFonts w:asciiTheme="majorHAnsi" w:eastAsiaTheme="majorEastAsia" w:hAnsiTheme="majorHAnsi" w:cstheme="majorBidi"/>
      <w:color w:val="0F4761" w:themeColor="accent1" w:themeShade="BF"/>
      <w:sz w:val="40"/>
      <w:szCs w:val="40"/>
    </w:rPr>
  </w:style>
  <w:style w:type="character" w:customStyle="1" w:styleId="Titre3Car">
    <w:name w:val="Titre 3 Car"/>
    <w:basedOn w:val="Policepardfaut"/>
    <w:link w:val="Titre3"/>
    <w:uiPriority w:val="9"/>
    <w:semiHidden/>
    <w:rsid w:val="002A45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45E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45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45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45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45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45EA"/>
    <w:rPr>
      <w:rFonts w:eastAsiaTheme="majorEastAsia" w:cstheme="majorBidi"/>
      <w:color w:val="272727" w:themeColor="text1" w:themeTint="D8"/>
    </w:rPr>
  </w:style>
  <w:style w:type="paragraph" w:styleId="Titre">
    <w:name w:val="Title"/>
    <w:basedOn w:val="Normal"/>
    <w:next w:val="Normal"/>
    <w:link w:val="TitreCar"/>
    <w:uiPriority w:val="10"/>
    <w:qFormat/>
    <w:rsid w:val="002A45E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45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45E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45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45E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A45EA"/>
    <w:rPr>
      <w:i/>
      <w:iCs/>
      <w:color w:val="404040" w:themeColor="text1" w:themeTint="BF"/>
    </w:rPr>
  </w:style>
  <w:style w:type="paragraph" w:styleId="Paragraphedeliste">
    <w:name w:val="List Paragraph"/>
    <w:basedOn w:val="Normal"/>
    <w:uiPriority w:val="34"/>
    <w:qFormat/>
    <w:rsid w:val="002A45EA"/>
    <w:pPr>
      <w:ind w:left="720"/>
      <w:contextualSpacing/>
    </w:pPr>
  </w:style>
  <w:style w:type="character" w:styleId="Accentuationintense">
    <w:name w:val="Intense Emphasis"/>
    <w:basedOn w:val="Policepardfaut"/>
    <w:uiPriority w:val="21"/>
    <w:qFormat/>
    <w:rsid w:val="002A45EA"/>
    <w:rPr>
      <w:i/>
      <w:iCs/>
      <w:color w:val="0F4761" w:themeColor="accent1" w:themeShade="BF"/>
    </w:rPr>
  </w:style>
  <w:style w:type="paragraph" w:styleId="Citationintense">
    <w:name w:val="Intense Quote"/>
    <w:basedOn w:val="Normal"/>
    <w:next w:val="Normal"/>
    <w:link w:val="CitationintenseCar"/>
    <w:uiPriority w:val="30"/>
    <w:qFormat/>
    <w:rsid w:val="002A4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45EA"/>
    <w:rPr>
      <w:i/>
      <w:iCs/>
      <w:color w:val="0F4761" w:themeColor="accent1" w:themeShade="BF"/>
    </w:rPr>
  </w:style>
  <w:style w:type="character" w:styleId="Rfrenceintense">
    <w:name w:val="Intense Reference"/>
    <w:basedOn w:val="Policepardfaut"/>
    <w:uiPriority w:val="32"/>
    <w:qFormat/>
    <w:rsid w:val="002A45EA"/>
    <w:rPr>
      <w:b/>
      <w:bCs/>
      <w:smallCaps/>
      <w:color w:val="0F4761" w:themeColor="accent1" w:themeShade="BF"/>
      <w:spacing w:val="5"/>
    </w:rPr>
  </w:style>
  <w:style w:type="character" w:styleId="Marquedecommentaire">
    <w:name w:val="annotation reference"/>
    <w:basedOn w:val="Policepardfaut"/>
    <w:uiPriority w:val="99"/>
    <w:semiHidden/>
    <w:unhideWhenUsed/>
    <w:rsid w:val="00B220FD"/>
    <w:rPr>
      <w:sz w:val="16"/>
      <w:szCs w:val="16"/>
    </w:rPr>
  </w:style>
  <w:style w:type="paragraph" w:styleId="Commentaire">
    <w:name w:val="annotation text"/>
    <w:basedOn w:val="Normal"/>
    <w:link w:val="CommentaireCar"/>
    <w:uiPriority w:val="99"/>
    <w:unhideWhenUsed/>
    <w:rsid w:val="00B220FD"/>
    <w:rPr>
      <w:sz w:val="20"/>
      <w:szCs w:val="20"/>
    </w:rPr>
  </w:style>
  <w:style w:type="character" w:customStyle="1" w:styleId="CommentaireCar">
    <w:name w:val="Commentaire Car"/>
    <w:basedOn w:val="Policepardfaut"/>
    <w:link w:val="Commentaire"/>
    <w:uiPriority w:val="99"/>
    <w:rsid w:val="00B220FD"/>
    <w:rPr>
      <w:sz w:val="20"/>
      <w:szCs w:val="20"/>
    </w:rPr>
  </w:style>
  <w:style w:type="paragraph" w:styleId="Objetducommentaire">
    <w:name w:val="annotation subject"/>
    <w:basedOn w:val="Commentaire"/>
    <w:next w:val="Commentaire"/>
    <w:link w:val="ObjetducommentaireCar"/>
    <w:uiPriority w:val="99"/>
    <w:semiHidden/>
    <w:unhideWhenUsed/>
    <w:rsid w:val="00B220FD"/>
    <w:rPr>
      <w:b/>
      <w:bCs/>
    </w:rPr>
  </w:style>
  <w:style w:type="character" w:customStyle="1" w:styleId="ObjetducommentaireCar">
    <w:name w:val="Objet du commentaire Car"/>
    <w:basedOn w:val="CommentaireCar"/>
    <w:link w:val="Objetducommentaire"/>
    <w:uiPriority w:val="99"/>
    <w:semiHidden/>
    <w:rsid w:val="00B220FD"/>
    <w:rPr>
      <w:b/>
      <w:bCs/>
      <w:sz w:val="20"/>
      <w:szCs w:val="20"/>
    </w:rPr>
  </w:style>
  <w:style w:type="paragraph" w:styleId="Rvision">
    <w:name w:val="Revision"/>
    <w:hidden/>
    <w:uiPriority w:val="99"/>
    <w:semiHidden/>
    <w:rsid w:val="00C65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817</Words>
  <Characters>4498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MERMERA</dc:creator>
  <cp:keywords/>
  <dc:description/>
  <cp:lastModifiedBy>Catherine MERMERA</cp:lastModifiedBy>
  <cp:revision>57</cp:revision>
  <dcterms:created xsi:type="dcterms:W3CDTF">2024-09-23T09:16:00Z</dcterms:created>
  <dcterms:modified xsi:type="dcterms:W3CDTF">2024-10-11T04:01:00Z</dcterms:modified>
</cp:coreProperties>
</file>