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067" w:type="dxa"/>
        <w:tblLook w:val="04A0" w:firstRow="1" w:lastRow="0" w:firstColumn="1" w:lastColumn="0" w:noHBand="0" w:noVBand="1"/>
      </w:tblPr>
      <w:tblGrid>
        <w:gridCol w:w="7225"/>
        <w:gridCol w:w="1842"/>
      </w:tblGrid>
      <w:tr w:rsidR="00EC22CC" w:rsidRPr="00F7050A" w14:paraId="51109D41" w14:textId="77777777" w:rsidTr="00462F07">
        <w:tc>
          <w:tcPr>
            <w:tcW w:w="9067" w:type="dxa"/>
            <w:gridSpan w:val="2"/>
          </w:tcPr>
          <w:p w14:paraId="6FC76F95" w14:textId="3F8A5F0B" w:rsidR="00EC22CC" w:rsidRPr="00890675" w:rsidRDefault="00283EED" w:rsidP="00854EEA">
            <w:pPr>
              <w:jc w:val="center"/>
              <w:rPr>
                <w:rFonts w:ascii="Verdana" w:hAnsi="Verdana"/>
                <w:b/>
                <w:bCs/>
                <w:sz w:val="20"/>
                <w:szCs w:val="20"/>
              </w:rPr>
            </w:pPr>
            <w:r w:rsidRPr="006E41C2">
              <w:rPr>
                <w:rFonts w:ascii="Verdana" w:eastAsia="Times New Roman" w:hAnsi="Verdana"/>
                <w:b/>
                <w:bCs/>
                <w:sz w:val="20"/>
                <w:szCs w:val="20"/>
              </w:rPr>
              <w:t>Inéligibilités</w:t>
            </w:r>
          </w:p>
        </w:tc>
      </w:tr>
      <w:tr w:rsidR="001D531C" w:rsidRPr="00F7050A" w14:paraId="7F1B63D2" w14:textId="77777777" w:rsidTr="00462F07">
        <w:tc>
          <w:tcPr>
            <w:tcW w:w="7225" w:type="dxa"/>
          </w:tcPr>
          <w:p w14:paraId="056D9B10" w14:textId="5BE21491" w:rsidR="001D531C" w:rsidRPr="00890675" w:rsidRDefault="001D531C" w:rsidP="001D531C">
            <w:pPr>
              <w:rPr>
                <w:rFonts w:ascii="Verdana" w:hAnsi="Verdana"/>
                <w:sz w:val="20"/>
                <w:szCs w:val="20"/>
              </w:rPr>
            </w:pPr>
            <w:r w:rsidRPr="006E41C2">
              <w:rPr>
                <w:rFonts w:ascii="Verdana" w:hAnsi="Verdana"/>
                <w:sz w:val="20"/>
                <w:szCs w:val="20"/>
              </w:rPr>
              <w:t>Comité des OPL n°0</w:t>
            </w:r>
            <w:r w:rsidR="00493A7B" w:rsidRPr="006E41C2">
              <w:rPr>
                <w:rFonts w:ascii="Verdana" w:hAnsi="Verdana"/>
                <w:sz w:val="20"/>
                <w:szCs w:val="20"/>
              </w:rPr>
              <w:t>2</w:t>
            </w:r>
            <w:r w:rsidRPr="006E41C2">
              <w:rPr>
                <w:rFonts w:ascii="Verdana" w:hAnsi="Verdana"/>
                <w:sz w:val="20"/>
                <w:szCs w:val="20"/>
              </w:rPr>
              <w:t xml:space="preserve">/24 | </w:t>
            </w:r>
            <w:r w:rsidR="00493A7B" w:rsidRPr="006E41C2">
              <w:rPr>
                <w:rFonts w:ascii="Verdana" w:hAnsi="Verdana"/>
                <w:sz w:val="20"/>
                <w:szCs w:val="20"/>
              </w:rPr>
              <w:t>0</w:t>
            </w:r>
            <w:r w:rsidRPr="006E41C2">
              <w:rPr>
                <w:rFonts w:ascii="Verdana" w:hAnsi="Verdana"/>
                <w:sz w:val="20"/>
                <w:szCs w:val="20"/>
              </w:rPr>
              <w:t xml:space="preserve">2 et </w:t>
            </w:r>
            <w:r w:rsidR="00493A7B" w:rsidRPr="006E41C2">
              <w:rPr>
                <w:rFonts w:ascii="Verdana" w:hAnsi="Verdana"/>
                <w:sz w:val="20"/>
                <w:szCs w:val="20"/>
              </w:rPr>
              <w:t>0</w:t>
            </w:r>
            <w:r w:rsidRPr="006E41C2">
              <w:rPr>
                <w:rFonts w:ascii="Verdana" w:hAnsi="Verdana"/>
                <w:sz w:val="20"/>
                <w:szCs w:val="20"/>
              </w:rPr>
              <w:t xml:space="preserve">3 </w:t>
            </w:r>
            <w:r w:rsidR="00493A7B" w:rsidRPr="006E41C2">
              <w:rPr>
                <w:rFonts w:ascii="Verdana" w:hAnsi="Verdana"/>
                <w:sz w:val="20"/>
                <w:szCs w:val="20"/>
              </w:rPr>
              <w:t>décembre</w:t>
            </w:r>
            <w:r w:rsidRPr="006E41C2">
              <w:rPr>
                <w:rFonts w:ascii="Verdana" w:hAnsi="Verdana"/>
                <w:sz w:val="20"/>
                <w:szCs w:val="20"/>
              </w:rPr>
              <w:t xml:space="preserve"> 2024</w:t>
            </w:r>
          </w:p>
        </w:tc>
        <w:tc>
          <w:tcPr>
            <w:tcW w:w="1842" w:type="dxa"/>
          </w:tcPr>
          <w:p w14:paraId="58E25D1F" w14:textId="5759EF55" w:rsidR="001D531C" w:rsidRPr="00890675" w:rsidRDefault="001D531C" w:rsidP="001D531C">
            <w:pPr>
              <w:jc w:val="center"/>
              <w:rPr>
                <w:rFonts w:ascii="Verdana" w:hAnsi="Verdana"/>
                <w:sz w:val="20"/>
                <w:szCs w:val="20"/>
              </w:rPr>
            </w:pPr>
            <w:r w:rsidRPr="00890675">
              <w:rPr>
                <w:rFonts w:ascii="Verdana" w:hAnsi="Verdana"/>
                <w:sz w:val="20"/>
                <w:szCs w:val="20"/>
              </w:rPr>
              <w:t xml:space="preserve">Point </w:t>
            </w:r>
            <w:r w:rsidR="00283EED" w:rsidRPr="00890675">
              <w:rPr>
                <w:rFonts w:ascii="Verdana" w:hAnsi="Verdana"/>
                <w:sz w:val="20"/>
                <w:szCs w:val="20"/>
              </w:rPr>
              <w:t>3</w:t>
            </w:r>
            <w:r w:rsidR="003D21F8" w:rsidRPr="00890675">
              <w:rPr>
                <w:rFonts w:ascii="Verdana" w:hAnsi="Verdana"/>
                <w:sz w:val="20"/>
                <w:szCs w:val="20"/>
              </w:rPr>
              <w:t>.</w:t>
            </w:r>
            <w:r w:rsidR="00493A7B" w:rsidRPr="00890675">
              <w:rPr>
                <w:rFonts w:ascii="Verdana" w:hAnsi="Verdana"/>
                <w:sz w:val="20"/>
                <w:szCs w:val="20"/>
              </w:rPr>
              <w:t>3</w:t>
            </w:r>
          </w:p>
        </w:tc>
      </w:tr>
      <w:tr w:rsidR="001D531C" w:rsidRPr="00F7050A" w14:paraId="537D1DE5" w14:textId="77777777" w:rsidTr="00462F07">
        <w:tc>
          <w:tcPr>
            <w:tcW w:w="7225" w:type="dxa"/>
          </w:tcPr>
          <w:p w14:paraId="43DEF09E" w14:textId="1CF76C24" w:rsidR="001D531C" w:rsidRPr="00890675" w:rsidRDefault="001D531C" w:rsidP="001D531C">
            <w:pPr>
              <w:rPr>
                <w:rFonts w:ascii="Verdana" w:hAnsi="Verdana"/>
                <w:sz w:val="20"/>
                <w:szCs w:val="20"/>
              </w:rPr>
            </w:pPr>
            <w:r w:rsidRPr="006E41C2">
              <w:rPr>
                <w:rFonts w:ascii="Verdana" w:hAnsi="Verdana"/>
                <w:i/>
                <w:iCs/>
                <w:sz w:val="20"/>
                <w:szCs w:val="20"/>
              </w:rPr>
              <w:t>Dossier suivi par :</w:t>
            </w:r>
            <w:r w:rsidRPr="006E41C2">
              <w:rPr>
                <w:rFonts w:ascii="Verdana" w:hAnsi="Verdana"/>
                <w:sz w:val="20"/>
                <w:szCs w:val="20"/>
              </w:rPr>
              <w:t xml:space="preserve"> </w:t>
            </w:r>
            <w:r w:rsidR="00283EED" w:rsidRPr="006E41C2">
              <w:rPr>
                <w:rFonts w:ascii="Verdana" w:hAnsi="Verdana"/>
                <w:sz w:val="20"/>
                <w:szCs w:val="20"/>
              </w:rPr>
              <w:t xml:space="preserve">Vicky </w:t>
            </w:r>
            <w:proofErr w:type="spellStart"/>
            <w:r w:rsidR="00283EED" w:rsidRPr="006E41C2">
              <w:rPr>
                <w:rFonts w:ascii="Verdana" w:hAnsi="Verdana"/>
                <w:sz w:val="20"/>
                <w:szCs w:val="20"/>
              </w:rPr>
              <w:t>Cushmajee</w:t>
            </w:r>
            <w:proofErr w:type="spellEnd"/>
            <w:r w:rsidR="00283EED" w:rsidRPr="006E41C2">
              <w:rPr>
                <w:rFonts w:ascii="Verdana" w:hAnsi="Verdana"/>
                <w:sz w:val="20"/>
                <w:szCs w:val="20"/>
              </w:rPr>
              <w:t xml:space="preserve">, chef </w:t>
            </w:r>
            <w:r w:rsidR="006E41C2" w:rsidRPr="006E41C2">
              <w:rPr>
                <w:rFonts w:ascii="Verdana" w:hAnsi="Verdana"/>
                <w:sz w:val="20"/>
                <w:szCs w:val="20"/>
              </w:rPr>
              <w:t>d</w:t>
            </w:r>
            <w:r w:rsidR="006E41C2">
              <w:rPr>
                <w:rFonts w:ascii="Verdana" w:hAnsi="Verdana"/>
                <w:sz w:val="20"/>
                <w:szCs w:val="20"/>
              </w:rPr>
              <w:t>u</w:t>
            </w:r>
            <w:r w:rsidR="006E41C2" w:rsidRPr="006E41C2">
              <w:rPr>
                <w:rFonts w:ascii="Verdana" w:hAnsi="Verdana"/>
                <w:sz w:val="20"/>
                <w:szCs w:val="20"/>
              </w:rPr>
              <w:t xml:space="preserve"> </w:t>
            </w:r>
            <w:r w:rsidR="006E41C2">
              <w:rPr>
                <w:rFonts w:ascii="Verdana" w:hAnsi="Verdana"/>
                <w:sz w:val="20"/>
                <w:szCs w:val="20"/>
              </w:rPr>
              <w:t>S</w:t>
            </w:r>
            <w:r w:rsidR="006E41C2" w:rsidRPr="006E41C2">
              <w:rPr>
                <w:rFonts w:ascii="Verdana" w:hAnsi="Verdana"/>
                <w:sz w:val="20"/>
                <w:szCs w:val="20"/>
              </w:rPr>
              <w:t xml:space="preserve">ervice </w:t>
            </w:r>
            <w:r w:rsidR="00283EED" w:rsidRPr="006E41C2">
              <w:rPr>
                <w:rFonts w:ascii="Verdana" w:hAnsi="Verdana"/>
                <w:sz w:val="20"/>
                <w:szCs w:val="20"/>
              </w:rPr>
              <w:t>budget</w:t>
            </w:r>
            <w:r w:rsidR="006E41C2">
              <w:rPr>
                <w:rFonts w:ascii="Verdana" w:hAnsi="Verdana"/>
                <w:sz w:val="20"/>
                <w:szCs w:val="20"/>
              </w:rPr>
              <w:t xml:space="preserve"> et </w:t>
            </w:r>
            <w:r w:rsidR="00283EED" w:rsidRPr="006E41C2">
              <w:rPr>
                <w:rFonts w:ascii="Verdana" w:hAnsi="Verdana"/>
                <w:sz w:val="20"/>
                <w:szCs w:val="20"/>
              </w:rPr>
              <w:t>finance</w:t>
            </w:r>
          </w:p>
        </w:tc>
        <w:tc>
          <w:tcPr>
            <w:tcW w:w="1842" w:type="dxa"/>
          </w:tcPr>
          <w:p w14:paraId="5AC1AFAB" w14:textId="219CCEC0" w:rsidR="001D531C" w:rsidRPr="00890675" w:rsidRDefault="005676D6" w:rsidP="001D531C">
            <w:pPr>
              <w:jc w:val="center"/>
              <w:rPr>
                <w:rFonts w:ascii="Verdana" w:hAnsi="Verdana"/>
                <w:sz w:val="20"/>
                <w:szCs w:val="20"/>
              </w:rPr>
            </w:pPr>
            <w:r w:rsidRPr="00890675">
              <w:rPr>
                <w:rFonts w:ascii="Verdana" w:hAnsi="Verdana"/>
                <w:sz w:val="20"/>
                <w:szCs w:val="20"/>
              </w:rPr>
              <w:t>Décision</w:t>
            </w:r>
          </w:p>
        </w:tc>
      </w:tr>
      <w:tr w:rsidR="001D531C" w:rsidRPr="00F7050A" w14:paraId="6896DB30" w14:textId="77777777" w:rsidTr="00462F07">
        <w:tc>
          <w:tcPr>
            <w:tcW w:w="9067" w:type="dxa"/>
            <w:gridSpan w:val="2"/>
          </w:tcPr>
          <w:p w14:paraId="0495241B" w14:textId="34BFC16D" w:rsidR="001D531C" w:rsidRPr="00890675" w:rsidRDefault="001D531C" w:rsidP="001D531C">
            <w:pPr>
              <w:rPr>
                <w:rFonts w:ascii="Verdana" w:hAnsi="Verdana"/>
                <w:sz w:val="20"/>
                <w:szCs w:val="20"/>
              </w:rPr>
            </w:pPr>
            <w:r w:rsidRPr="00890675">
              <w:rPr>
                <w:rFonts w:ascii="Verdana" w:hAnsi="Verdana"/>
                <w:i/>
                <w:iCs/>
                <w:sz w:val="20"/>
                <w:szCs w:val="20"/>
              </w:rPr>
              <w:t xml:space="preserve">Version </w:t>
            </w:r>
            <w:r w:rsidR="00283EED" w:rsidRPr="00890675">
              <w:rPr>
                <w:rFonts w:ascii="Verdana" w:hAnsi="Verdana"/>
                <w:i/>
                <w:iCs/>
                <w:sz w:val="20"/>
                <w:szCs w:val="20"/>
              </w:rPr>
              <w:t>17</w:t>
            </w:r>
            <w:r w:rsidR="00D20205" w:rsidRPr="00890675">
              <w:rPr>
                <w:rFonts w:ascii="Verdana" w:hAnsi="Verdana"/>
                <w:i/>
                <w:iCs/>
                <w:sz w:val="20"/>
                <w:szCs w:val="20"/>
              </w:rPr>
              <w:t xml:space="preserve"> </w:t>
            </w:r>
            <w:r w:rsidR="00A118E1" w:rsidRPr="00890675">
              <w:rPr>
                <w:rFonts w:ascii="Verdana" w:hAnsi="Verdana"/>
                <w:i/>
                <w:iCs/>
                <w:sz w:val="20"/>
                <w:szCs w:val="20"/>
              </w:rPr>
              <w:t>novembre 2024</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bookmarkEnd w:id="0"/>
    <w:p w14:paraId="2C01B5D6" w14:textId="6D4ED1C5" w:rsidR="00495391" w:rsidRDefault="00495391" w:rsidP="00495391">
      <w:pPr>
        <w:pStyle w:val="Titrepartie"/>
      </w:pPr>
      <w:r>
        <w:t>Rappel</w:t>
      </w:r>
    </w:p>
    <w:p w14:paraId="3D13A0CE" w14:textId="5AFC4FC2" w:rsidR="00D142EE" w:rsidRDefault="00D142EE" w:rsidP="00890675">
      <w:pPr>
        <w:pStyle w:val="Corpsdetexte"/>
        <w:spacing w:before="102" w:after="120" w:line="276" w:lineRule="auto"/>
        <w:jc w:val="both"/>
      </w:pPr>
      <w:r>
        <w:t>Les inéligibilités sont constituées de dépenses effectuées sur les projets mis en œuvre par la COI sur des fonds alloués par l’Union européenne. Ce bailleur considère les dépenses comme exécutées en violation avec les règles contractuelles du contrat de financement ou le PRAG (</w:t>
      </w:r>
      <w:r w:rsidRPr="005732A8">
        <w:t>Guide pratique des procédures de passation de marchés et d'octroi de subventions pour les actions extérieures de l'Union européenne</w:t>
      </w:r>
      <w:r>
        <w:t>).</w:t>
      </w:r>
    </w:p>
    <w:p w14:paraId="460CD71C" w14:textId="306B1A75" w:rsidR="00D142EE" w:rsidRDefault="00D142EE" w:rsidP="00890675">
      <w:pPr>
        <w:pStyle w:val="Corpsdetexte"/>
        <w:spacing w:after="120" w:line="276" w:lineRule="auto"/>
        <w:jc w:val="both"/>
      </w:pPr>
      <w:r>
        <w:t xml:space="preserve">Il existe </w:t>
      </w:r>
      <w:r w:rsidR="00627365">
        <w:t>des montants issus</w:t>
      </w:r>
      <w:r>
        <w:t xml:space="preserve"> des anciens projets (depuis 2013) qui ont été en partie compensés sur les avances d’autres projets financés ultérieurement par l’UE dont le montant reste toujours redevable à la Commission européenne. Des</w:t>
      </w:r>
      <w:r>
        <w:rPr>
          <w:spacing w:val="-13"/>
        </w:rPr>
        <w:t xml:space="preserve"> </w:t>
      </w:r>
      <w:r>
        <w:t>recouvrements</w:t>
      </w:r>
      <w:r>
        <w:rPr>
          <w:spacing w:val="-13"/>
        </w:rPr>
        <w:t xml:space="preserve"> </w:t>
      </w:r>
      <w:r>
        <w:t>sont effectués par déduction directe sur les avances ou réapprovisionnement des projets en cours d’exécution</w:t>
      </w:r>
      <w:r w:rsidR="00D830DE">
        <w:t xml:space="preserve">. </w:t>
      </w:r>
    </w:p>
    <w:p w14:paraId="325F474F" w14:textId="735DC553" w:rsidR="00D830DE" w:rsidRDefault="00D830DE" w:rsidP="00890675">
      <w:pPr>
        <w:pStyle w:val="Corpsdetexte"/>
        <w:spacing w:after="120" w:line="276" w:lineRule="auto"/>
        <w:jc w:val="both"/>
      </w:pPr>
      <w:r>
        <w:t>Par courrier daté du 23 septembre 2024, la Délégation de l’UE a, par ailleurs, informé le Secrétariat général de la déclaration de nouvelles inéligibilités sur le devis-programme n°5 du programme MASE (MASE DP5) pour un montant de 65 137 €. Le SG-COI conteste ces inéligibilités qui n’ont pas été relevées par le cabinet d’audit externe (pour un montant de 49 247 €) et ne relèvent pas d’une non-observance des procédures européennes, le PRAG (pour un montant de 15 </w:t>
      </w:r>
      <w:r w:rsidR="00F47185">
        <w:t>8</w:t>
      </w:r>
      <w:r w:rsidR="002F7ACE">
        <w:t>90</w:t>
      </w:r>
      <w:r>
        <w:t xml:space="preserve"> €). </w:t>
      </w:r>
    </w:p>
    <w:p w14:paraId="4AFF20FA" w14:textId="1C8CA58A" w:rsidR="00D830DE" w:rsidRDefault="00D830DE" w:rsidP="00890675">
      <w:pPr>
        <w:pStyle w:val="Corpsdetexte"/>
        <w:spacing w:after="120" w:line="276" w:lineRule="auto"/>
        <w:jc w:val="both"/>
      </w:pPr>
      <w:r>
        <w:t xml:space="preserve">En cumulé, les inéligibilités passées et nouvellement déclarées portent le montant total </w:t>
      </w:r>
      <w:r w:rsidRPr="00890675">
        <w:t>à 417 </w:t>
      </w:r>
      <w:r w:rsidR="00510A5A" w:rsidRPr="00890675">
        <w:t>862</w:t>
      </w:r>
      <w:r w:rsidRPr="00890675">
        <w:t xml:space="preserve"> €.</w:t>
      </w:r>
      <w:r>
        <w:t xml:space="preserve"> </w:t>
      </w:r>
    </w:p>
    <w:p w14:paraId="75A52941" w14:textId="77777777" w:rsidR="00D142EE" w:rsidRDefault="00D142EE" w:rsidP="00D142EE">
      <w:pPr>
        <w:pStyle w:val="Corpsdetexte"/>
        <w:spacing w:line="276" w:lineRule="auto"/>
        <w:ind w:left="221" w:right="226"/>
        <w:jc w:val="both"/>
      </w:pPr>
    </w:p>
    <w:p w14:paraId="3AE8C88E" w14:textId="34FD9CBB" w:rsidR="00495391" w:rsidRDefault="00495391" w:rsidP="00495391">
      <w:pPr>
        <w:pStyle w:val="Titrepartie"/>
      </w:pPr>
      <w:r>
        <w:t>Informations sur l’état des inéligibilités</w:t>
      </w:r>
    </w:p>
    <w:p w14:paraId="345E0CD6" w14:textId="3306A308" w:rsidR="00D830DE" w:rsidRPr="00D830DE" w:rsidRDefault="00D830DE" w:rsidP="00890675">
      <w:pPr>
        <w:pStyle w:val="Sous-partie2"/>
      </w:pPr>
      <w:r>
        <w:t>Compensation des inéligibilités passées</w:t>
      </w:r>
    </w:p>
    <w:p w14:paraId="5C2CABE1" w14:textId="6AA0C2CC" w:rsidR="00D142EE" w:rsidRPr="00890675" w:rsidRDefault="00D142EE" w:rsidP="00890675">
      <w:pPr>
        <w:pStyle w:val="Corpsdetexte"/>
        <w:spacing w:line="276" w:lineRule="auto"/>
        <w:jc w:val="both"/>
      </w:pPr>
      <w:r w:rsidRPr="00890675">
        <w:t xml:space="preserve">Les </w:t>
      </w:r>
      <w:r w:rsidRPr="00890675">
        <w:rPr>
          <w:b/>
          <w:bCs/>
        </w:rPr>
        <w:t>projets</w:t>
      </w:r>
      <w:r w:rsidRPr="00890675">
        <w:t xml:space="preserve"> qui ont subi une compensation par l’UE</w:t>
      </w:r>
      <w:r w:rsidR="00C17E92" w:rsidRPr="00890675">
        <w:t xml:space="preserve"> au titre des anciens projets dont les inéligibilités restent dues à ce jour</w:t>
      </w:r>
      <w:r w:rsidRPr="00890675">
        <w:t xml:space="preserve"> :</w:t>
      </w:r>
    </w:p>
    <w:p w14:paraId="38CACDF3" w14:textId="77777777" w:rsidR="00D142EE" w:rsidRDefault="00D142EE" w:rsidP="00D142EE">
      <w:pPr>
        <w:pStyle w:val="Corpsdetexte"/>
        <w:spacing w:line="276" w:lineRule="auto"/>
        <w:ind w:left="221" w:right="226"/>
        <w:jc w:val="both"/>
      </w:pPr>
    </w:p>
    <w:p w14:paraId="574BBCBE" w14:textId="77777777" w:rsidR="00D142EE" w:rsidRPr="00890675" w:rsidRDefault="00D142EE" w:rsidP="00D142EE">
      <w:pPr>
        <w:pStyle w:val="Corpsdetexte"/>
        <w:spacing w:line="276" w:lineRule="auto"/>
        <w:ind w:left="221" w:right="226"/>
        <w:jc w:val="both"/>
      </w:pPr>
      <w:r w:rsidRPr="00890675">
        <w:t>DP INCA</w:t>
      </w:r>
      <w:r w:rsidRPr="00890675">
        <w:tab/>
      </w:r>
      <w:r w:rsidRPr="00890675">
        <w:tab/>
        <w:t xml:space="preserve">: € 160 859 </w:t>
      </w:r>
    </w:p>
    <w:p w14:paraId="0F949A38" w14:textId="77777777" w:rsidR="00D142EE" w:rsidRPr="00890675" w:rsidRDefault="00D142EE" w:rsidP="00D142EE">
      <w:pPr>
        <w:pStyle w:val="Corpsdetexte"/>
        <w:spacing w:line="276" w:lineRule="auto"/>
        <w:ind w:left="221" w:right="226"/>
        <w:jc w:val="both"/>
      </w:pPr>
      <w:r w:rsidRPr="00890675">
        <w:t xml:space="preserve">ECOFISH </w:t>
      </w:r>
      <w:r w:rsidRPr="00890675">
        <w:tab/>
      </w:r>
      <w:r w:rsidRPr="00890675">
        <w:tab/>
        <w:t>: € 149 122</w:t>
      </w:r>
    </w:p>
    <w:p w14:paraId="6DA3CC2B" w14:textId="77777777" w:rsidR="00D142EE" w:rsidRDefault="00D142EE" w:rsidP="00D142EE">
      <w:pPr>
        <w:pStyle w:val="Corpsdetexte"/>
        <w:spacing w:line="276" w:lineRule="auto"/>
        <w:ind w:left="221" w:right="226"/>
        <w:jc w:val="both"/>
      </w:pPr>
      <w:r>
        <w:tab/>
      </w:r>
      <w:r>
        <w:tab/>
      </w:r>
      <w:r>
        <w:tab/>
        <w:t>--------------</w:t>
      </w:r>
    </w:p>
    <w:p w14:paraId="3FDC9158" w14:textId="2923115F" w:rsidR="00D142EE" w:rsidRDefault="00D142EE" w:rsidP="00D142EE">
      <w:pPr>
        <w:pStyle w:val="Corpsdetexte"/>
        <w:spacing w:line="276" w:lineRule="auto"/>
        <w:ind w:left="221" w:right="226"/>
        <w:jc w:val="both"/>
      </w:pPr>
      <w:r>
        <w:t>TOTAL</w:t>
      </w:r>
      <w:r>
        <w:tab/>
      </w:r>
      <w:r>
        <w:tab/>
        <w:t xml:space="preserve">: € </w:t>
      </w:r>
      <w:r w:rsidR="00152D1E">
        <w:t xml:space="preserve">309 </w:t>
      </w:r>
      <w:r w:rsidR="00510A5A">
        <w:t>9</w:t>
      </w:r>
      <w:r w:rsidR="00152D1E">
        <w:t>81</w:t>
      </w:r>
    </w:p>
    <w:p w14:paraId="0BC0C366" w14:textId="77777777" w:rsidR="00D142EE" w:rsidRDefault="00D142EE" w:rsidP="00D142EE">
      <w:pPr>
        <w:pStyle w:val="Corpsdetexte"/>
        <w:spacing w:line="276" w:lineRule="auto"/>
        <w:ind w:left="221" w:right="226"/>
        <w:jc w:val="both"/>
      </w:pPr>
      <w:r>
        <w:tab/>
      </w:r>
      <w:r>
        <w:tab/>
      </w:r>
      <w:r>
        <w:tab/>
        <w:t>========</w:t>
      </w:r>
    </w:p>
    <w:p w14:paraId="62C02484" w14:textId="559024CB" w:rsidR="00317B1F" w:rsidRDefault="00317B1F" w:rsidP="00890675">
      <w:pPr>
        <w:pStyle w:val="Corpsdetexte"/>
        <w:spacing w:after="120" w:line="276" w:lineRule="auto"/>
        <w:ind w:right="224"/>
        <w:jc w:val="both"/>
      </w:pPr>
      <w:r>
        <w:t>Il convient ici de saluer</w:t>
      </w:r>
      <w:r>
        <w:rPr>
          <w:spacing w:val="-11"/>
        </w:rPr>
        <w:t xml:space="preserve"> </w:t>
      </w:r>
      <w:r>
        <w:t>les</w:t>
      </w:r>
      <w:r>
        <w:rPr>
          <w:spacing w:val="-11"/>
        </w:rPr>
        <w:t xml:space="preserve"> </w:t>
      </w:r>
      <w:r>
        <w:t>efforts</w:t>
      </w:r>
      <w:r>
        <w:rPr>
          <w:spacing w:val="-11"/>
        </w:rPr>
        <w:t xml:space="preserve"> </w:t>
      </w:r>
      <w:r>
        <w:t>fournis</w:t>
      </w:r>
      <w:r>
        <w:rPr>
          <w:spacing w:val="-11"/>
        </w:rPr>
        <w:t xml:space="preserve"> </w:t>
      </w:r>
      <w:r>
        <w:t>par</w:t>
      </w:r>
      <w:r>
        <w:rPr>
          <w:spacing w:val="-11"/>
        </w:rPr>
        <w:t xml:space="preserve"> </w:t>
      </w:r>
      <w:r>
        <w:t>la</w:t>
      </w:r>
      <w:r>
        <w:rPr>
          <w:spacing w:val="-11"/>
        </w:rPr>
        <w:t xml:space="preserve"> </w:t>
      </w:r>
      <w:r>
        <w:t>DUE</w:t>
      </w:r>
      <w:r>
        <w:rPr>
          <w:spacing w:val="-11"/>
        </w:rPr>
        <w:t xml:space="preserve"> </w:t>
      </w:r>
      <w:r>
        <w:t>d’avoir revu</w:t>
      </w:r>
      <w:r>
        <w:rPr>
          <w:spacing w:val="-11"/>
        </w:rPr>
        <w:t xml:space="preserve"> </w:t>
      </w:r>
      <w:r>
        <w:t>à</w:t>
      </w:r>
      <w:r>
        <w:rPr>
          <w:spacing w:val="-11"/>
        </w:rPr>
        <w:t xml:space="preserve"> </w:t>
      </w:r>
      <w:r>
        <w:t>la</w:t>
      </w:r>
      <w:r>
        <w:rPr>
          <w:spacing w:val="-11"/>
        </w:rPr>
        <w:t xml:space="preserve"> </w:t>
      </w:r>
      <w:r>
        <w:t>baisse</w:t>
      </w:r>
      <w:r>
        <w:rPr>
          <w:spacing w:val="-11"/>
        </w:rPr>
        <w:t xml:space="preserve"> </w:t>
      </w:r>
      <w:r>
        <w:t>les anciennes inéligibilités qui s’élevaient à l’époque à 2 millions d’euros. Néanmoins, nous déplorons les conditions dans lesquelles la procédure contradictoire des audits s’est déroulée. En effet, la procédure ne s’est pas déroulée en présentiel mais par le biais de communiqués et avec beaucoup de retard alors que le contrat de travail des agents concernés dans les projets avait déjà expiré. Si la procédure avait été bien exécuté</w:t>
      </w:r>
      <w:r w:rsidR="00466E06">
        <w:t>e</w:t>
      </w:r>
      <w:r>
        <w:t>, cela aurait évité à la DUE et la COI de se retrouver dans la présente</w:t>
      </w:r>
      <w:r>
        <w:rPr>
          <w:spacing w:val="-18"/>
        </w:rPr>
        <w:t xml:space="preserve"> </w:t>
      </w:r>
      <w:r>
        <w:t>situation.</w:t>
      </w:r>
    </w:p>
    <w:p w14:paraId="12D99F2E" w14:textId="3E78AC5F" w:rsidR="00317B1F" w:rsidRPr="00990EBD" w:rsidRDefault="00317B1F" w:rsidP="00890675">
      <w:pPr>
        <w:tabs>
          <w:tab w:val="left" w:pos="866"/>
        </w:tabs>
        <w:spacing w:after="120" w:line="276" w:lineRule="auto"/>
        <w:ind w:right="226"/>
        <w:jc w:val="both"/>
        <w:rPr>
          <w:rFonts w:ascii="Verdana" w:hAnsi="Verdana"/>
          <w:sz w:val="20"/>
        </w:rPr>
      </w:pPr>
      <w:r w:rsidRPr="00990EBD">
        <w:rPr>
          <w:rFonts w:ascii="Verdana" w:hAnsi="Verdana"/>
          <w:sz w:val="20"/>
        </w:rPr>
        <w:t xml:space="preserve">Pour rappel, </w:t>
      </w:r>
      <w:r>
        <w:rPr>
          <w:rFonts w:ascii="Verdana" w:hAnsi="Verdana"/>
          <w:sz w:val="20"/>
        </w:rPr>
        <w:t>l</w:t>
      </w:r>
      <w:r w:rsidRPr="00990EBD">
        <w:rPr>
          <w:rFonts w:ascii="Verdana" w:hAnsi="Verdana"/>
          <w:sz w:val="20"/>
        </w:rPr>
        <w:t>es remarques suivant</w:t>
      </w:r>
      <w:r>
        <w:rPr>
          <w:rFonts w:ascii="Verdana" w:hAnsi="Verdana"/>
          <w:sz w:val="20"/>
        </w:rPr>
        <w:t>e</w:t>
      </w:r>
      <w:r w:rsidRPr="00990EBD">
        <w:rPr>
          <w:rFonts w:ascii="Verdana" w:hAnsi="Verdana"/>
          <w:sz w:val="20"/>
        </w:rPr>
        <w:t>s ont été apportés</w:t>
      </w:r>
      <w:r>
        <w:rPr>
          <w:rFonts w:ascii="Verdana" w:hAnsi="Verdana"/>
          <w:sz w:val="20"/>
        </w:rPr>
        <w:t xml:space="preserve"> </w:t>
      </w:r>
      <w:r w:rsidRPr="00990EBD">
        <w:rPr>
          <w:rFonts w:ascii="Verdana" w:hAnsi="Verdana"/>
          <w:sz w:val="20"/>
        </w:rPr>
        <w:t xml:space="preserve">concernant les anciennes </w:t>
      </w:r>
      <w:r w:rsidR="00890675" w:rsidRPr="00990EBD">
        <w:rPr>
          <w:rFonts w:ascii="Verdana" w:hAnsi="Verdana"/>
          <w:sz w:val="20"/>
        </w:rPr>
        <w:t>inéligibilités</w:t>
      </w:r>
      <w:r w:rsidR="00890675">
        <w:rPr>
          <w:rFonts w:ascii="Verdana" w:hAnsi="Verdana"/>
          <w:sz w:val="20"/>
        </w:rPr>
        <w:t xml:space="preserve"> :</w:t>
      </w:r>
    </w:p>
    <w:p w14:paraId="41BC6CCC" w14:textId="77777777" w:rsidR="00317B1F" w:rsidRPr="00990EBD" w:rsidRDefault="00317B1F" w:rsidP="00890675">
      <w:pPr>
        <w:pStyle w:val="Paragraphedeliste"/>
        <w:widowControl w:val="0"/>
        <w:numPr>
          <w:ilvl w:val="0"/>
          <w:numId w:val="38"/>
        </w:numPr>
        <w:tabs>
          <w:tab w:val="left" w:pos="866"/>
        </w:tabs>
        <w:autoSpaceDE w:val="0"/>
        <w:autoSpaceDN w:val="0"/>
        <w:spacing w:after="120" w:line="276" w:lineRule="auto"/>
        <w:ind w:right="225"/>
        <w:contextualSpacing w:val="0"/>
        <w:jc w:val="both"/>
        <w:rPr>
          <w:rFonts w:ascii="Verdana" w:hAnsi="Verdana"/>
          <w:sz w:val="20"/>
          <w:szCs w:val="20"/>
        </w:rPr>
      </w:pPr>
      <w:r w:rsidRPr="00990EBD">
        <w:rPr>
          <w:rFonts w:ascii="Verdana" w:hAnsi="Verdana"/>
          <w:sz w:val="20"/>
          <w:szCs w:val="20"/>
        </w:rPr>
        <w:t xml:space="preserve">Dans beaucoup de cas, la COI a apporté des éléments d’éclaircissement sur les </w:t>
      </w:r>
      <w:r w:rsidRPr="00990EBD">
        <w:rPr>
          <w:rFonts w:ascii="Verdana" w:hAnsi="Verdana"/>
          <w:sz w:val="20"/>
          <w:szCs w:val="20"/>
        </w:rPr>
        <w:lastRenderedPageBreak/>
        <w:t>inéligibilités avec documents à l’appui mais ces éléments sont restés en</w:t>
      </w:r>
      <w:r w:rsidRPr="00990EBD">
        <w:rPr>
          <w:rFonts w:ascii="Verdana" w:hAnsi="Verdana"/>
          <w:spacing w:val="-37"/>
          <w:sz w:val="20"/>
          <w:szCs w:val="20"/>
        </w:rPr>
        <w:t xml:space="preserve"> </w:t>
      </w:r>
      <w:r w:rsidRPr="00990EBD">
        <w:rPr>
          <w:rFonts w:ascii="Verdana" w:hAnsi="Verdana"/>
          <w:sz w:val="20"/>
          <w:szCs w:val="20"/>
        </w:rPr>
        <w:t>commentaires des rapports d’audit</w:t>
      </w:r>
      <w:r w:rsidRPr="00990EBD">
        <w:rPr>
          <w:rFonts w:ascii="Verdana" w:hAnsi="Verdana"/>
          <w:spacing w:val="-4"/>
          <w:sz w:val="20"/>
          <w:szCs w:val="20"/>
        </w:rPr>
        <w:t xml:space="preserve"> </w:t>
      </w:r>
      <w:r w:rsidRPr="00990EBD">
        <w:rPr>
          <w:rFonts w:ascii="Verdana" w:hAnsi="Verdana"/>
          <w:sz w:val="20"/>
          <w:szCs w:val="20"/>
        </w:rPr>
        <w:t>;</w:t>
      </w:r>
    </w:p>
    <w:p w14:paraId="74A6A215" w14:textId="77777777" w:rsidR="00317B1F" w:rsidRPr="00990EBD" w:rsidRDefault="00317B1F" w:rsidP="00890675">
      <w:pPr>
        <w:pStyle w:val="Paragraphedeliste"/>
        <w:widowControl w:val="0"/>
        <w:numPr>
          <w:ilvl w:val="0"/>
          <w:numId w:val="38"/>
        </w:numPr>
        <w:tabs>
          <w:tab w:val="left" w:pos="866"/>
        </w:tabs>
        <w:autoSpaceDE w:val="0"/>
        <w:autoSpaceDN w:val="0"/>
        <w:spacing w:after="120" w:line="276" w:lineRule="auto"/>
        <w:ind w:right="222"/>
        <w:contextualSpacing w:val="0"/>
        <w:jc w:val="both"/>
        <w:rPr>
          <w:rFonts w:ascii="Verdana" w:hAnsi="Verdana"/>
          <w:sz w:val="20"/>
          <w:szCs w:val="20"/>
        </w:rPr>
      </w:pPr>
      <w:r w:rsidRPr="00990EBD">
        <w:rPr>
          <w:rFonts w:ascii="Verdana" w:hAnsi="Verdana"/>
          <w:sz w:val="20"/>
          <w:szCs w:val="20"/>
        </w:rPr>
        <w:t>Les interprétations liées aux aspects techniques où les auditeurs n’ont certainement pas</w:t>
      </w:r>
      <w:r w:rsidRPr="00990EBD">
        <w:rPr>
          <w:rFonts w:ascii="Verdana" w:hAnsi="Verdana"/>
          <w:spacing w:val="-20"/>
          <w:sz w:val="20"/>
          <w:szCs w:val="20"/>
        </w:rPr>
        <w:t xml:space="preserve"> </w:t>
      </w:r>
      <w:r w:rsidRPr="00990EBD">
        <w:rPr>
          <w:rFonts w:ascii="Verdana" w:hAnsi="Verdana"/>
          <w:sz w:val="20"/>
          <w:szCs w:val="20"/>
        </w:rPr>
        <w:t>de</w:t>
      </w:r>
      <w:r w:rsidRPr="00990EBD">
        <w:rPr>
          <w:rFonts w:ascii="Verdana" w:hAnsi="Verdana"/>
          <w:spacing w:val="-19"/>
          <w:sz w:val="20"/>
          <w:szCs w:val="20"/>
        </w:rPr>
        <w:t xml:space="preserve"> </w:t>
      </w:r>
      <w:r w:rsidRPr="00990EBD">
        <w:rPr>
          <w:rFonts w:ascii="Verdana" w:hAnsi="Verdana"/>
          <w:sz w:val="20"/>
          <w:szCs w:val="20"/>
        </w:rPr>
        <w:t>compétence</w:t>
      </w:r>
      <w:r w:rsidRPr="00990EBD">
        <w:rPr>
          <w:rFonts w:ascii="Verdana" w:hAnsi="Verdana"/>
          <w:spacing w:val="-19"/>
          <w:sz w:val="20"/>
          <w:szCs w:val="20"/>
        </w:rPr>
        <w:t xml:space="preserve"> </w:t>
      </w:r>
      <w:r w:rsidRPr="00990EBD">
        <w:rPr>
          <w:rFonts w:ascii="Verdana" w:hAnsi="Verdana"/>
          <w:sz w:val="20"/>
          <w:szCs w:val="20"/>
        </w:rPr>
        <w:t>pour</w:t>
      </w:r>
      <w:r w:rsidRPr="00990EBD">
        <w:rPr>
          <w:rFonts w:ascii="Verdana" w:hAnsi="Verdana"/>
          <w:spacing w:val="-19"/>
          <w:sz w:val="20"/>
          <w:szCs w:val="20"/>
        </w:rPr>
        <w:t xml:space="preserve"> </w:t>
      </w:r>
      <w:r w:rsidRPr="00990EBD">
        <w:rPr>
          <w:rFonts w:ascii="Verdana" w:hAnsi="Verdana"/>
          <w:sz w:val="20"/>
          <w:szCs w:val="20"/>
        </w:rPr>
        <w:t>déclarer</w:t>
      </w:r>
      <w:r w:rsidRPr="00990EBD">
        <w:rPr>
          <w:rFonts w:ascii="Verdana" w:hAnsi="Verdana"/>
          <w:spacing w:val="-20"/>
          <w:sz w:val="20"/>
          <w:szCs w:val="20"/>
        </w:rPr>
        <w:t xml:space="preserve"> </w:t>
      </w:r>
      <w:r w:rsidRPr="00990EBD">
        <w:rPr>
          <w:rFonts w:ascii="Verdana" w:hAnsi="Verdana"/>
          <w:sz w:val="20"/>
          <w:szCs w:val="20"/>
        </w:rPr>
        <w:t>les</w:t>
      </w:r>
      <w:r w:rsidRPr="00990EBD">
        <w:rPr>
          <w:rFonts w:ascii="Verdana" w:hAnsi="Verdana"/>
          <w:spacing w:val="-19"/>
          <w:sz w:val="20"/>
          <w:szCs w:val="20"/>
        </w:rPr>
        <w:t xml:space="preserve"> </w:t>
      </w:r>
      <w:r w:rsidRPr="00990EBD">
        <w:rPr>
          <w:rFonts w:ascii="Verdana" w:hAnsi="Verdana"/>
          <w:sz w:val="20"/>
          <w:szCs w:val="20"/>
        </w:rPr>
        <w:t>dépenses</w:t>
      </w:r>
      <w:r w:rsidRPr="00990EBD">
        <w:rPr>
          <w:rFonts w:ascii="Verdana" w:hAnsi="Verdana"/>
          <w:spacing w:val="-19"/>
          <w:sz w:val="20"/>
          <w:szCs w:val="20"/>
        </w:rPr>
        <w:t xml:space="preserve"> </w:t>
      </w:r>
      <w:r w:rsidRPr="00990EBD">
        <w:rPr>
          <w:rFonts w:ascii="Verdana" w:hAnsi="Verdana"/>
          <w:sz w:val="20"/>
          <w:szCs w:val="20"/>
        </w:rPr>
        <w:t>inéligibles</w:t>
      </w:r>
      <w:r w:rsidRPr="00990EBD">
        <w:rPr>
          <w:rFonts w:ascii="Verdana" w:hAnsi="Verdana"/>
          <w:spacing w:val="-19"/>
          <w:sz w:val="20"/>
          <w:szCs w:val="20"/>
        </w:rPr>
        <w:t xml:space="preserve"> </w:t>
      </w:r>
      <w:r w:rsidRPr="00990EBD">
        <w:rPr>
          <w:rFonts w:ascii="Verdana" w:hAnsi="Verdana"/>
          <w:sz w:val="20"/>
          <w:szCs w:val="20"/>
        </w:rPr>
        <w:t>(ex.</w:t>
      </w:r>
      <w:r w:rsidRPr="00990EBD">
        <w:rPr>
          <w:rFonts w:ascii="Verdana" w:hAnsi="Verdana"/>
          <w:spacing w:val="-19"/>
          <w:sz w:val="20"/>
          <w:szCs w:val="20"/>
        </w:rPr>
        <w:t xml:space="preserve"> </w:t>
      </w:r>
      <w:r w:rsidRPr="00990EBD">
        <w:rPr>
          <w:rFonts w:ascii="Verdana" w:hAnsi="Verdana"/>
          <w:sz w:val="20"/>
          <w:szCs w:val="20"/>
        </w:rPr>
        <w:t>quand</w:t>
      </w:r>
      <w:r w:rsidRPr="00990EBD">
        <w:rPr>
          <w:rFonts w:ascii="Verdana" w:hAnsi="Verdana"/>
          <w:spacing w:val="-20"/>
          <w:sz w:val="20"/>
          <w:szCs w:val="20"/>
        </w:rPr>
        <w:t xml:space="preserve"> </w:t>
      </w:r>
      <w:r w:rsidRPr="00990EBD">
        <w:rPr>
          <w:rFonts w:ascii="Verdana" w:hAnsi="Verdana"/>
          <w:sz w:val="20"/>
          <w:szCs w:val="20"/>
        </w:rPr>
        <w:t>changer</w:t>
      </w:r>
      <w:r w:rsidRPr="00990EBD">
        <w:rPr>
          <w:rFonts w:ascii="Verdana" w:hAnsi="Verdana"/>
          <w:spacing w:val="-19"/>
          <w:sz w:val="20"/>
          <w:szCs w:val="20"/>
        </w:rPr>
        <w:t xml:space="preserve"> </w:t>
      </w:r>
      <w:r w:rsidRPr="00990EBD">
        <w:rPr>
          <w:rFonts w:ascii="Verdana" w:hAnsi="Verdana"/>
          <w:sz w:val="20"/>
          <w:szCs w:val="20"/>
        </w:rPr>
        <w:t>les</w:t>
      </w:r>
      <w:r w:rsidRPr="00990EBD">
        <w:rPr>
          <w:rFonts w:ascii="Verdana" w:hAnsi="Verdana"/>
          <w:spacing w:val="-19"/>
          <w:sz w:val="20"/>
          <w:szCs w:val="20"/>
        </w:rPr>
        <w:t xml:space="preserve"> </w:t>
      </w:r>
      <w:r w:rsidRPr="00990EBD">
        <w:rPr>
          <w:rFonts w:ascii="Verdana" w:hAnsi="Verdana"/>
          <w:sz w:val="20"/>
          <w:szCs w:val="20"/>
        </w:rPr>
        <w:t>pneus, vérifier</w:t>
      </w:r>
      <w:r w:rsidRPr="00990EBD">
        <w:rPr>
          <w:rFonts w:ascii="Verdana" w:hAnsi="Verdana"/>
          <w:spacing w:val="-12"/>
          <w:sz w:val="20"/>
          <w:szCs w:val="20"/>
        </w:rPr>
        <w:t xml:space="preserve"> </w:t>
      </w:r>
      <w:r w:rsidRPr="00990EBD">
        <w:rPr>
          <w:rFonts w:ascii="Verdana" w:hAnsi="Verdana"/>
          <w:sz w:val="20"/>
          <w:szCs w:val="20"/>
        </w:rPr>
        <w:t>la</w:t>
      </w:r>
      <w:r w:rsidRPr="00990EBD">
        <w:rPr>
          <w:rFonts w:ascii="Verdana" w:hAnsi="Verdana"/>
          <w:spacing w:val="-11"/>
          <w:sz w:val="20"/>
          <w:szCs w:val="20"/>
        </w:rPr>
        <w:t xml:space="preserve"> </w:t>
      </w:r>
      <w:r w:rsidRPr="00990EBD">
        <w:rPr>
          <w:rFonts w:ascii="Verdana" w:hAnsi="Verdana"/>
          <w:sz w:val="20"/>
          <w:szCs w:val="20"/>
        </w:rPr>
        <w:t>capacité</w:t>
      </w:r>
      <w:r w:rsidRPr="00990EBD">
        <w:rPr>
          <w:rFonts w:ascii="Verdana" w:hAnsi="Verdana"/>
          <w:spacing w:val="-11"/>
          <w:sz w:val="20"/>
          <w:szCs w:val="20"/>
        </w:rPr>
        <w:t xml:space="preserve"> </w:t>
      </w:r>
      <w:r w:rsidRPr="00990EBD">
        <w:rPr>
          <w:rFonts w:ascii="Verdana" w:hAnsi="Verdana"/>
          <w:sz w:val="20"/>
          <w:szCs w:val="20"/>
        </w:rPr>
        <w:t>des</w:t>
      </w:r>
      <w:r w:rsidRPr="00990EBD">
        <w:rPr>
          <w:rFonts w:ascii="Verdana" w:hAnsi="Verdana"/>
          <w:spacing w:val="-11"/>
          <w:sz w:val="20"/>
          <w:szCs w:val="20"/>
        </w:rPr>
        <w:t xml:space="preserve"> </w:t>
      </w:r>
      <w:r w:rsidRPr="00990EBD">
        <w:rPr>
          <w:rFonts w:ascii="Verdana" w:hAnsi="Verdana"/>
          <w:sz w:val="20"/>
          <w:szCs w:val="20"/>
        </w:rPr>
        <w:t>climatiseurs</w:t>
      </w:r>
      <w:r w:rsidRPr="00990EBD">
        <w:rPr>
          <w:rFonts w:ascii="Verdana" w:hAnsi="Verdana"/>
          <w:spacing w:val="-11"/>
          <w:sz w:val="20"/>
          <w:szCs w:val="20"/>
        </w:rPr>
        <w:t xml:space="preserve"> </w:t>
      </w:r>
      <w:r w:rsidRPr="00990EBD">
        <w:rPr>
          <w:rFonts w:ascii="Verdana" w:hAnsi="Verdana"/>
          <w:sz w:val="20"/>
          <w:szCs w:val="20"/>
        </w:rPr>
        <w:t>ou</w:t>
      </w:r>
      <w:r w:rsidRPr="00990EBD">
        <w:rPr>
          <w:rFonts w:ascii="Verdana" w:hAnsi="Verdana"/>
          <w:spacing w:val="-12"/>
          <w:sz w:val="20"/>
          <w:szCs w:val="20"/>
        </w:rPr>
        <w:t xml:space="preserve"> </w:t>
      </w:r>
      <w:r w:rsidRPr="00990EBD">
        <w:rPr>
          <w:rFonts w:ascii="Verdana" w:hAnsi="Verdana"/>
          <w:sz w:val="20"/>
          <w:szCs w:val="20"/>
        </w:rPr>
        <w:t>décider</w:t>
      </w:r>
      <w:r w:rsidRPr="00990EBD">
        <w:rPr>
          <w:rFonts w:ascii="Verdana" w:hAnsi="Verdana"/>
          <w:spacing w:val="-11"/>
          <w:sz w:val="20"/>
          <w:szCs w:val="20"/>
        </w:rPr>
        <w:t xml:space="preserve"> </w:t>
      </w:r>
      <w:r w:rsidRPr="00990EBD">
        <w:rPr>
          <w:rFonts w:ascii="Verdana" w:hAnsi="Verdana"/>
          <w:sz w:val="20"/>
          <w:szCs w:val="20"/>
        </w:rPr>
        <w:t>que</w:t>
      </w:r>
      <w:r w:rsidRPr="00990EBD">
        <w:rPr>
          <w:rFonts w:ascii="Verdana" w:hAnsi="Verdana"/>
          <w:spacing w:val="-12"/>
          <w:sz w:val="20"/>
          <w:szCs w:val="20"/>
        </w:rPr>
        <w:t xml:space="preserve"> </w:t>
      </w:r>
      <w:r w:rsidRPr="00990EBD">
        <w:rPr>
          <w:rFonts w:ascii="Verdana" w:hAnsi="Verdana"/>
          <w:sz w:val="20"/>
          <w:szCs w:val="20"/>
        </w:rPr>
        <w:t>la</w:t>
      </w:r>
      <w:r w:rsidRPr="00990EBD">
        <w:rPr>
          <w:rFonts w:ascii="Verdana" w:hAnsi="Verdana"/>
          <w:spacing w:val="-11"/>
          <w:sz w:val="20"/>
          <w:szCs w:val="20"/>
        </w:rPr>
        <w:t xml:space="preserve"> </w:t>
      </w:r>
      <w:r w:rsidRPr="00990EBD">
        <w:rPr>
          <w:rFonts w:ascii="Verdana" w:hAnsi="Verdana"/>
          <w:sz w:val="20"/>
          <w:szCs w:val="20"/>
        </w:rPr>
        <w:t>thématique</w:t>
      </w:r>
      <w:r w:rsidRPr="00990EBD">
        <w:rPr>
          <w:rFonts w:ascii="Verdana" w:hAnsi="Verdana"/>
          <w:spacing w:val="-12"/>
          <w:sz w:val="20"/>
          <w:szCs w:val="20"/>
        </w:rPr>
        <w:t xml:space="preserve"> </w:t>
      </w:r>
      <w:r w:rsidRPr="00990EBD">
        <w:rPr>
          <w:rFonts w:ascii="Verdana" w:hAnsi="Verdana"/>
          <w:sz w:val="20"/>
          <w:szCs w:val="20"/>
        </w:rPr>
        <w:t>d’une</w:t>
      </w:r>
      <w:r w:rsidRPr="00990EBD">
        <w:rPr>
          <w:rFonts w:ascii="Verdana" w:hAnsi="Verdana"/>
          <w:spacing w:val="-12"/>
          <w:sz w:val="20"/>
          <w:szCs w:val="20"/>
        </w:rPr>
        <w:t xml:space="preserve"> </w:t>
      </w:r>
      <w:r w:rsidRPr="00990EBD">
        <w:rPr>
          <w:rFonts w:ascii="Verdana" w:hAnsi="Verdana"/>
          <w:sz w:val="20"/>
          <w:szCs w:val="20"/>
        </w:rPr>
        <w:t>étude</w:t>
      </w:r>
      <w:r w:rsidRPr="00990EBD">
        <w:rPr>
          <w:rFonts w:ascii="Verdana" w:hAnsi="Verdana"/>
          <w:spacing w:val="-11"/>
          <w:sz w:val="20"/>
          <w:szCs w:val="20"/>
        </w:rPr>
        <w:t xml:space="preserve"> </w:t>
      </w:r>
      <w:r w:rsidRPr="00990EBD">
        <w:rPr>
          <w:rFonts w:ascii="Verdana" w:hAnsi="Verdana"/>
          <w:sz w:val="20"/>
          <w:szCs w:val="20"/>
        </w:rPr>
        <w:t>ou</w:t>
      </w:r>
      <w:r w:rsidRPr="00990EBD">
        <w:rPr>
          <w:rFonts w:ascii="Verdana" w:hAnsi="Verdana"/>
          <w:spacing w:val="-12"/>
          <w:sz w:val="20"/>
          <w:szCs w:val="20"/>
        </w:rPr>
        <w:t xml:space="preserve"> </w:t>
      </w:r>
      <w:r w:rsidRPr="00990EBD">
        <w:rPr>
          <w:rFonts w:ascii="Verdana" w:hAnsi="Verdana"/>
          <w:sz w:val="20"/>
          <w:szCs w:val="20"/>
        </w:rPr>
        <w:t>atelier est hors contexte bien que le chef de projet affirme le contraire)</w:t>
      </w:r>
      <w:r w:rsidRPr="00990EBD">
        <w:rPr>
          <w:rFonts w:ascii="Verdana" w:hAnsi="Verdana"/>
          <w:spacing w:val="-14"/>
          <w:sz w:val="20"/>
          <w:szCs w:val="20"/>
        </w:rPr>
        <w:t xml:space="preserve"> </w:t>
      </w:r>
      <w:r w:rsidRPr="00990EBD">
        <w:rPr>
          <w:rFonts w:ascii="Verdana" w:hAnsi="Verdana"/>
          <w:sz w:val="20"/>
          <w:szCs w:val="20"/>
        </w:rPr>
        <w:t>;</w:t>
      </w:r>
    </w:p>
    <w:p w14:paraId="37A4F917" w14:textId="77777777" w:rsidR="00317B1F" w:rsidRPr="00990EBD" w:rsidRDefault="00317B1F" w:rsidP="00890675">
      <w:pPr>
        <w:pStyle w:val="Paragraphedeliste"/>
        <w:widowControl w:val="0"/>
        <w:numPr>
          <w:ilvl w:val="0"/>
          <w:numId w:val="38"/>
        </w:numPr>
        <w:tabs>
          <w:tab w:val="left" w:pos="866"/>
        </w:tabs>
        <w:autoSpaceDE w:val="0"/>
        <w:autoSpaceDN w:val="0"/>
        <w:spacing w:after="120" w:line="276" w:lineRule="auto"/>
        <w:ind w:right="227"/>
        <w:contextualSpacing w:val="0"/>
        <w:jc w:val="both"/>
        <w:rPr>
          <w:rFonts w:ascii="Verdana" w:hAnsi="Verdana"/>
          <w:sz w:val="20"/>
          <w:szCs w:val="20"/>
        </w:rPr>
      </w:pPr>
      <w:r w:rsidRPr="00990EBD">
        <w:rPr>
          <w:rFonts w:ascii="Verdana" w:hAnsi="Verdana"/>
          <w:sz w:val="20"/>
          <w:szCs w:val="20"/>
        </w:rPr>
        <w:t>La DUE à l’époque s’est montrée particulièrement intraitable vis-à-vis des inéligibilités qui sont survenues mais qui étaient hors du contrôle de le COI (ex. les frais d’annulation de billets d’avion quand un participant tombe malade, la TVA dans les pays où le recouvrement est quasi</w:t>
      </w:r>
      <w:r w:rsidRPr="00990EBD">
        <w:rPr>
          <w:rFonts w:ascii="Verdana" w:hAnsi="Verdana"/>
          <w:spacing w:val="-4"/>
          <w:sz w:val="20"/>
          <w:szCs w:val="20"/>
        </w:rPr>
        <w:t xml:space="preserve"> </w:t>
      </w:r>
      <w:r w:rsidRPr="00990EBD">
        <w:rPr>
          <w:rFonts w:ascii="Verdana" w:hAnsi="Verdana"/>
          <w:sz w:val="20"/>
          <w:szCs w:val="20"/>
        </w:rPr>
        <w:t>impossible).</w:t>
      </w:r>
    </w:p>
    <w:p w14:paraId="4EF4ABC4" w14:textId="77777777" w:rsidR="00317B1F" w:rsidRPr="00990EBD" w:rsidRDefault="00317B1F" w:rsidP="00890675">
      <w:pPr>
        <w:pStyle w:val="Paragraphedeliste"/>
        <w:widowControl w:val="0"/>
        <w:numPr>
          <w:ilvl w:val="0"/>
          <w:numId w:val="38"/>
        </w:numPr>
        <w:tabs>
          <w:tab w:val="left" w:pos="866"/>
        </w:tabs>
        <w:autoSpaceDE w:val="0"/>
        <w:autoSpaceDN w:val="0"/>
        <w:spacing w:after="120" w:line="276" w:lineRule="auto"/>
        <w:ind w:right="224"/>
        <w:contextualSpacing w:val="0"/>
        <w:jc w:val="both"/>
        <w:rPr>
          <w:rFonts w:ascii="Verdana" w:hAnsi="Verdana"/>
          <w:sz w:val="20"/>
          <w:szCs w:val="20"/>
        </w:rPr>
      </w:pPr>
      <w:r w:rsidRPr="00990EBD">
        <w:rPr>
          <w:rFonts w:ascii="Verdana" w:hAnsi="Verdana"/>
          <w:sz w:val="20"/>
          <w:szCs w:val="20"/>
        </w:rPr>
        <w:t>L’imposition</w:t>
      </w:r>
      <w:r w:rsidRPr="00990EBD">
        <w:rPr>
          <w:rFonts w:ascii="Verdana" w:hAnsi="Verdana"/>
          <w:spacing w:val="-12"/>
          <w:sz w:val="20"/>
          <w:szCs w:val="20"/>
        </w:rPr>
        <w:t xml:space="preserve"> </w:t>
      </w:r>
      <w:r w:rsidRPr="00990EBD">
        <w:rPr>
          <w:rFonts w:ascii="Verdana" w:hAnsi="Verdana"/>
          <w:sz w:val="20"/>
          <w:szCs w:val="20"/>
        </w:rPr>
        <w:t>des</w:t>
      </w:r>
      <w:r w:rsidRPr="00990EBD">
        <w:rPr>
          <w:rFonts w:ascii="Verdana" w:hAnsi="Verdana"/>
          <w:spacing w:val="-11"/>
          <w:sz w:val="20"/>
          <w:szCs w:val="20"/>
        </w:rPr>
        <w:t xml:space="preserve"> </w:t>
      </w:r>
      <w:r w:rsidRPr="00990EBD">
        <w:rPr>
          <w:rFonts w:ascii="Verdana" w:hAnsi="Verdana"/>
          <w:sz w:val="20"/>
          <w:szCs w:val="20"/>
        </w:rPr>
        <w:t>nouvelles</w:t>
      </w:r>
      <w:r w:rsidRPr="00990EBD">
        <w:rPr>
          <w:rFonts w:ascii="Verdana" w:hAnsi="Verdana"/>
          <w:spacing w:val="-10"/>
          <w:sz w:val="20"/>
          <w:szCs w:val="20"/>
        </w:rPr>
        <w:t xml:space="preserve"> </w:t>
      </w:r>
      <w:r w:rsidRPr="00990EBD">
        <w:rPr>
          <w:rFonts w:ascii="Verdana" w:hAnsi="Verdana"/>
          <w:sz w:val="20"/>
          <w:szCs w:val="20"/>
        </w:rPr>
        <w:t>modalités</w:t>
      </w:r>
      <w:r w:rsidRPr="00990EBD">
        <w:rPr>
          <w:rFonts w:ascii="Verdana" w:hAnsi="Verdana"/>
          <w:spacing w:val="-11"/>
          <w:sz w:val="20"/>
          <w:szCs w:val="20"/>
        </w:rPr>
        <w:t xml:space="preserve"> </w:t>
      </w:r>
      <w:r w:rsidRPr="00990EBD">
        <w:rPr>
          <w:rFonts w:ascii="Verdana" w:hAnsi="Verdana"/>
          <w:sz w:val="20"/>
          <w:szCs w:val="20"/>
        </w:rPr>
        <w:t>pour</w:t>
      </w:r>
      <w:r w:rsidRPr="00990EBD">
        <w:rPr>
          <w:rFonts w:ascii="Verdana" w:hAnsi="Verdana"/>
          <w:spacing w:val="-10"/>
          <w:sz w:val="20"/>
          <w:szCs w:val="20"/>
        </w:rPr>
        <w:t xml:space="preserve"> </w:t>
      </w:r>
      <w:r w:rsidRPr="00990EBD">
        <w:rPr>
          <w:rFonts w:ascii="Verdana" w:hAnsi="Verdana"/>
          <w:sz w:val="20"/>
          <w:szCs w:val="20"/>
        </w:rPr>
        <w:t>le</w:t>
      </w:r>
      <w:r w:rsidRPr="00990EBD">
        <w:rPr>
          <w:rFonts w:ascii="Verdana" w:hAnsi="Verdana"/>
          <w:spacing w:val="-11"/>
          <w:sz w:val="20"/>
          <w:szCs w:val="20"/>
        </w:rPr>
        <w:t xml:space="preserve"> </w:t>
      </w:r>
      <w:r w:rsidRPr="00990EBD">
        <w:rPr>
          <w:rFonts w:ascii="Verdana" w:hAnsi="Verdana"/>
          <w:sz w:val="20"/>
          <w:szCs w:val="20"/>
        </w:rPr>
        <w:t>paiement</w:t>
      </w:r>
      <w:r w:rsidRPr="00990EBD">
        <w:rPr>
          <w:rFonts w:ascii="Verdana" w:hAnsi="Verdana"/>
          <w:spacing w:val="-10"/>
          <w:sz w:val="20"/>
          <w:szCs w:val="20"/>
        </w:rPr>
        <w:t xml:space="preserve"> </w:t>
      </w:r>
      <w:r w:rsidRPr="00990EBD">
        <w:rPr>
          <w:rFonts w:ascii="Verdana" w:hAnsi="Verdana"/>
          <w:sz w:val="20"/>
          <w:szCs w:val="20"/>
        </w:rPr>
        <w:t>du</w:t>
      </w:r>
      <w:r w:rsidRPr="00990EBD">
        <w:rPr>
          <w:rFonts w:ascii="Verdana" w:hAnsi="Verdana"/>
          <w:spacing w:val="-12"/>
          <w:sz w:val="20"/>
          <w:szCs w:val="20"/>
        </w:rPr>
        <w:t xml:space="preserve"> </w:t>
      </w:r>
      <w:r w:rsidRPr="00990EBD">
        <w:rPr>
          <w:rFonts w:ascii="Verdana" w:hAnsi="Verdana"/>
          <w:sz w:val="20"/>
          <w:szCs w:val="20"/>
        </w:rPr>
        <w:t>taux</w:t>
      </w:r>
      <w:r w:rsidRPr="00990EBD">
        <w:rPr>
          <w:rFonts w:ascii="Verdana" w:hAnsi="Verdana"/>
          <w:spacing w:val="-11"/>
          <w:sz w:val="20"/>
          <w:szCs w:val="20"/>
        </w:rPr>
        <w:t xml:space="preserve"> </w:t>
      </w:r>
      <w:r w:rsidRPr="00990EBD">
        <w:rPr>
          <w:rFonts w:ascii="Verdana" w:hAnsi="Verdana"/>
          <w:sz w:val="20"/>
          <w:szCs w:val="20"/>
        </w:rPr>
        <w:t>de</w:t>
      </w:r>
      <w:r w:rsidRPr="00990EBD">
        <w:rPr>
          <w:rFonts w:ascii="Verdana" w:hAnsi="Verdana"/>
          <w:spacing w:val="-10"/>
          <w:sz w:val="20"/>
          <w:szCs w:val="20"/>
        </w:rPr>
        <w:t xml:space="preserve"> </w:t>
      </w:r>
      <w:r w:rsidRPr="00780538">
        <w:rPr>
          <w:rFonts w:ascii="Verdana" w:hAnsi="Verdana"/>
          <w:i/>
          <w:iCs/>
          <w:sz w:val="20"/>
          <w:szCs w:val="20"/>
        </w:rPr>
        <w:t>per</w:t>
      </w:r>
      <w:r w:rsidRPr="00780538">
        <w:rPr>
          <w:rFonts w:ascii="Verdana" w:hAnsi="Verdana"/>
          <w:i/>
          <w:iCs/>
          <w:spacing w:val="-11"/>
          <w:sz w:val="20"/>
          <w:szCs w:val="20"/>
        </w:rPr>
        <w:t xml:space="preserve"> </w:t>
      </w:r>
      <w:r w:rsidRPr="00780538">
        <w:rPr>
          <w:rFonts w:ascii="Verdana" w:hAnsi="Verdana"/>
          <w:i/>
          <w:iCs/>
          <w:sz w:val="20"/>
          <w:szCs w:val="20"/>
        </w:rPr>
        <w:t>diem</w:t>
      </w:r>
      <w:r w:rsidRPr="00990EBD">
        <w:rPr>
          <w:rFonts w:ascii="Verdana" w:hAnsi="Verdana"/>
          <w:spacing w:val="-11"/>
          <w:sz w:val="20"/>
          <w:szCs w:val="20"/>
        </w:rPr>
        <w:t xml:space="preserve"> </w:t>
      </w:r>
      <w:r w:rsidRPr="00990EBD">
        <w:rPr>
          <w:rFonts w:ascii="Verdana" w:hAnsi="Verdana"/>
          <w:sz w:val="20"/>
          <w:szCs w:val="20"/>
        </w:rPr>
        <w:t>réservé</w:t>
      </w:r>
      <w:r w:rsidRPr="00990EBD">
        <w:rPr>
          <w:rFonts w:ascii="Verdana" w:hAnsi="Verdana"/>
          <w:spacing w:val="-11"/>
          <w:sz w:val="20"/>
          <w:szCs w:val="20"/>
        </w:rPr>
        <w:t xml:space="preserve"> </w:t>
      </w:r>
      <w:r w:rsidRPr="00990EBD">
        <w:rPr>
          <w:rFonts w:ascii="Verdana" w:hAnsi="Verdana"/>
          <w:sz w:val="20"/>
          <w:szCs w:val="20"/>
        </w:rPr>
        <w:t xml:space="preserve">aux personnels de l’Union européenne que la COI était obligé d’appliquer aux missionnaires de la COI. Ce mode de paiement basés sur les factures et heures de voyage a engendré </w:t>
      </w:r>
      <w:r w:rsidRPr="00990EBD">
        <w:rPr>
          <w:rFonts w:ascii="Verdana" w:hAnsi="Verdana"/>
          <w:spacing w:val="-2"/>
          <w:sz w:val="20"/>
          <w:szCs w:val="20"/>
        </w:rPr>
        <w:t xml:space="preserve">des </w:t>
      </w:r>
      <w:r w:rsidRPr="00990EBD">
        <w:rPr>
          <w:rFonts w:ascii="Verdana" w:hAnsi="Verdana"/>
          <w:sz w:val="20"/>
          <w:szCs w:val="20"/>
        </w:rPr>
        <w:t>inéligibilités dans son application car cela demande plus de travail de la part des gestionnaires et comporte plus de risques au lieu du paiement forfaitaire aux taux officiels de l’</w:t>
      </w:r>
      <w:proofErr w:type="spellStart"/>
      <w:r w:rsidRPr="00990EBD">
        <w:rPr>
          <w:rFonts w:ascii="Verdana" w:hAnsi="Verdana"/>
          <w:sz w:val="20"/>
          <w:szCs w:val="20"/>
        </w:rPr>
        <w:t>EuropeAid</w:t>
      </w:r>
      <w:proofErr w:type="spellEnd"/>
      <w:r w:rsidRPr="00990EBD">
        <w:rPr>
          <w:rFonts w:ascii="Verdana" w:hAnsi="Verdana"/>
          <w:sz w:val="20"/>
          <w:szCs w:val="20"/>
        </w:rPr>
        <w:t xml:space="preserve"> tels que stipulé dans les conventions de</w:t>
      </w:r>
      <w:r w:rsidRPr="00990EBD">
        <w:rPr>
          <w:rFonts w:ascii="Verdana" w:hAnsi="Verdana"/>
          <w:spacing w:val="-16"/>
          <w:sz w:val="20"/>
          <w:szCs w:val="20"/>
        </w:rPr>
        <w:t xml:space="preserve"> </w:t>
      </w:r>
      <w:r w:rsidRPr="00990EBD">
        <w:rPr>
          <w:rFonts w:ascii="Verdana" w:hAnsi="Verdana"/>
          <w:sz w:val="20"/>
          <w:szCs w:val="20"/>
        </w:rPr>
        <w:t>financement.</w:t>
      </w:r>
    </w:p>
    <w:p w14:paraId="1B6E51D3" w14:textId="1DDD4D0C" w:rsidR="00317B1F" w:rsidRPr="00990EBD" w:rsidRDefault="00317B1F" w:rsidP="00890675">
      <w:pPr>
        <w:pStyle w:val="Paragraphedeliste"/>
        <w:widowControl w:val="0"/>
        <w:numPr>
          <w:ilvl w:val="0"/>
          <w:numId w:val="38"/>
        </w:numPr>
        <w:tabs>
          <w:tab w:val="left" w:pos="866"/>
        </w:tabs>
        <w:autoSpaceDE w:val="0"/>
        <w:autoSpaceDN w:val="0"/>
        <w:spacing w:after="120" w:line="276" w:lineRule="auto"/>
        <w:ind w:right="224"/>
        <w:contextualSpacing w:val="0"/>
        <w:jc w:val="both"/>
        <w:rPr>
          <w:rFonts w:ascii="Verdana" w:hAnsi="Verdana"/>
          <w:sz w:val="20"/>
          <w:szCs w:val="20"/>
        </w:rPr>
      </w:pPr>
      <w:r w:rsidRPr="00990EBD">
        <w:rPr>
          <w:rFonts w:ascii="Verdana" w:hAnsi="Verdana"/>
          <w:sz w:val="20"/>
          <w:szCs w:val="20"/>
        </w:rPr>
        <w:t>Les</w:t>
      </w:r>
      <w:r w:rsidRPr="00990EBD">
        <w:rPr>
          <w:rFonts w:ascii="Verdana" w:hAnsi="Verdana"/>
          <w:spacing w:val="-14"/>
          <w:sz w:val="20"/>
          <w:szCs w:val="20"/>
        </w:rPr>
        <w:t xml:space="preserve"> </w:t>
      </w:r>
      <w:r w:rsidRPr="00990EBD">
        <w:rPr>
          <w:rFonts w:ascii="Verdana" w:hAnsi="Verdana"/>
          <w:sz w:val="20"/>
          <w:szCs w:val="20"/>
        </w:rPr>
        <w:t>inéligibilités</w:t>
      </w:r>
      <w:r w:rsidRPr="00990EBD">
        <w:rPr>
          <w:rFonts w:ascii="Verdana" w:hAnsi="Verdana"/>
          <w:spacing w:val="-13"/>
          <w:sz w:val="20"/>
          <w:szCs w:val="20"/>
        </w:rPr>
        <w:t xml:space="preserve"> </w:t>
      </w:r>
      <w:r w:rsidRPr="00990EBD">
        <w:rPr>
          <w:rFonts w:ascii="Verdana" w:hAnsi="Verdana"/>
          <w:sz w:val="20"/>
          <w:szCs w:val="20"/>
        </w:rPr>
        <w:t>n’émanent</w:t>
      </w:r>
      <w:r w:rsidRPr="00990EBD">
        <w:rPr>
          <w:rFonts w:ascii="Verdana" w:hAnsi="Verdana"/>
          <w:spacing w:val="-13"/>
          <w:sz w:val="20"/>
          <w:szCs w:val="20"/>
        </w:rPr>
        <w:t xml:space="preserve"> </w:t>
      </w:r>
      <w:r w:rsidRPr="00990EBD">
        <w:rPr>
          <w:rFonts w:ascii="Verdana" w:hAnsi="Verdana"/>
          <w:sz w:val="20"/>
          <w:szCs w:val="20"/>
        </w:rPr>
        <w:t>pas</w:t>
      </w:r>
      <w:r w:rsidRPr="00990EBD">
        <w:rPr>
          <w:rFonts w:ascii="Verdana" w:hAnsi="Verdana"/>
          <w:spacing w:val="-13"/>
          <w:sz w:val="20"/>
          <w:szCs w:val="20"/>
        </w:rPr>
        <w:t xml:space="preserve"> </w:t>
      </w:r>
      <w:r w:rsidRPr="00990EBD">
        <w:rPr>
          <w:rFonts w:ascii="Verdana" w:hAnsi="Verdana"/>
          <w:sz w:val="20"/>
          <w:szCs w:val="20"/>
        </w:rPr>
        <w:t>des</w:t>
      </w:r>
      <w:r w:rsidRPr="00990EBD">
        <w:rPr>
          <w:rFonts w:ascii="Verdana" w:hAnsi="Verdana"/>
          <w:spacing w:val="-13"/>
          <w:sz w:val="20"/>
          <w:szCs w:val="20"/>
        </w:rPr>
        <w:t xml:space="preserve"> </w:t>
      </w:r>
      <w:r w:rsidRPr="00990EBD">
        <w:rPr>
          <w:rFonts w:ascii="Verdana" w:hAnsi="Verdana"/>
          <w:sz w:val="20"/>
          <w:szCs w:val="20"/>
        </w:rPr>
        <w:t>rapports</w:t>
      </w:r>
      <w:r w:rsidRPr="00990EBD">
        <w:rPr>
          <w:rFonts w:ascii="Verdana" w:hAnsi="Verdana"/>
          <w:spacing w:val="-13"/>
          <w:sz w:val="20"/>
          <w:szCs w:val="20"/>
        </w:rPr>
        <w:t xml:space="preserve"> </w:t>
      </w:r>
      <w:r w:rsidRPr="00990EBD">
        <w:rPr>
          <w:rFonts w:ascii="Verdana" w:hAnsi="Verdana"/>
          <w:sz w:val="20"/>
          <w:szCs w:val="20"/>
        </w:rPr>
        <w:t>d’audit.</w:t>
      </w:r>
      <w:r w:rsidRPr="00990EBD">
        <w:rPr>
          <w:rFonts w:ascii="Verdana" w:hAnsi="Verdana"/>
          <w:spacing w:val="-15"/>
          <w:sz w:val="20"/>
          <w:szCs w:val="20"/>
        </w:rPr>
        <w:t xml:space="preserve"> </w:t>
      </w:r>
    </w:p>
    <w:p w14:paraId="7D14DF24" w14:textId="77777777" w:rsidR="00D142EE" w:rsidRDefault="00D142EE" w:rsidP="00D142EE">
      <w:pPr>
        <w:pStyle w:val="Corpsdetexte"/>
        <w:spacing w:line="276" w:lineRule="auto"/>
        <w:ind w:left="221" w:right="226"/>
        <w:jc w:val="both"/>
      </w:pPr>
    </w:p>
    <w:p w14:paraId="0DBFD784" w14:textId="74D5CF0B" w:rsidR="00D830DE" w:rsidRDefault="00D830DE" w:rsidP="00890675">
      <w:pPr>
        <w:pStyle w:val="Sous-partie2"/>
      </w:pPr>
      <w:r>
        <w:t>Nouvelles inéligibilités</w:t>
      </w:r>
    </w:p>
    <w:p w14:paraId="24C16609" w14:textId="4DE1880C" w:rsidR="00D142EE" w:rsidRPr="00627365" w:rsidRDefault="00D830DE" w:rsidP="00D142EE">
      <w:pPr>
        <w:pStyle w:val="Corpsdetexte"/>
        <w:spacing w:line="276" w:lineRule="auto"/>
        <w:ind w:left="221" w:right="226"/>
        <w:jc w:val="both"/>
      </w:pPr>
      <w:r>
        <w:t>L</w:t>
      </w:r>
      <w:r w:rsidR="00627365">
        <w:t xml:space="preserve">e Secrétariat général de la COI a </w:t>
      </w:r>
      <w:r w:rsidR="00D142EE" w:rsidRPr="00627365">
        <w:t xml:space="preserve">été </w:t>
      </w:r>
      <w:r w:rsidR="00627365" w:rsidRPr="00627365">
        <w:t>informé</w:t>
      </w:r>
      <w:r w:rsidR="00D142EE" w:rsidRPr="00627365">
        <w:t xml:space="preserve"> par lettre du 23 septembre 2024 que de nouvelles inéligibilités sont déclarées sur le projet MASE DP 5 :</w:t>
      </w:r>
    </w:p>
    <w:p w14:paraId="411DBEF0" w14:textId="77777777" w:rsidR="00D830DE" w:rsidRDefault="00D142EE" w:rsidP="00D142EE">
      <w:pPr>
        <w:pStyle w:val="Corpsdetexte"/>
        <w:spacing w:line="276" w:lineRule="auto"/>
        <w:ind w:left="221" w:right="226"/>
        <w:jc w:val="both"/>
      </w:pPr>
      <w:r>
        <w:t xml:space="preserve"> </w:t>
      </w:r>
    </w:p>
    <w:tbl>
      <w:tblPr>
        <w:tblStyle w:val="Grilledutableau"/>
        <w:tblW w:w="0" w:type="auto"/>
        <w:tblInd w:w="221" w:type="dxa"/>
        <w:tblLook w:val="04A0" w:firstRow="1" w:lastRow="0" w:firstColumn="1" w:lastColumn="0" w:noHBand="0" w:noVBand="1"/>
      </w:tblPr>
      <w:tblGrid>
        <w:gridCol w:w="5586"/>
        <w:gridCol w:w="3255"/>
      </w:tblGrid>
      <w:tr w:rsidR="00D830DE" w14:paraId="1839CC54" w14:textId="77777777" w:rsidTr="00317B1F">
        <w:tc>
          <w:tcPr>
            <w:tcW w:w="5586" w:type="dxa"/>
          </w:tcPr>
          <w:p w14:paraId="72E9ACFD" w14:textId="543D70C9" w:rsidR="00D830DE" w:rsidRDefault="00D830DE" w:rsidP="00D142EE">
            <w:pPr>
              <w:pStyle w:val="Corpsdetexte"/>
              <w:spacing w:line="276" w:lineRule="auto"/>
              <w:ind w:right="226"/>
              <w:jc w:val="both"/>
            </w:pPr>
            <w:r>
              <w:t>Contrat consultant cadre d’échanges information maritime</w:t>
            </w:r>
          </w:p>
        </w:tc>
        <w:tc>
          <w:tcPr>
            <w:tcW w:w="3255" w:type="dxa"/>
          </w:tcPr>
          <w:p w14:paraId="099E47EC" w14:textId="023CDCF3" w:rsidR="00D830DE" w:rsidRDefault="00D830DE" w:rsidP="00D142EE">
            <w:pPr>
              <w:pStyle w:val="Corpsdetexte"/>
              <w:spacing w:line="276" w:lineRule="auto"/>
              <w:ind w:right="226"/>
              <w:jc w:val="both"/>
            </w:pPr>
            <w:r>
              <w:t>€ 49 247 (50% du contrat)</w:t>
            </w:r>
          </w:p>
        </w:tc>
      </w:tr>
      <w:tr w:rsidR="00D830DE" w14:paraId="50A84DBE" w14:textId="77777777" w:rsidTr="00317B1F">
        <w:tc>
          <w:tcPr>
            <w:tcW w:w="5586" w:type="dxa"/>
          </w:tcPr>
          <w:p w14:paraId="7C6070B4" w14:textId="21D1AE2C" w:rsidR="00D830DE" w:rsidRDefault="00D830DE" w:rsidP="00D142EE">
            <w:pPr>
              <w:pStyle w:val="Corpsdetexte"/>
              <w:spacing w:line="276" w:lineRule="auto"/>
              <w:ind w:right="226"/>
              <w:jc w:val="both"/>
            </w:pPr>
            <w:r>
              <w:t xml:space="preserve">Contrat consultant CGPCS  </w:t>
            </w:r>
          </w:p>
        </w:tc>
        <w:tc>
          <w:tcPr>
            <w:tcW w:w="3255" w:type="dxa"/>
          </w:tcPr>
          <w:p w14:paraId="1AD0A074" w14:textId="05153596" w:rsidR="00D830DE" w:rsidRDefault="00D830DE" w:rsidP="00D142EE">
            <w:pPr>
              <w:pStyle w:val="Corpsdetexte"/>
              <w:spacing w:line="276" w:lineRule="auto"/>
              <w:ind w:right="226"/>
              <w:jc w:val="both"/>
            </w:pPr>
            <w:r>
              <w:t>€ 15 525</w:t>
            </w:r>
          </w:p>
        </w:tc>
      </w:tr>
      <w:tr w:rsidR="00207255" w14:paraId="36D6C18D" w14:textId="77777777" w:rsidTr="00317B1F">
        <w:tc>
          <w:tcPr>
            <w:tcW w:w="5586" w:type="dxa"/>
          </w:tcPr>
          <w:p w14:paraId="2A90184B" w14:textId="3612C105" w:rsidR="00207255" w:rsidRDefault="00207255" w:rsidP="00D142EE">
            <w:pPr>
              <w:pStyle w:val="Corpsdetexte"/>
              <w:spacing w:line="276" w:lineRule="auto"/>
              <w:ind w:right="226"/>
              <w:jc w:val="both"/>
            </w:pPr>
            <w:r>
              <w:t>Compensation sur MASE DP5</w:t>
            </w:r>
          </w:p>
        </w:tc>
        <w:tc>
          <w:tcPr>
            <w:tcW w:w="3255" w:type="dxa"/>
          </w:tcPr>
          <w:p w14:paraId="7500B2C2" w14:textId="2EF4C4B7" w:rsidR="00207255" w:rsidRDefault="00207255" w:rsidP="00D142EE">
            <w:pPr>
              <w:pStyle w:val="Corpsdetexte"/>
              <w:spacing w:line="276" w:lineRule="auto"/>
              <w:ind w:right="226"/>
              <w:jc w:val="both"/>
            </w:pPr>
            <w:r>
              <w:t>€ 42 744</w:t>
            </w:r>
          </w:p>
        </w:tc>
      </w:tr>
      <w:tr w:rsidR="00D830DE" w14:paraId="129098FB" w14:textId="77777777" w:rsidTr="00317B1F">
        <w:tc>
          <w:tcPr>
            <w:tcW w:w="5586" w:type="dxa"/>
          </w:tcPr>
          <w:p w14:paraId="63BB566D" w14:textId="44454BC4" w:rsidR="00D830DE" w:rsidRDefault="00D830DE" w:rsidP="00D142EE">
            <w:pPr>
              <w:pStyle w:val="Corpsdetexte"/>
              <w:spacing w:line="276" w:lineRule="auto"/>
              <w:ind w:right="226"/>
              <w:jc w:val="both"/>
            </w:pPr>
            <w:r>
              <w:t>Autres TVA etc.</w:t>
            </w:r>
          </w:p>
        </w:tc>
        <w:tc>
          <w:tcPr>
            <w:tcW w:w="3255" w:type="dxa"/>
          </w:tcPr>
          <w:p w14:paraId="24EF7CB9" w14:textId="0A45E85E" w:rsidR="00D830DE" w:rsidRDefault="00D830DE" w:rsidP="00D142EE">
            <w:pPr>
              <w:pStyle w:val="Corpsdetexte"/>
              <w:spacing w:line="276" w:lineRule="auto"/>
              <w:ind w:right="226"/>
              <w:jc w:val="both"/>
            </w:pPr>
            <w:r>
              <w:t>€ 365</w:t>
            </w:r>
          </w:p>
        </w:tc>
      </w:tr>
      <w:tr w:rsidR="00D830DE" w14:paraId="4B005669" w14:textId="77777777" w:rsidTr="00317B1F">
        <w:tc>
          <w:tcPr>
            <w:tcW w:w="5586" w:type="dxa"/>
          </w:tcPr>
          <w:p w14:paraId="50498B82" w14:textId="6A5BCA5B" w:rsidR="00D830DE" w:rsidRPr="00317B1F" w:rsidRDefault="00D830DE" w:rsidP="00D830DE">
            <w:pPr>
              <w:pStyle w:val="Corpsdetexte"/>
              <w:spacing w:line="276" w:lineRule="auto"/>
              <w:ind w:right="226"/>
              <w:jc w:val="right"/>
              <w:rPr>
                <w:b/>
                <w:bCs/>
              </w:rPr>
            </w:pPr>
            <w:r w:rsidRPr="00317B1F">
              <w:rPr>
                <w:b/>
                <w:bCs/>
              </w:rPr>
              <w:t>TOTAL</w:t>
            </w:r>
          </w:p>
        </w:tc>
        <w:tc>
          <w:tcPr>
            <w:tcW w:w="3255" w:type="dxa"/>
          </w:tcPr>
          <w:p w14:paraId="3079C827" w14:textId="602D0129" w:rsidR="00D830DE" w:rsidRPr="00317B1F" w:rsidRDefault="00D830DE" w:rsidP="00D142EE">
            <w:pPr>
              <w:pStyle w:val="Corpsdetexte"/>
              <w:spacing w:line="276" w:lineRule="auto"/>
              <w:ind w:right="226"/>
              <w:jc w:val="both"/>
              <w:rPr>
                <w:b/>
                <w:bCs/>
              </w:rPr>
            </w:pPr>
            <w:r w:rsidRPr="00317B1F">
              <w:rPr>
                <w:b/>
                <w:bCs/>
              </w:rPr>
              <w:t xml:space="preserve">€ </w:t>
            </w:r>
            <w:r w:rsidR="00563C22">
              <w:rPr>
                <w:b/>
                <w:bCs/>
              </w:rPr>
              <w:t>107 881</w:t>
            </w:r>
          </w:p>
        </w:tc>
      </w:tr>
    </w:tbl>
    <w:p w14:paraId="0A42D1F9" w14:textId="0005B485" w:rsidR="00D142EE" w:rsidRPr="00890675" w:rsidRDefault="00317B1F" w:rsidP="00D142EE">
      <w:pPr>
        <w:pStyle w:val="Corpsdetexte"/>
        <w:numPr>
          <w:ilvl w:val="0"/>
          <w:numId w:val="39"/>
        </w:numPr>
        <w:spacing w:before="186"/>
        <w:ind w:right="226"/>
        <w:jc w:val="both"/>
        <w:rPr>
          <w:strike/>
        </w:rPr>
      </w:pPr>
      <w:r>
        <w:t xml:space="preserve">Concernant les dépenses inéligibles </w:t>
      </w:r>
      <w:r w:rsidR="00D142EE" w:rsidRPr="00890675">
        <w:t>du contrat d</w:t>
      </w:r>
      <w:r>
        <w:t>e</w:t>
      </w:r>
      <w:r w:rsidR="00D142EE" w:rsidRPr="00890675">
        <w:t xml:space="preserve"> consultant </w:t>
      </w:r>
      <w:r>
        <w:t>« </w:t>
      </w:r>
      <w:r w:rsidR="00D142EE" w:rsidRPr="00890675">
        <w:t>cadre d’échanges informations maritime</w:t>
      </w:r>
      <w:r>
        <w:t> »</w:t>
      </w:r>
      <w:r w:rsidR="00D142EE" w:rsidRPr="00890675">
        <w:t xml:space="preserve"> cité ci-dessous (€49 247)</w:t>
      </w:r>
      <w:r>
        <w:t>, il apparait que cette inéligibilité est décidée par la DUE sans lien avec les exercices d’audit</w:t>
      </w:r>
      <w:r w:rsidR="00D142EE" w:rsidRPr="00890675">
        <w:t xml:space="preserve">. En effet, le rapport d'audit externe final pour MASE DP 5 en date du 10 avril 2024 ainsi que le rapport d'audit externe provisoire pour MASE DP 6 en date du 21 novembre 2024, tous deux réalisés par Deloitte </w:t>
      </w:r>
      <w:r w:rsidR="00023881" w:rsidRPr="00890675">
        <w:t>Belgique,</w:t>
      </w:r>
      <w:r w:rsidR="00D142EE" w:rsidRPr="00890675">
        <w:t xml:space="preserve"> n’ont pas mentionnés les paiements effectués en faveur de ce contrat comme étant inéligibles. </w:t>
      </w:r>
    </w:p>
    <w:p w14:paraId="407DED56" w14:textId="0E42177D" w:rsidR="00D142EE" w:rsidRPr="00890675" w:rsidRDefault="00D142EE" w:rsidP="00D142EE">
      <w:pPr>
        <w:pStyle w:val="Corpsdetexte"/>
        <w:numPr>
          <w:ilvl w:val="0"/>
          <w:numId w:val="39"/>
        </w:numPr>
        <w:spacing w:before="186"/>
        <w:ind w:right="226"/>
        <w:jc w:val="both"/>
      </w:pPr>
      <w:r w:rsidRPr="00890675">
        <w:t>Concernant le contrat du consultant</w:t>
      </w:r>
      <w:r w:rsidR="00B45F80">
        <w:t xml:space="preserve"> « CGPCS »</w:t>
      </w:r>
      <w:r w:rsidRPr="00890675">
        <w:t xml:space="preserve"> payé sous MASE DP 5 pour € 15525, </w:t>
      </w:r>
      <w:r w:rsidR="00145D42">
        <w:t>il y a eu une faiblesse en référence au</w:t>
      </w:r>
      <w:r w:rsidR="005543E6">
        <w:t>x</w:t>
      </w:r>
      <w:r w:rsidR="00145D42">
        <w:t xml:space="preserve"> recommandations émises par la Délégation de l’UE concernant les</w:t>
      </w:r>
      <w:r w:rsidR="005A2F54">
        <w:t xml:space="preserve"> procédures applicables en fonction du seuil du marché sans qu’il n’y ait eu violation flagrante du document de référence</w:t>
      </w:r>
      <w:r w:rsidR="005543E6">
        <w:t>, notamment dans la Convention de financement du programme MASE,</w:t>
      </w:r>
      <w:r w:rsidR="005A2F54">
        <w:t xml:space="preserve"> que constitue le </w:t>
      </w:r>
      <w:r w:rsidRPr="00890675">
        <w:t>Guide pratique des procédures contractuelles applicables à l’action extérieure de l’Union européenne (PRAG</w:t>
      </w:r>
      <w:proofErr w:type="gramStart"/>
      <w:r w:rsidRPr="00890675">
        <w:t>)</w:t>
      </w:r>
      <w:r w:rsidR="005543E6">
        <w:t xml:space="preserve"> </w:t>
      </w:r>
      <w:r w:rsidR="00434D42">
        <w:t>.</w:t>
      </w:r>
      <w:proofErr w:type="gramEnd"/>
    </w:p>
    <w:p w14:paraId="3A06D8B4" w14:textId="47176C44" w:rsidR="00D142EE" w:rsidRPr="00990EBD" w:rsidRDefault="00D142EE" w:rsidP="00D142EE">
      <w:pPr>
        <w:pStyle w:val="Corpsdetexte"/>
        <w:spacing w:before="186"/>
        <w:ind w:right="226"/>
        <w:jc w:val="both"/>
      </w:pPr>
      <w:r w:rsidRPr="00990EBD">
        <w:t xml:space="preserve">De ce qui précède, la COI a fait parvenir un courrier en date du 7 novembre 2024 à la DUE Maurice. En date du 21 novembre 2024, la DUE </w:t>
      </w:r>
      <w:proofErr w:type="spellStart"/>
      <w:r w:rsidRPr="00990EBD">
        <w:t>a</w:t>
      </w:r>
      <w:proofErr w:type="spellEnd"/>
      <w:r w:rsidRPr="00990EBD">
        <w:t xml:space="preserve"> répondu que les nouve</w:t>
      </w:r>
      <w:r w:rsidR="007D4A8C">
        <w:t>lles</w:t>
      </w:r>
      <w:r w:rsidRPr="00990EBD">
        <w:t xml:space="preserve"> inéligibilités issues du projet MASE seront maintenues et que les intérêts de retard </w:t>
      </w:r>
      <w:r w:rsidRPr="00990EBD">
        <w:lastRenderedPageBreak/>
        <w:t xml:space="preserve">(€12,31/jour) s’accumuleront à partir de la fin de novembre 2024 en cas de </w:t>
      </w:r>
      <w:r w:rsidR="00317B1F" w:rsidRPr="00990EBD">
        <w:t>non-paiement</w:t>
      </w:r>
      <w:r w:rsidRPr="00990EBD">
        <w:t>. La DUE indique que la COI a la possibilité de contester cette position via l’</w:t>
      </w:r>
      <w:proofErr w:type="spellStart"/>
      <w:r w:rsidRPr="00990EBD">
        <w:t>Ombusdman</w:t>
      </w:r>
      <w:proofErr w:type="spellEnd"/>
      <w:r w:rsidRPr="00990EBD">
        <w:t xml:space="preserve"> de la Commission européenne. </w:t>
      </w:r>
    </w:p>
    <w:p w14:paraId="519B6A54" w14:textId="77777777" w:rsidR="00317B1F" w:rsidRDefault="00317B1F" w:rsidP="00D142EE">
      <w:pPr>
        <w:pStyle w:val="Corpsdetexte"/>
        <w:spacing w:before="186"/>
        <w:ind w:right="226"/>
        <w:jc w:val="both"/>
        <w:rPr>
          <w:color w:val="000000" w:themeColor="text1"/>
        </w:rPr>
      </w:pPr>
    </w:p>
    <w:p w14:paraId="508C8E05" w14:textId="3DD5FD91" w:rsidR="00317B1F" w:rsidRDefault="00317B1F" w:rsidP="00890675">
      <w:pPr>
        <w:pStyle w:val="Titrepartie"/>
      </w:pPr>
      <w:r>
        <w:t>Perspectives</w:t>
      </w:r>
    </w:p>
    <w:p w14:paraId="33B450C7" w14:textId="08567800" w:rsidR="00D142EE" w:rsidRPr="00990EBD" w:rsidRDefault="00D142EE" w:rsidP="00D142EE">
      <w:pPr>
        <w:pStyle w:val="Corpsdetexte"/>
        <w:spacing w:before="186"/>
        <w:ind w:right="226"/>
        <w:jc w:val="both"/>
        <w:rPr>
          <w:color w:val="000000" w:themeColor="text1"/>
        </w:rPr>
      </w:pPr>
      <w:r w:rsidRPr="00990EBD">
        <w:rPr>
          <w:color w:val="000000" w:themeColor="text1"/>
        </w:rPr>
        <w:t xml:space="preserve">Concernant </w:t>
      </w:r>
      <w:r w:rsidR="007D4A8C" w:rsidRPr="00990EBD">
        <w:rPr>
          <w:color w:val="000000" w:themeColor="text1"/>
        </w:rPr>
        <w:t>les anciennes inéligibilités</w:t>
      </w:r>
      <w:r w:rsidRPr="00990EBD">
        <w:rPr>
          <w:color w:val="000000" w:themeColor="text1"/>
        </w:rPr>
        <w:t>, une solution avait été convenu</w:t>
      </w:r>
      <w:r w:rsidR="007D4A8C">
        <w:rPr>
          <w:color w:val="000000" w:themeColor="text1"/>
        </w:rPr>
        <w:t>e</w:t>
      </w:r>
      <w:r w:rsidRPr="00990EBD">
        <w:rPr>
          <w:color w:val="000000" w:themeColor="text1"/>
        </w:rPr>
        <w:t xml:space="preserve"> entre les services de la COI et de la DUE afin de faire valoir les contreparties que la COI et ses États membres fourni</w:t>
      </w:r>
      <w:r w:rsidR="00C936A8">
        <w:rPr>
          <w:color w:val="000000" w:themeColor="text1"/>
        </w:rPr>
        <w:t>s</w:t>
      </w:r>
      <w:r w:rsidRPr="00990EBD">
        <w:rPr>
          <w:color w:val="000000" w:themeColor="text1"/>
        </w:rPr>
        <w:t>s</w:t>
      </w:r>
      <w:r w:rsidR="00C936A8">
        <w:rPr>
          <w:color w:val="000000" w:themeColor="text1"/>
        </w:rPr>
        <w:t>ent</w:t>
      </w:r>
      <w:r w:rsidRPr="00990EBD">
        <w:rPr>
          <w:color w:val="000000" w:themeColor="text1"/>
        </w:rPr>
        <w:t xml:space="preserve"> dans le cadre de la mise en œuvre des projets de l’Union européenne que ce soit en nature ou financiers. Pour cela, la COI doit faire apparaitre </w:t>
      </w:r>
      <w:r w:rsidR="00BE7C7F" w:rsidRPr="00990EBD">
        <w:rPr>
          <w:color w:val="000000" w:themeColor="text1"/>
        </w:rPr>
        <w:t xml:space="preserve">les contreparties du SG-COI et </w:t>
      </w:r>
      <w:r w:rsidR="00857AC3">
        <w:rPr>
          <w:color w:val="000000" w:themeColor="text1"/>
        </w:rPr>
        <w:t xml:space="preserve">de </w:t>
      </w:r>
      <w:r w:rsidR="00BE7C7F" w:rsidRPr="00990EBD">
        <w:rPr>
          <w:color w:val="000000" w:themeColor="text1"/>
        </w:rPr>
        <w:t xml:space="preserve">ses États membres pour réduire les dépenses inéligibles </w:t>
      </w:r>
      <w:r w:rsidRPr="00990EBD">
        <w:rPr>
          <w:color w:val="000000" w:themeColor="text1"/>
        </w:rPr>
        <w:t xml:space="preserve">dans les rapports financiers notamment </w:t>
      </w:r>
      <w:r w:rsidR="007B4AD3">
        <w:rPr>
          <w:color w:val="000000" w:themeColor="text1"/>
        </w:rPr>
        <w:t>les activités en cours</w:t>
      </w:r>
      <w:r w:rsidRPr="00990EBD">
        <w:rPr>
          <w:color w:val="000000" w:themeColor="text1"/>
        </w:rPr>
        <w:t xml:space="preserve"> (</w:t>
      </w:r>
      <w:proofErr w:type="spellStart"/>
      <w:r w:rsidRPr="00990EBD">
        <w:rPr>
          <w:color w:val="000000" w:themeColor="text1"/>
        </w:rPr>
        <w:t>Ecofish</w:t>
      </w:r>
      <w:proofErr w:type="spellEnd"/>
      <w:r w:rsidRPr="00990EBD">
        <w:rPr>
          <w:color w:val="000000" w:themeColor="text1"/>
        </w:rPr>
        <w:t>, PSP</w:t>
      </w:r>
      <w:r w:rsidR="007B4AD3">
        <w:rPr>
          <w:color w:val="000000" w:themeColor="text1"/>
        </w:rPr>
        <w:t>,</w:t>
      </w:r>
      <w:r w:rsidRPr="00990EBD">
        <w:rPr>
          <w:color w:val="000000" w:themeColor="text1"/>
        </w:rPr>
        <w:t xml:space="preserve"> etc</w:t>
      </w:r>
      <w:r w:rsidR="007B4AD3">
        <w:rPr>
          <w:color w:val="000000" w:themeColor="text1"/>
        </w:rPr>
        <w:t>.</w:t>
      </w:r>
      <w:r w:rsidRPr="00990EBD">
        <w:rPr>
          <w:color w:val="000000" w:themeColor="text1"/>
        </w:rPr>
        <w:t>). Ces rapports quand ils seront d</w:t>
      </w:r>
      <w:r w:rsidR="007B4AD3">
        <w:rPr>
          <w:color w:val="000000" w:themeColor="text1"/>
        </w:rPr>
        <w:t>us</w:t>
      </w:r>
      <w:r w:rsidRPr="00990EBD">
        <w:rPr>
          <w:color w:val="000000" w:themeColor="text1"/>
        </w:rPr>
        <w:t xml:space="preserve"> intégrer</w:t>
      </w:r>
      <w:r w:rsidR="007B4AD3">
        <w:rPr>
          <w:color w:val="000000" w:themeColor="text1"/>
        </w:rPr>
        <w:t>ont</w:t>
      </w:r>
      <w:r w:rsidRPr="00990EBD">
        <w:rPr>
          <w:color w:val="000000" w:themeColor="text1"/>
        </w:rPr>
        <w:t xml:space="preserve"> ces données qui ser</w:t>
      </w:r>
      <w:r w:rsidR="007B4AD3">
        <w:rPr>
          <w:color w:val="000000" w:themeColor="text1"/>
        </w:rPr>
        <w:t>ont</w:t>
      </w:r>
      <w:r w:rsidRPr="00990EBD">
        <w:rPr>
          <w:color w:val="000000" w:themeColor="text1"/>
        </w:rPr>
        <w:t xml:space="preserve"> comptabilisé</w:t>
      </w:r>
      <w:r w:rsidR="007B4AD3">
        <w:rPr>
          <w:color w:val="000000" w:themeColor="text1"/>
        </w:rPr>
        <w:t>es</w:t>
      </w:r>
      <w:r w:rsidRPr="00990EBD">
        <w:rPr>
          <w:color w:val="000000" w:themeColor="text1"/>
        </w:rPr>
        <w:t xml:space="preserve"> contre le montant des dépenses inéligibles restantes.</w:t>
      </w:r>
    </w:p>
    <w:p w14:paraId="278B9E8A" w14:textId="12A6FF89" w:rsidR="00D142EE" w:rsidRPr="00990EBD" w:rsidRDefault="00D110E6" w:rsidP="00D142EE">
      <w:pPr>
        <w:pStyle w:val="Corpsdetexte"/>
        <w:spacing w:before="186"/>
        <w:ind w:right="226"/>
        <w:jc w:val="both"/>
        <w:rPr>
          <w:color w:val="000000" w:themeColor="text1"/>
        </w:rPr>
      </w:pPr>
      <w:r w:rsidRPr="00990EBD">
        <w:rPr>
          <w:color w:val="000000" w:themeColor="text1"/>
        </w:rPr>
        <w:t>En revanche</w:t>
      </w:r>
      <w:r w:rsidR="00D142EE" w:rsidRPr="00990EBD">
        <w:rPr>
          <w:color w:val="000000" w:themeColor="text1"/>
        </w:rPr>
        <w:t xml:space="preserve">, la COI se retrouve dans une situation délicate en ce qui concerne </w:t>
      </w:r>
      <w:r w:rsidR="00E35260" w:rsidRPr="00990EBD">
        <w:rPr>
          <w:color w:val="000000" w:themeColor="text1"/>
        </w:rPr>
        <w:t>les nouvelles inéligibilités</w:t>
      </w:r>
      <w:r w:rsidR="00D142EE" w:rsidRPr="00990EBD">
        <w:rPr>
          <w:color w:val="000000" w:themeColor="text1"/>
        </w:rPr>
        <w:t xml:space="preserve"> dont elle conteste les conclusions, </w:t>
      </w:r>
      <w:r w:rsidR="00E35260">
        <w:rPr>
          <w:color w:val="000000" w:themeColor="text1"/>
        </w:rPr>
        <w:t>d’autant plus que</w:t>
      </w:r>
      <w:r w:rsidR="00D142EE" w:rsidRPr="00990EBD">
        <w:rPr>
          <w:color w:val="000000" w:themeColor="text1"/>
        </w:rPr>
        <w:t xml:space="preserve"> les montants déclarés inéligibles augmenteront avec les intérêts de retard du fait du non</w:t>
      </w:r>
      <w:r>
        <w:rPr>
          <w:color w:val="000000" w:themeColor="text1"/>
        </w:rPr>
        <w:t>-</w:t>
      </w:r>
      <w:r w:rsidR="00D142EE" w:rsidRPr="00990EBD">
        <w:rPr>
          <w:color w:val="000000" w:themeColor="text1"/>
        </w:rPr>
        <w:t>remboursement de la somme correspondante à la Commission européenne.</w:t>
      </w:r>
      <w:r w:rsidR="00317B1F">
        <w:rPr>
          <w:color w:val="000000" w:themeColor="text1"/>
        </w:rPr>
        <w:t xml:space="preserve"> Comme indiqué par la DUE, il peut être décidé de recourir à une médiation / une solution au travers le bureau de l’Ombudsman de la Commission européenne</w:t>
      </w:r>
    </w:p>
    <w:p w14:paraId="324DC91C" w14:textId="77777777" w:rsidR="00D142EE" w:rsidRPr="00990EBD" w:rsidRDefault="00D142EE" w:rsidP="00D142EE">
      <w:pPr>
        <w:pStyle w:val="Corpsdetexte"/>
        <w:spacing w:before="186"/>
        <w:ind w:right="226"/>
        <w:jc w:val="both"/>
        <w:rPr>
          <w:color w:val="000000" w:themeColor="text1"/>
        </w:rPr>
      </w:pPr>
    </w:p>
    <w:p w14:paraId="6D28FAC1" w14:textId="77777777" w:rsidR="00D142EE" w:rsidRPr="00990EBD" w:rsidRDefault="00D142EE" w:rsidP="00D110E6">
      <w:pPr>
        <w:pStyle w:val="Titrepartie"/>
      </w:pPr>
      <w:r w:rsidRPr="00990EBD">
        <w:t>Proposition de décision au COPL :</w:t>
      </w:r>
    </w:p>
    <w:p w14:paraId="5526243F" w14:textId="68A13887" w:rsidR="00F75D34" w:rsidRDefault="00D110E6" w:rsidP="00890675">
      <w:pPr>
        <w:pStyle w:val="Corpsdetexte"/>
        <w:spacing w:after="120" w:line="276" w:lineRule="auto"/>
      </w:pPr>
      <w:r>
        <w:t>Le Comité des OPL</w:t>
      </w:r>
      <w:r w:rsidR="00F75D34">
        <w:t> :</w:t>
      </w:r>
    </w:p>
    <w:p w14:paraId="55BDFBE2" w14:textId="2013653E" w:rsidR="00857AC3" w:rsidRDefault="00317B1F" w:rsidP="00890675">
      <w:pPr>
        <w:pStyle w:val="Corpsdetexte"/>
        <w:numPr>
          <w:ilvl w:val="0"/>
          <w:numId w:val="40"/>
        </w:numPr>
        <w:spacing w:after="120" w:line="276" w:lineRule="auto"/>
        <w:jc w:val="both"/>
      </w:pPr>
      <w:r>
        <w:t>D</w:t>
      </w:r>
      <w:r w:rsidR="00F75D34">
        <w:t xml:space="preserve">emande au </w:t>
      </w:r>
      <w:r w:rsidR="00995018">
        <w:t>Secrétariat</w:t>
      </w:r>
      <w:r w:rsidR="00F75D34">
        <w:t xml:space="preserve"> général d’engager </w:t>
      </w:r>
      <w:r w:rsidR="000E1E43">
        <w:t>un recours pour appel</w:t>
      </w:r>
      <w:r w:rsidR="00E018B8">
        <w:t xml:space="preserve"> auprès de </w:t>
      </w:r>
      <w:r w:rsidR="00E018B8" w:rsidRPr="00990EBD">
        <w:t>l’</w:t>
      </w:r>
      <w:proofErr w:type="spellStart"/>
      <w:r w:rsidR="00E018B8" w:rsidRPr="00990EBD">
        <w:t>Ombusdman</w:t>
      </w:r>
      <w:proofErr w:type="spellEnd"/>
      <w:r w:rsidR="00E018B8" w:rsidRPr="00990EBD">
        <w:t xml:space="preserve"> </w:t>
      </w:r>
      <w:r w:rsidR="007A117D">
        <w:t>/médiat</w:t>
      </w:r>
      <w:r>
        <w:t>eur</w:t>
      </w:r>
      <w:r w:rsidR="007A117D">
        <w:t xml:space="preserve"> européen</w:t>
      </w:r>
      <w:r w:rsidR="00E018B8">
        <w:t xml:space="preserve"> pour </w:t>
      </w:r>
      <w:r w:rsidR="00854CDC">
        <w:t>contester ces</w:t>
      </w:r>
      <w:r w:rsidR="007A117D">
        <w:t xml:space="preserve"> </w:t>
      </w:r>
      <w:r w:rsidR="00854CDC">
        <w:t>inéligibilités</w:t>
      </w:r>
      <w:r w:rsidR="007A117D">
        <w:t xml:space="preserve"> en partie ou dans leur </w:t>
      </w:r>
      <w:r w:rsidR="00A038A3">
        <w:t>intégralité</w:t>
      </w:r>
      <w:r w:rsidR="00857AC3">
        <w:t xml:space="preserve"> ; </w:t>
      </w:r>
    </w:p>
    <w:p w14:paraId="54B3ABB7" w14:textId="29FE97DA" w:rsidR="004E6993" w:rsidRDefault="00857AC3" w:rsidP="00890675">
      <w:pPr>
        <w:pStyle w:val="Corpsdetexte"/>
        <w:numPr>
          <w:ilvl w:val="0"/>
          <w:numId w:val="40"/>
        </w:numPr>
        <w:spacing w:after="120" w:line="276" w:lineRule="auto"/>
        <w:jc w:val="both"/>
      </w:pPr>
      <w:r>
        <w:t xml:space="preserve">Demande au Secrétariat général </w:t>
      </w:r>
      <w:r w:rsidR="00F026B8">
        <w:t xml:space="preserve">de définir </w:t>
      </w:r>
      <w:r w:rsidR="00BB1C25">
        <w:t>un moyen effectif de comptabiliser et valoriser les</w:t>
      </w:r>
      <w:r w:rsidR="00F026B8">
        <w:t xml:space="preserve"> contreparties du Secrétariat</w:t>
      </w:r>
      <w:r w:rsidR="00BB1C25">
        <w:t xml:space="preserve"> général</w:t>
      </w:r>
      <w:r w:rsidR="00F026B8">
        <w:t xml:space="preserve"> et des Etats membres </w:t>
      </w:r>
      <w:r w:rsidR="00BB1C25">
        <w:t>pour apurer les inéligibilités</w:t>
      </w:r>
      <w:r w:rsidR="00A038A3">
        <w:t>.</w:t>
      </w:r>
    </w:p>
    <w:p w14:paraId="62D7AE45" w14:textId="14800113" w:rsidR="00854CDC" w:rsidRPr="00990EBD" w:rsidRDefault="00854CDC" w:rsidP="00890675">
      <w:pPr>
        <w:pStyle w:val="Corpsdetexte"/>
        <w:ind w:left="795"/>
        <w:jc w:val="both"/>
      </w:pPr>
    </w:p>
    <w:sectPr w:rsidR="00854CDC" w:rsidRPr="00990EBD" w:rsidSect="0098532D">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98D91" w14:textId="77777777" w:rsidR="00595024" w:rsidRDefault="00595024">
      <w:pPr>
        <w:spacing w:after="0" w:line="240" w:lineRule="auto"/>
      </w:pPr>
      <w:r>
        <w:separator/>
      </w:r>
    </w:p>
  </w:endnote>
  <w:endnote w:type="continuationSeparator" w:id="0">
    <w:p w14:paraId="445D18E4" w14:textId="77777777" w:rsidR="00595024" w:rsidRDefault="005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1C363" w14:textId="77777777" w:rsidR="00595024" w:rsidRDefault="00595024">
      <w:pPr>
        <w:spacing w:after="0" w:line="240" w:lineRule="auto"/>
      </w:pPr>
      <w:r>
        <w:separator/>
      </w:r>
    </w:p>
  </w:footnote>
  <w:footnote w:type="continuationSeparator" w:id="0">
    <w:p w14:paraId="4E341D28" w14:textId="77777777" w:rsidR="00595024" w:rsidRDefault="00595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43CC7AD5"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283EED">
      <w:rPr>
        <w:rFonts w:ascii="Verdana" w:hAnsi="Verdana"/>
        <w:b/>
        <w:bCs/>
        <w:sz w:val="20"/>
        <w:szCs w:val="20"/>
      </w:rPr>
      <w:t>3</w:t>
    </w:r>
    <w:r w:rsidR="003D21F8">
      <w:rPr>
        <w:rFonts w:ascii="Verdana" w:hAnsi="Verdana"/>
        <w:b/>
        <w:bCs/>
        <w:sz w:val="20"/>
        <w:szCs w:val="20"/>
      </w:rPr>
      <w:t>.</w:t>
    </w:r>
    <w:r w:rsidR="00493A7B">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9203E52"/>
    <w:multiLevelType w:val="hybridMultilevel"/>
    <w:tmpl w:val="FB78C744"/>
    <w:lvl w:ilvl="0" w:tplc="01AC911E">
      <w:numFmt w:val="bullet"/>
      <w:lvlText w:val="-"/>
      <w:lvlJc w:val="left"/>
      <w:pPr>
        <w:ind w:left="865" w:hanging="360"/>
      </w:pPr>
      <w:rPr>
        <w:rFonts w:ascii="Verdana" w:eastAsia="Verdana" w:hAnsi="Verdana" w:cs="Verdana" w:hint="default"/>
        <w:w w:val="100"/>
        <w:sz w:val="20"/>
        <w:szCs w:val="20"/>
        <w:lang w:val="fr-FR" w:eastAsia="en-US" w:bidi="ar-SA"/>
      </w:rPr>
    </w:lvl>
    <w:lvl w:ilvl="1" w:tplc="D61A398C">
      <w:numFmt w:val="bullet"/>
      <w:lvlText w:val="•"/>
      <w:lvlJc w:val="left"/>
      <w:pPr>
        <w:ind w:left="1754" w:hanging="360"/>
      </w:pPr>
      <w:rPr>
        <w:rFonts w:hint="default"/>
        <w:lang w:val="fr-FR" w:eastAsia="en-US" w:bidi="ar-SA"/>
      </w:rPr>
    </w:lvl>
    <w:lvl w:ilvl="2" w:tplc="F7BA3E9A">
      <w:numFmt w:val="bullet"/>
      <w:lvlText w:val="•"/>
      <w:lvlJc w:val="left"/>
      <w:pPr>
        <w:ind w:left="2649" w:hanging="360"/>
      </w:pPr>
      <w:rPr>
        <w:rFonts w:hint="default"/>
        <w:lang w:val="fr-FR" w:eastAsia="en-US" w:bidi="ar-SA"/>
      </w:rPr>
    </w:lvl>
    <w:lvl w:ilvl="3" w:tplc="1AF6C490">
      <w:numFmt w:val="bullet"/>
      <w:lvlText w:val="•"/>
      <w:lvlJc w:val="left"/>
      <w:pPr>
        <w:ind w:left="3543" w:hanging="360"/>
      </w:pPr>
      <w:rPr>
        <w:rFonts w:hint="default"/>
        <w:lang w:val="fr-FR" w:eastAsia="en-US" w:bidi="ar-SA"/>
      </w:rPr>
    </w:lvl>
    <w:lvl w:ilvl="4" w:tplc="54ACB328">
      <w:numFmt w:val="bullet"/>
      <w:lvlText w:val="•"/>
      <w:lvlJc w:val="left"/>
      <w:pPr>
        <w:ind w:left="4438" w:hanging="360"/>
      </w:pPr>
      <w:rPr>
        <w:rFonts w:hint="default"/>
        <w:lang w:val="fr-FR" w:eastAsia="en-US" w:bidi="ar-SA"/>
      </w:rPr>
    </w:lvl>
    <w:lvl w:ilvl="5" w:tplc="892E4958">
      <w:numFmt w:val="bullet"/>
      <w:lvlText w:val="•"/>
      <w:lvlJc w:val="left"/>
      <w:pPr>
        <w:ind w:left="5332" w:hanging="360"/>
      </w:pPr>
      <w:rPr>
        <w:rFonts w:hint="default"/>
        <w:lang w:val="fr-FR" w:eastAsia="en-US" w:bidi="ar-SA"/>
      </w:rPr>
    </w:lvl>
    <w:lvl w:ilvl="6" w:tplc="3880F63A">
      <w:numFmt w:val="bullet"/>
      <w:lvlText w:val="•"/>
      <w:lvlJc w:val="left"/>
      <w:pPr>
        <w:ind w:left="6227" w:hanging="360"/>
      </w:pPr>
      <w:rPr>
        <w:rFonts w:hint="default"/>
        <w:lang w:val="fr-FR" w:eastAsia="en-US" w:bidi="ar-SA"/>
      </w:rPr>
    </w:lvl>
    <w:lvl w:ilvl="7" w:tplc="C9A66D34">
      <w:numFmt w:val="bullet"/>
      <w:lvlText w:val="•"/>
      <w:lvlJc w:val="left"/>
      <w:pPr>
        <w:ind w:left="7121" w:hanging="360"/>
      </w:pPr>
      <w:rPr>
        <w:rFonts w:hint="default"/>
        <w:lang w:val="fr-FR" w:eastAsia="en-US" w:bidi="ar-SA"/>
      </w:rPr>
    </w:lvl>
    <w:lvl w:ilvl="8" w:tplc="C5C0FCA8">
      <w:numFmt w:val="bullet"/>
      <w:lvlText w:val="•"/>
      <w:lvlJc w:val="left"/>
      <w:pPr>
        <w:ind w:left="8016" w:hanging="360"/>
      </w:pPr>
      <w:rPr>
        <w:rFonts w:hint="default"/>
        <w:lang w:val="fr-FR" w:eastAsia="en-US" w:bidi="ar-SA"/>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7220C632"/>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C417A6"/>
    <w:multiLevelType w:val="hybridMultilevel"/>
    <w:tmpl w:val="EFB6B21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F4C055C"/>
    <w:multiLevelType w:val="hybridMultilevel"/>
    <w:tmpl w:val="D2DAB0A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5B413A4"/>
    <w:multiLevelType w:val="hybridMultilevel"/>
    <w:tmpl w:val="06BA5266"/>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466539"/>
    <w:multiLevelType w:val="hybridMultilevel"/>
    <w:tmpl w:val="274A84C2"/>
    <w:lvl w:ilvl="0" w:tplc="20000017">
      <w:start w:val="1"/>
      <w:numFmt w:val="lowerLetter"/>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5D7704"/>
    <w:multiLevelType w:val="hybridMultilevel"/>
    <w:tmpl w:val="640EC3AA"/>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7"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1E81B3B"/>
    <w:multiLevelType w:val="hybridMultilevel"/>
    <w:tmpl w:val="DF5EADF8"/>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A42F17"/>
    <w:multiLevelType w:val="hybridMultilevel"/>
    <w:tmpl w:val="944E0760"/>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CC2E7E"/>
    <w:multiLevelType w:val="multilevel"/>
    <w:tmpl w:val="BF8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170251">
    <w:abstractNumId w:val="10"/>
  </w:num>
  <w:num w:numId="2" w16cid:durableId="696658758">
    <w:abstractNumId w:val="25"/>
  </w:num>
  <w:num w:numId="3" w16cid:durableId="829099502">
    <w:abstractNumId w:val="5"/>
  </w:num>
  <w:num w:numId="4" w16cid:durableId="1525940942">
    <w:abstractNumId w:val="3"/>
  </w:num>
  <w:num w:numId="5" w16cid:durableId="165020131">
    <w:abstractNumId w:val="23"/>
  </w:num>
  <w:num w:numId="6" w16cid:durableId="224488953">
    <w:abstractNumId w:val="7"/>
  </w:num>
  <w:num w:numId="7" w16cid:durableId="297687534">
    <w:abstractNumId w:val="11"/>
  </w:num>
  <w:num w:numId="8" w16cid:durableId="1254779571">
    <w:abstractNumId w:val="5"/>
    <w:lvlOverride w:ilvl="0">
      <w:startOverride w:val="1"/>
    </w:lvlOverride>
  </w:num>
  <w:num w:numId="9" w16cid:durableId="1420908688">
    <w:abstractNumId w:val="4"/>
  </w:num>
  <w:num w:numId="10" w16cid:durableId="237715780">
    <w:abstractNumId w:val="9"/>
  </w:num>
  <w:num w:numId="11" w16cid:durableId="621696603">
    <w:abstractNumId w:val="12"/>
  </w:num>
  <w:num w:numId="12" w16cid:durableId="1145971675">
    <w:abstractNumId w:val="19"/>
  </w:num>
  <w:num w:numId="13" w16cid:durableId="156312207">
    <w:abstractNumId w:val="21"/>
  </w:num>
  <w:num w:numId="14" w16cid:durableId="1208028579">
    <w:abstractNumId w:val="14"/>
  </w:num>
  <w:num w:numId="15" w16cid:durableId="127015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5"/>
  </w:num>
  <w:num w:numId="17" w16cid:durableId="868372564">
    <w:abstractNumId w:val="15"/>
  </w:num>
  <w:num w:numId="18" w16cid:durableId="785005186">
    <w:abstractNumId w:val="13"/>
  </w:num>
  <w:num w:numId="19" w16cid:durableId="550921926">
    <w:abstractNumId w:val="5"/>
  </w:num>
  <w:num w:numId="20" w16cid:durableId="1225138317">
    <w:abstractNumId w:val="5"/>
  </w:num>
  <w:num w:numId="21" w16cid:durableId="443230716">
    <w:abstractNumId w:val="20"/>
  </w:num>
  <w:num w:numId="22" w16cid:durableId="1427770863">
    <w:abstractNumId w:val="5"/>
    <w:lvlOverride w:ilvl="0">
      <w:startOverride w:val="1"/>
    </w:lvlOverride>
    <w:lvlOverride w:ilvl="1">
      <w:startOverride w:val="2"/>
    </w:lvlOverride>
  </w:num>
  <w:num w:numId="23" w16cid:durableId="2012373987">
    <w:abstractNumId w:val="18"/>
  </w:num>
  <w:num w:numId="24" w16cid:durableId="1903982409">
    <w:abstractNumId w:val="0"/>
  </w:num>
  <w:num w:numId="25" w16cid:durableId="332218895">
    <w:abstractNumId w:val="17"/>
  </w:num>
  <w:num w:numId="26" w16cid:durableId="1850489169">
    <w:abstractNumId w:val="32"/>
  </w:num>
  <w:num w:numId="27" w16cid:durableId="1323044938">
    <w:abstractNumId w:val="8"/>
  </w:num>
  <w:num w:numId="28" w16cid:durableId="146556031">
    <w:abstractNumId w:val="1"/>
  </w:num>
  <w:num w:numId="29" w16cid:durableId="766924544">
    <w:abstractNumId w:val="29"/>
  </w:num>
  <w:num w:numId="30" w16cid:durableId="1862475731">
    <w:abstractNumId w:val="27"/>
  </w:num>
  <w:num w:numId="31" w16cid:durableId="1796485515">
    <w:abstractNumId w:val="26"/>
  </w:num>
  <w:num w:numId="32" w16cid:durableId="1297300794">
    <w:abstractNumId w:val="22"/>
  </w:num>
  <w:num w:numId="33" w16cid:durableId="1580554248">
    <w:abstractNumId w:val="30"/>
  </w:num>
  <w:num w:numId="34" w16cid:durableId="1968512011">
    <w:abstractNumId w:val="31"/>
  </w:num>
  <w:num w:numId="35" w16cid:durableId="1007833345">
    <w:abstractNumId w:val="16"/>
  </w:num>
  <w:num w:numId="36" w16cid:durableId="401372324">
    <w:abstractNumId w:val="6"/>
  </w:num>
  <w:num w:numId="37" w16cid:durableId="21252378">
    <w:abstractNumId w:val="28"/>
  </w:num>
  <w:num w:numId="38" w16cid:durableId="929235122">
    <w:abstractNumId w:val="2"/>
  </w:num>
  <w:num w:numId="39" w16cid:durableId="114954763">
    <w:abstractNumId w:val="33"/>
  </w:num>
  <w:num w:numId="40" w16cid:durableId="372395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04C86"/>
    <w:rsid w:val="00011273"/>
    <w:rsid w:val="00015AB8"/>
    <w:rsid w:val="00023881"/>
    <w:rsid w:val="00030DEA"/>
    <w:rsid w:val="00031236"/>
    <w:rsid w:val="00036FCE"/>
    <w:rsid w:val="000373B2"/>
    <w:rsid w:val="00042846"/>
    <w:rsid w:val="00042CF5"/>
    <w:rsid w:val="000447EA"/>
    <w:rsid w:val="00056725"/>
    <w:rsid w:val="00060753"/>
    <w:rsid w:val="00060CA0"/>
    <w:rsid w:val="00063A26"/>
    <w:rsid w:val="0006528F"/>
    <w:rsid w:val="0008468B"/>
    <w:rsid w:val="000A468A"/>
    <w:rsid w:val="000A4960"/>
    <w:rsid w:val="000B0433"/>
    <w:rsid w:val="000B0FBD"/>
    <w:rsid w:val="000B7609"/>
    <w:rsid w:val="000D0C28"/>
    <w:rsid w:val="000E1E43"/>
    <w:rsid w:val="000F4728"/>
    <w:rsid w:val="000F7F05"/>
    <w:rsid w:val="00104568"/>
    <w:rsid w:val="00107D9D"/>
    <w:rsid w:val="00107E7A"/>
    <w:rsid w:val="00111476"/>
    <w:rsid w:val="0011663C"/>
    <w:rsid w:val="001174F7"/>
    <w:rsid w:val="00117BDE"/>
    <w:rsid w:val="00121B1C"/>
    <w:rsid w:val="0012675C"/>
    <w:rsid w:val="00126E23"/>
    <w:rsid w:val="00134792"/>
    <w:rsid w:val="001427BD"/>
    <w:rsid w:val="00145D42"/>
    <w:rsid w:val="001470E0"/>
    <w:rsid w:val="00152D1E"/>
    <w:rsid w:val="00155DB9"/>
    <w:rsid w:val="00164305"/>
    <w:rsid w:val="001677B9"/>
    <w:rsid w:val="00167E46"/>
    <w:rsid w:val="00173F35"/>
    <w:rsid w:val="00175E67"/>
    <w:rsid w:val="001765E9"/>
    <w:rsid w:val="0018252D"/>
    <w:rsid w:val="00183424"/>
    <w:rsid w:val="00190DDF"/>
    <w:rsid w:val="001A56F1"/>
    <w:rsid w:val="001B0C08"/>
    <w:rsid w:val="001B4738"/>
    <w:rsid w:val="001D238B"/>
    <w:rsid w:val="001D2865"/>
    <w:rsid w:val="001D531C"/>
    <w:rsid w:val="001D6688"/>
    <w:rsid w:val="001E0C19"/>
    <w:rsid w:val="001E5D6B"/>
    <w:rsid w:val="001F30F9"/>
    <w:rsid w:val="001F6847"/>
    <w:rsid w:val="00201DEE"/>
    <w:rsid w:val="00207255"/>
    <w:rsid w:val="00213D96"/>
    <w:rsid w:val="002160A2"/>
    <w:rsid w:val="0022414F"/>
    <w:rsid w:val="002361D2"/>
    <w:rsid w:val="00243B77"/>
    <w:rsid w:val="00246E69"/>
    <w:rsid w:val="00267105"/>
    <w:rsid w:val="002729D9"/>
    <w:rsid w:val="00275B6A"/>
    <w:rsid w:val="00282E6B"/>
    <w:rsid w:val="00283446"/>
    <w:rsid w:val="00283EED"/>
    <w:rsid w:val="00286AB5"/>
    <w:rsid w:val="002870E7"/>
    <w:rsid w:val="002912D4"/>
    <w:rsid w:val="0029427A"/>
    <w:rsid w:val="00294502"/>
    <w:rsid w:val="002969B8"/>
    <w:rsid w:val="002A0933"/>
    <w:rsid w:val="002A096E"/>
    <w:rsid w:val="002B1569"/>
    <w:rsid w:val="002B60C1"/>
    <w:rsid w:val="002C3F44"/>
    <w:rsid w:val="002C56ED"/>
    <w:rsid w:val="002D21F5"/>
    <w:rsid w:val="002E0E0B"/>
    <w:rsid w:val="002E6B1B"/>
    <w:rsid w:val="002E70A8"/>
    <w:rsid w:val="002F055D"/>
    <w:rsid w:val="002F7ACE"/>
    <w:rsid w:val="002F7F66"/>
    <w:rsid w:val="00303C44"/>
    <w:rsid w:val="003113BF"/>
    <w:rsid w:val="00317B1F"/>
    <w:rsid w:val="00336396"/>
    <w:rsid w:val="00350625"/>
    <w:rsid w:val="00356BB1"/>
    <w:rsid w:val="003604B9"/>
    <w:rsid w:val="0037140B"/>
    <w:rsid w:val="00373BBD"/>
    <w:rsid w:val="00373F54"/>
    <w:rsid w:val="00374E93"/>
    <w:rsid w:val="003772FB"/>
    <w:rsid w:val="003841D6"/>
    <w:rsid w:val="00386B29"/>
    <w:rsid w:val="00391152"/>
    <w:rsid w:val="003938E2"/>
    <w:rsid w:val="003A3360"/>
    <w:rsid w:val="003A3639"/>
    <w:rsid w:val="003B1E29"/>
    <w:rsid w:val="003B2E5A"/>
    <w:rsid w:val="003B3F65"/>
    <w:rsid w:val="003B5EF9"/>
    <w:rsid w:val="003B71FB"/>
    <w:rsid w:val="003B778E"/>
    <w:rsid w:val="003C2538"/>
    <w:rsid w:val="003C4D8B"/>
    <w:rsid w:val="003D21F8"/>
    <w:rsid w:val="003D485F"/>
    <w:rsid w:val="003D5328"/>
    <w:rsid w:val="003E3F57"/>
    <w:rsid w:val="003E7110"/>
    <w:rsid w:val="003F69A7"/>
    <w:rsid w:val="004009DF"/>
    <w:rsid w:val="0040155B"/>
    <w:rsid w:val="0041187D"/>
    <w:rsid w:val="00411FD0"/>
    <w:rsid w:val="0041278C"/>
    <w:rsid w:val="00417683"/>
    <w:rsid w:val="004216C5"/>
    <w:rsid w:val="0042402C"/>
    <w:rsid w:val="004248B2"/>
    <w:rsid w:val="00425E5A"/>
    <w:rsid w:val="00426673"/>
    <w:rsid w:val="00434D42"/>
    <w:rsid w:val="00436130"/>
    <w:rsid w:val="0044475F"/>
    <w:rsid w:val="00444B35"/>
    <w:rsid w:val="004607F7"/>
    <w:rsid w:val="00462F07"/>
    <w:rsid w:val="004661DE"/>
    <w:rsid w:val="00466E06"/>
    <w:rsid w:val="004775DA"/>
    <w:rsid w:val="00483034"/>
    <w:rsid w:val="004926E2"/>
    <w:rsid w:val="00493A7B"/>
    <w:rsid w:val="00495391"/>
    <w:rsid w:val="0049782F"/>
    <w:rsid w:val="004A7369"/>
    <w:rsid w:val="004B376D"/>
    <w:rsid w:val="004B6FBB"/>
    <w:rsid w:val="004C568C"/>
    <w:rsid w:val="004D1568"/>
    <w:rsid w:val="004E6993"/>
    <w:rsid w:val="004F5C4B"/>
    <w:rsid w:val="004F64C9"/>
    <w:rsid w:val="00504F45"/>
    <w:rsid w:val="00510A5A"/>
    <w:rsid w:val="0053736B"/>
    <w:rsid w:val="0053773D"/>
    <w:rsid w:val="00542095"/>
    <w:rsid w:val="005543E6"/>
    <w:rsid w:val="005546E2"/>
    <w:rsid w:val="005627D0"/>
    <w:rsid w:val="00563C22"/>
    <w:rsid w:val="005664F2"/>
    <w:rsid w:val="005676D6"/>
    <w:rsid w:val="00582C13"/>
    <w:rsid w:val="00587D27"/>
    <w:rsid w:val="00591135"/>
    <w:rsid w:val="00591825"/>
    <w:rsid w:val="00591A8A"/>
    <w:rsid w:val="00595024"/>
    <w:rsid w:val="005A2F54"/>
    <w:rsid w:val="005B1309"/>
    <w:rsid w:val="005B720A"/>
    <w:rsid w:val="005C1166"/>
    <w:rsid w:val="005D0616"/>
    <w:rsid w:val="005D07A7"/>
    <w:rsid w:val="005D0F2C"/>
    <w:rsid w:val="005D5C2C"/>
    <w:rsid w:val="005D702F"/>
    <w:rsid w:val="005F6D0B"/>
    <w:rsid w:val="00604BF9"/>
    <w:rsid w:val="006131E0"/>
    <w:rsid w:val="00613313"/>
    <w:rsid w:val="00616351"/>
    <w:rsid w:val="00620ADF"/>
    <w:rsid w:val="00620B90"/>
    <w:rsid w:val="00627365"/>
    <w:rsid w:val="006353BD"/>
    <w:rsid w:val="006356AF"/>
    <w:rsid w:val="00640669"/>
    <w:rsid w:val="00642DC7"/>
    <w:rsid w:val="00653DE9"/>
    <w:rsid w:val="006548BF"/>
    <w:rsid w:val="00654A60"/>
    <w:rsid w:val="00655B8B"/>
    <w:rsid w:val="00660504"/>
    <w:rsid w:val="00667DEE"/>
    <w:rsid w:val="00671BA2"/>
    <w:rsid w:val="00680BCA"/>
    <w:rsid w:val="00685707"/>
    <w:rsid w:val="00692600"/>
    <w:rsid w:val="00692F01"/>
    <w:rsid w:val="006A2F9F"/>
    <w:rsid w:val="006C1620"/>
    <w:rsid w:val="006E2D9E"/>
    <w:rsid w:val="006E41C2"/>
    <w:rsid w:val="006E6E66"/>
    <w:rsid w:val="006F0295"/>
    <w:rsid w:val="006F0B10"/>
    <w:rsid w:val="006F3FF5"/>
    <w:rsid w:val="006F5280"/>
    <w:rsid w:val="00703D5C"/>
    <w:rsid w:val="00710A1D"/>
    <w:rsid w:val="00721C0E"/>
    <w:rsid w:val="007220B3"/>
    <w:rsid w:val="007269CD"/>
    <w:rsid w:val="007305D9"/>
    <w:rsid w:val="00746B25"/>
    <w:rsid w:val="007561F8"/>
    <w:rsid w:val="00756BFB"/>
    <w:rsid w:val="0076047F"/>
    <w:rsid w:val="00765EE4"/>
    <w:rsid w:val="00773365"/>
    <w:rsid w:val="00776BA1"/>
    <w:rsid w:val="00780538"/>
    <w:rsid w:val="0078109C"/>
    <w:rsid w:val="00784355"/>
    <w:rsid w:val="0078617C"/>
    <w:rsid w:val="007A117D"/>
    <w:rsid w:val="007A428F"/>
    <w:rsid w:val="007B0931"/>
    <w:rsid w:val="007B245C"/>
    <w:rsid w:val="007B4AD3"/>
    <w:rsid w:val="007B52BB"/>
    <w:rsid w:val="007C41D4"/>
    <w:rsid w:val="007C4850"/>
    <w:rsid w:val="007C78FC"/>
    <w:rsid w:val="007D0C1E"/>
    <w:rsid w:val="007D4A8C"/>
    <w:rsid w:val="007D5FC3"/>
    <w:rsid w:val="007E3006"/>
    <w:rsid w:val="007E44EF"/>
    <w:rsid w:val="007F355A"/>
    <w:rsid w:val="00805420"/>
    <w:rsid w:val="00810EB8"/>
    <w:rsid w:val="00810F55"/>
    <w:rsid w:val="008166DF"/>
    <w:rsid w:val="00816DAC"/>
    <w:rsid w:val="008241A7"/>
    <w:rsid w:val="00825E87"/>
    <w:rsid w:val="00827812"/>
    <w:rsid w:val="0083290E"/>
    <w:rsid w:val="00842AB0"/>
    <w:rsid w:val="00843FF2"/>
    <w:rsid w:val="008453AB"/>
    <w:rsid w:val="00854CDC"/>
    <w:rsid w:val="00854EEA"/>
    <w:rsid w:val="008551DA"/>
    <w:rsid w:val="00857AC3"/>
    <w:rsid w:val="00862786"/>
    <w:rsid w:val="00873AEA"/>
    <w:rsid w:val="00875662"/>
    <w:rsid w:val="0087760D"/>
    <w:rsid w:val="008812B5"/>
    <w:rsid w:val="0088715E"/>
    <w:rsid w:val="00890675"/>
    <w:rsid w:val="0089741C"/>
    <w:rsid w:val="008A4291"/>
    <w:rsid w:val="008B731F"/>
    <w:rsid w:val="008C7BCA"/>
    <w:rsid w:val="008D0258"/>
    <w:rsid w:val="008D193F"/>
    <w:rsid w:val="008D4A1D"/>
    <w:rsid w:val="008D7486"/>
    <w:rsid w:val="008E1BEB"/>
    <w:rsid w:val="008E537E"/>
    <w:rsid w:val="008F173C"/>
    <w:rsid w:val="008F39D3"/>
    <w:rsid w:val="00900F57"/>
    <w:rsid w:val="00916894"/>
    <w:rsid w:val="00917DB3"/>
    <w:rsid w:val="00924184"/>
    <w:rsid w:val="00940D2C"/>
    <w:rsid w:val="00944B8F"/>
    <w:rsid w:val="00946427"/>
    <w:rsid w:val="00955BB3"/>
    <w:rsid w:val="00961AC1"/>
    <w:rsid w:val="0097063E"/>
    <w:rsid w:val="009759AF"/>
    <w:rsid w:val="0098532D"/>
    <w:rsid w:val="00990EBD"/>
    <w:rsid w:val="00995018"/>
    <w:rsid w:val="009A0C62"/>
    <w:rsid w:val="009A34D9"/>
    <w:rsid w:val="009A38AD"/>
    <w:rsid w:val="009B52E9"/>
    <w:rsid w:val="009D256A"/>
    <w:rsid w:val="009E2D89"/>
    <w:rsid w:val="009E7ACF"/>
    <w:rsid w:val="00A038A3"/>
    <w:rsid w:val="00A06670"/>
    <w:rsid w:val="00A118E1"/>
    <w:rsid w:val="00A148A1"/>
    <w:rsid w:val="00A175E5"/>
    <w:rsid w:val="00A3566B"/>
    <w:rsid w:val="00A36AFA"/>
    <w:rsid w:val="00A36C09"/>
    <w:rsid w:val="00A3739D"/>
    <w:rsid w:val="00A37BB3"/>
    <w:rsid w:val="00A37C9F"/>
    <w:rsid w:val="00A4654C"/>
    <w:rsid w:val="00A477E1"/>
    <w:rsid w:val="00A51A8A"/>
    <w:rsid w:val="00A6160D"/>
    <w:rsid w:val="00A70123"/>
    <w:rsid w:val="00A74BFA"/>
    <w:rsid w:val="00A76B07"/>
    <w:rsid w:val="00A81B98"/>
    <w:rsid w:val="00A90305"/>
    <w:rsid w:val="00AA5998"/>
    <w:rsid w:val="00AA63A3"/>
    <w:rsid w:val="00AB575E"/>
    <w:rsid w:val="00AB5EB7"/>
    <w:rsid w:val="00AD4D97"/>
    <w:rsid w:val="00AD4F21"/>
    <w:rsid w:val="00AD57C8"/>
    <w:rsid w:val="00AE1977"/>
    <w:rsid w:val="00AE2453"/>
    <w:rsid w:val="00AF5530"/>
    <w:rsid w:val="00AF7F2A"/>
    <w:rsid w:val="00B02730"/>
    <w:rsid w:val="00B05DFC"/>
    <w:rsid w:val="00B1099C"/>
    <w:rsid w:val="00B274D7"/>
    <w:rsid w:val="00B36EEA"/>
    <w:rsid w:val="00B41398"/>
    <w:rsid w:val="00B426EA"/>
    <w:rsid w:val="00B434CA"/>
    <w:rsid w:val="00B45F80"/>
    <w:rsid w:val="00B5038E"/>
    <w:rsid w:val="00B52933"/>
    <w:rsid w:val="00B76754"/>
    <w:rsid w:val="00B82A0C"/>
    <w:rsid w:val="00BA0FA7"/>
    <w:rsid w:val="00BA3105"/>
    <w:rsid w:val="00BA4B55"/>
    <w:rsid w:val="00BA752A"/>
    <w:rsid w:val="00BB1C25"/>
    <w:rsid w:val="00BC4C97"/>
    <w:rsid w:val="00BD12A2"/>
    <w:rsid w:val="00BD1F83"/>
    <w:rsid w:val="00BE2AF1"/>
    <w:rsid w:val="00BE7C7F"/>
    <w:rsid w:val="00C05213"/>
    <w:rsid w:val="00C12C93"/>
    <w:rsid w:val="00C16FA7"/>
    <w:rsid w:val="00C17E92"/>
    <w:rsid w:val="00C325F5"/>
    <w:rsid w:val="00C326C4"/>
    <w:rsid w:val="00C35652"/>
    <w:rsid w:val="00C457E8"/>
    <w:rsid w:val="00C52327"/>
    <w:rsid w:val="00C52702"/>
    <w:rsid w:val="00C609B9"/>
    <w:rsid w:val="00C64403"/>
    <w:rsid w:val="00C828E0"/>
    <w:rsid w:val="00C8473F"/>
    <w:rsid w:val="00C8559F"/>
    <w:rsid w:val="00C85C36"/>
    <w:rsid w:val="00C90ADE"/>
    <w:rsid w:val="00C91BD0"/>
    <w:rsid w:val="00C91F3E"/>
    <w:rsid w:val="00C92A95"/>
    <w:rsid w:val="00C936A8"/>
    <w:rsid w:val="00C96A1F"/>
    <w:rsid w:val="00CA419D"/>
    <w:rsid w:val="00CB6893"/>
    <w:rsid w:val="00CB6CB7"/>
    <w:rsid w:val="00CB7FB9"/>
    <w:rsid w:val="00CC4618"/>
    <w:rsid w:val="00CC5D7B"/>
    <w:rsid w:val="00CD72E6"/>
    <w:rsid w:val="00CD7C2F"/>
    <w:rsid w:val="00CE2386"/>
    <w:rsid w:val="00D07CE1"/>
    <w:rsid w:val="00D110E6"/>
    <w:rsid w:val="00D11CA4"/>
    <w:rsid w:val="00D142EE"/>
    <w:rsid w:val="00D1539B"/>
    <w:rsid w:val="00D20205"/>
    <w:rsid w:val="00D34EEC"/>
    <w:rsid w:val="00D45501"/>
    <w:rsid w:val="00D463B0"/>
    <w:rsid w:val="00D4740D"/>
    <w:rsid w:val="00D50E26"/>
    <w:rsid w:val="00D56F9F"/>
    <w:rsid w:val="00D60E4C"/>
    <w:rsid w:val="00D6393A"/>
    <w:rsid w:val="00D830DE"/>
    <w:rsid w:val="00D832C5"/>
    <w:rsid w:val="00D87869"/>
    <w:rsid w:val="00D9092C"/>
    <w:rsid w:val="00D917D1"/>
    <w:rsid w:val="00DB2814"/>
    <w:rsid w:val="00DC02A4"/>
    <w:rsid w:val="00DD1A3B"/>
    <w:rsid w:val="00DD2795"/>
    <w:rsid w:val="00DE75A8"/>
    <w:rsid w:val="00DF04F2"/>
    <w:rsid w:val="00DF0A77"/>
    <w:rsid w:val="00DF1859"/>
    <w:rsid w:val="00DF3662"/>
    <w:rsid w:val="00E018B8"/>
    <w:rsid w:val="00E0445A"/>
    <w:rsid w:val="00E045C4"/>
    <w:rsid w:val="00E0484E"/>
    <w:rsid w:val="00E117F5"/>
    <w:rsid w:val="00E1495C"/>
    <w:rsid w:val="00E32408"/>
    <w:rsid w:val="00E35260"/>
    <w:rsid w:val="00E37CEF"/>
    <w:rsid w:val="00E43370"/>
    <w:rsid w:val="00E45522"/>
    <w:rsid w:val="00E51003"/>
    <w:rsid w:val="00E60109"/>
    <w:rsid w:val="00E66CE8"/>
    <w:rsid w:val="00E72EF1"/>
    <w:rsid w:val="00E81031"/>
    <w:rsid w:val="00E8194E"/>
    <w:rsid w:val="00E824A1"/>
    <w:rsid w:val="00E845D4"/>
    <w:rsid w:val="00E90E29"/>
    <w:rsid w:val="00EA5648"/>
    <w:rsid w:val="00EB00DA"/>
    <w:rsid w:val="00EB2417"/>
    <w:rsid w:val="00EB6A49"/>
    <w:rsid w:val="00EC22CC"/>
    <w:rsid w:val="00ED354D"/>
    <w:rsid w:val="00ED6B69"/>
    <w:rsid w:val="00ED7F2C"/>
    <w:rsid w:val="00EE0831"/>
    <w:rsid w:val="00EE20A4"/>
    <w:rsid w:val="00EE34F4"/>
    <w:rsid w:val="00EE4F86"/>
    <w:rsid w:val="00EF09C9"/>
    <w:rsid w:val="00EF22A4"/>
    <w:rsid w:val="00F026B8"/>
    <w:rsid w:val="00F06997"/>
    <w:rsid w:val="00F16AF9"/>
    <w:rsid w:val="00F4217A"/>
    <w:rsid w:val="00F428E4"/>
    <w:rsid w:val="00F47185"/>
    <w:rsid w:val="00F50E6C"/>
    <w:rsid w:val="00F5176D"/>
    <w:rsid w:val="00F527EF"/>
    <w:rsid w:val="00F5418A"/>
    <w:rsid w:val="00F54EA0"/>
    <w:rsid w:val="00F56F29"/>
    <w:rsid w:val="00F60F8C"/>
    <w:rsid w:val="00F636A6"/>
    <w:rsid w:val="00F66517"/>
    <w:rsid w:val="00F7050A"/>
    <w:rsid w:val="00F74F0B"/>
    <w:rsid w:val="00F75D34"/>
    <w:rsid w:val="00F82AE4"/>
    <w:rsid w:val="00F85D91"/>
    <w:rsid w:val="00F87E53"/>
    <w:rsid w:val="00F96EE9"/>
    <w:rsid w:val="00FA0378"/>
    <w:rsid w:val="00FA0ED9"/>
    <w:rsid w:val="00FA355B"/>
    <w:rsid w:val="00FA6129"/>
    <w:rsid w:val="00FB382E"/>
    <w:rsid w:val="00FC0A2B"/>
    <w:rsid w:val="00FC4302"/>
    <w:rsid w:val="00FC4944"/>
    <w:rsid w:val="00FC558B"/>
    <w:rsid w:val="00FC6E3C"/>
    <w:rsid w:val="00FD1031"/>
    <w:rsid w:val="00FD5AF2"/>
    <w:rsid w:val="00FE0592"/>
    <w:rsid w:val="00FE1639"/>
    <w:rsid w:val="00FE285D"/>
    <w:rsid w:val="00FF3B9B"/>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0312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1236"/>
    <w:rPr>
      <w:sz w:val="20"/>
      <w:szCs w:val="20"/>
    </w:rPr>
  </w:style>
  <w:style w:type="character" w:styleId="Appelnotedebasdep">
    <w:name w:val="footnote reference"/>
    <w:basedOn w:val="Policepardfaut"/>
    <w:uiPriority w:val="99"/>
    <w:semiHidden/>
    <w:unhideWhenUsed/>
    <w:rsid w:val="00031236"/>
    <w:rPr>
      <w:vertAlign w:val="superscript"/>
    </w:rPr>
  </w:style>
  <w:style w:type="character" w:styleId="Lienhypertexte">
    <w:name w:val="Hyperlink"/>
    <w:basedOn w:val="Policepardfaut"/>
    <w:uiPriority w:val="99"/>
    <w:semiHidden/>
    <w:unhideWhenUsed/>
    <w:rsid w:val="00031236"/>
    <w:rPr>
      <w:color w:val="0000FF"/>
      <w:u w:val="single"/>
    </w:rPr>
  </w:style>
  <w:style w:type="paragraph" w:styleId="Rvision">
    <w:name w:val="Revision"/>
    <w:hidden/>
    <w:uiPriority w:val="99"/>
    <w:semiHidden/>
    <w:rsid w:val="007305D9"/>
    <w:pPr>
      <w:spacing w:after="0" w:line="240" w:lineRule="auto"/>
    </w:pPr>
  </w:style>
  <w:style w:type="paragraph" w:styleId="Corpsdetexte">
    <w:name w:val="Body Text"/>
    <w:basedOn w:val="Normal"/>
    <w:link w:val="CorpsdetexteCar"/>
    <w:uiPriority w:val="1"/>
    <w:qFormat/>
    <w:rsid w:val="00D142EE"/>
    <w:pPr>
      <w:widowControl w:val="0"/>
      <w:autoSpaceDE w:val="0"/>
      <w:autoSpaceDN w:val="0"/>
      <w:spacing w:after="0" w:line="240" w:lineRule="auto"/>
    </w:pPr>
    <w:rPr>
      <w:rFonts w:ascii="Verdana" w:eastAsia="Verdana" w:hAnsi="Verdana" w:cs="Verdana"/>
      <w:sz w:val="20"/>
      <w:szCs w:val="20"/>
    </w:rPr>
  </w:style>
  <w:style w:type="character" w:customStyle="1" w:styleId="CorpsdetexteCar">
    <w:name w:val="Corps de texte Car"/>
    <w:basedOn w:val="Policepardfaut"/>
    <w:link w:val="Corpsdetexte"/>
    <w:uiPriority w:val="1"/>
    <w:rsid w:val="00D142EE"/>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59430057">
      <w:bodyDiv w:val="1"/>
      <w:marLeft w:val="0"/>
      <w:marRight w:val="0"/>
      <w:marTop w:val="0"/>
      <w:marBottom w:val="0"/>
      <w:divBdr>
        <w:top w:val="none" w:sz="0" w:space="0" w:color="auto"/>
        <w:left w:val="none" w:sz="0" w:space="0" w:color="auto"/>
        <w:bottom w:val="none" w:sz="0" w:space="0" w:color="auto"/>
        <w:right w:val="none" w:sz="0" w:space="0" w:color="auto"/>
      </w:divBdr>
      <w:divsChild>
        <w:div w:id="849831146">
          <w:marLeft w:val="714"/>
          <w:marRight w:val="0"/>
          <w:marTop w:val="0"/>
          <w:marBottom w:val="120"/>
          <w:divBdr>
            <w:top w:val="none" w:sz="0" w:space="0" w:color="auto"/>
            <w:left w:val="none" w:sz="0" w:space="0" w:color="auto"/>
            <w:bottom w:val="none" w:sz="0" w:space="0" w:color="auto"/>
            <w:right w:val="none" w:sz="0" w:space="0" w:color="auto"/>
          </w:divBdr>
        </w:div>
        <w:div w:id="441652637">
          <w:marLeft w:val="714"/>
          <w:marRight w:val="0"/>
          <w:marTop w:val="0"/>
          <w:marBottom w:val="120"/>
          <w:divBdr>
            <w:top w:val="none" w:sz="0" w:space="0" w:color="auto"/>
            <w:left w:val="none" w:sz="0" w:space="0" w:color="auto"/>
            <w:bottom w:val="none" w:sz="0" w:space="0" w:color="auto"/>
            <w:right w:val="none" w:sz="0" w:space="0" w:color="auto"/>
          </w:divBdr>
        </w:div>
        <w:div w:id="1075393077">
          <w:marLeft w:val="714"/>
          <w:marRight w:val="0"/>
          <w:marTop w:val="0"/>
          <w:marBottom w:val="120"/>
          <w:divBdr>
            <w:top w:val="none" w:sz="0" w:space="0" w:color="auto"/>
            <w:left w:val="none" w:sz="0" w:space="0" w:color="auto"/>
            <w:bottom w:val="none" w:sz="0" w:space="0" w:color="auto"/>
            <w:right w:val="none" w:sz="0" w:space="0" w:color="auto"/>
          </w:divBdr>
        </w:div>
        <w:div w:id="696203348">
          <w:marLeft w:val="0"/>
          <w:marRight w:val="0"/>
          <w:marTop w:val="240"/>
          <w:marBottom w:val="120"/>
          <w:divBdr>
            <w:top w:val="none" w:sz="0" w:space="0" w:color="auto"/>
            <w:left w:val="none" w:sz="0" w:space="0" w:color="auto"/>
            <w:bottom w:val="none" w:sz="0" w:space="0" w:color="auto"/>
            <w:right w:val="none" w:sz="0" w:space="0" w:color="auto"/>
          </w:divBdr>
        </w:div>
        <w:div w:id="1976909673">
          <w:marLeft w:val="0"/>
          <w:marRight w:val="0"/>
          <w:marTop w:val="240"/>
          <w:marBottom w:val="120"/>
          <w:divBdr>
            <w:top w:val="none" w:sz="0" w:space="0" w:color="auto"/>
            <w:left w:val="none" w:sz="0" w:space="0" w:color="auto"/>
            <w:bottom w:val="none" w:sz="0" w:space="0" w:color="auto"/>
            <w:right w:val="none" w:sz="0" w:space="0" w:color="auto"/>
          </w:divBdr>
        </w:div>
        <w:div w:id="1023019259">
          <w:marLeft w:val="714"/>
          <w:marRight w:val="0"/>
          <w:marTop w:val="0"/>
          <w:marBottom w:val="120"/>
          <w:divBdr>
            <w:top w:val="none" w:sz="0" w:space="0" w:color="auto"/>
            <w:left w:val="none" w:sz="0" w:space="0" w:color="auto"/>
            <w:bottom w:val="none" w:sz="0" w:space="0" w:color="auto"/>
            <w:right w:val="none" w:sz="0" w:space="0" w:color="auto"/>
          </w:divBdr>
        </w:div>
        <w:div w:id="389381318">
          <w:marLeft w:val="714"/>
          <w:marRight w:val="0"/>
          <w:marTop w:val="0"/>
          <w:marBottom w:val="120"/>
          <w:divBdr>
            <w:top w:val="none" w:sz="0" w:space="0" w:color="auto"/>
            <w:left w:val="none" w:sz="0" w:space="0" w:color="auto"/>
            <w:bottom w:val="none" w:sz="0" w:space="0" w:color="auto"/>
            <w:right w:val="none" w:sz="0" w:space="0" w:color="auto"/>
          </w:divBdr>
        </w:div>
        <w:div w:id="1502895100">
          <w:marLeft w:val="0"/>
          <w:marRight w:val="0"/>
          <w:marTop w:val="240"/>
          <w:marBottom w:val="120"/>
          <w:divBdr>
            <w:top w:val="none" w:sz="0" w:space="0" w:color="auto"/>
            <w:left w:val="none" w:sz="0" w:space="0" w:color="auto"/>
            <w:bottom w:val="none" w:sz="0" w:space="0" w:color="auto"/>
            <w:right w:val="none" w:sz="0" w:space="0" w:color="auto"/>
          </w:divBdr>
        </w:div>
        <w:div w:id="1909532748">
          <w:marLeft w:val="0"/>
          <w:marRight w:val="0"/>
          <w:marTop w:val="240"/>
          <w:marBottom w:val="120"/>
          <w:divBdr>
            <w:top w:val="none" w:sz="0" w:space="0" w:color="auto"/>
            <w:left w:val="none" w:sz="0" w:space="0" w:color="auto"/>
            <w:bottom w:val="none" w:sz="0" w:space="0" w:color="auto"/>
            <w:right w:val="none" w:sz="0" w:space="0" w:color="auto"/>
          </w:divBdr>
        </w:div>
        <w:div w:id="162549338">
          <w:marLeft w:val="0"/>
          <w:marRight w:val="0"/>
          <w:marTop w:val="240"/>
          <w:marBottom w:val="120"/>
          <w:divBdr>
            <w:top w:val="none" w:sz="0" w:space="0" w:color="auto"/>
            <w:left w:val="none" w:sz="0" w:space="0" w:color="auto"/>
            <w:bottom w:val="none" w:sz="0" w:space="0" w:color="auto"/>
            <w:right w:val="none" w:sz="0" w:space="0" w:color="auto"/>
          </w:divBdr>
        </w:div>
        <w:div w:id="60688010">
          <w:marLeft w:val="0"/>
          <w:marRight w:val="0"/>
          <w:marTop w:val="240"/>
          <w:marBottom w:val="120"/>
          <w:divBdr>
            <w:top w:val="none" w:sz="0" w:space="0" w:color="auto"/>
            <w:left w:val="none" w:sz="0" w:space="0" w:color="auto"/>
            <w:bottom w:val="none" w:sz="0" w:space="0" w:color="auto"/>
            <w:right w:val="none" w:sz="0" w:space="0" w:color="auto"/>
          </w:divBdr>
        </w:div>
        <w:div w:id="2003655005">
          <w:marLeft w:val="0"/>
          <w:marRight w:val="0"/>
          <w:marTop w:val="240"/>
          <w:marBottom w:val="120"/>
          <w:divBdr>
            <w:top w:val="none" w:sz="0" w:space="0" w:color="auto"/>
            <w:left w:val="none" w:sz="0" w:space="0" w:color="auto"/>
            <w:bottom w:val="none" w:sz="0" w:space="0" w:color="auto"/>
            <w:right w:val="none" w:sz="0" w:space="0" w:color="auto"/>
          </w:divBdr>
        </w:div>
        <w:div w:id="1797288460">
          <w:marLeft w:val="0"/>
          <w:marRight w:val="0"/>
          <w:marTop w:val="240"/>
          <w:marBottom w:val="120"/>
          <w:divBdr>
            <w:top w:val="none" w:sz="0" w:space="0" w:color="auto"/>
            <w:left w:val="none" w:sz="0" w:space="0" w:color="auto"/>
            <w:bottom w:val="none" w:sz="0" w:space="0" w:color="auto"/>
            <w:right w:val="none" w:sz="0" w:space="0" w:color="auto"/>
          </w:divBdr>
        </w:div>
      </w:divsChild>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customXml/itemProps2.xml><?xml version="1.0" encoding="utf-8"?>
<ds:datastoreItem xmlns:ds="http://schemas.openxmlformats.org/officeDocument/2006/customXml" ds:itemID="{988A7971-D37D-4808-80A7-CC58617F3EC3}">
  <ds:schemaRefs>
    <ds:schemaRef ds:uri="http://schemas.microsoft.com/sharepoint/v3/contenttype/forms"/>
  </ds:schemaRefs>
</ds:datastoreItem>
</file>

<file path=customXml/itemProps3.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6221</Characters>
  <Application>Microsoft Office Word</Application>
  <DocSecurity>4</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2024-11-26T07:30:00Z</dcterms:created>
  <dcterms:modified xsi:type="dcterms:W3CDTF">2024-11-26T07:30:00Z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