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7F88B2" w14:textId="1358CC59" w:rsidR="00C12C93" w:rsidRPr="00816DAC" w:rsidRDefault="00C12C93" w:rsidP="00854EEA">
      <w:pPr>
        <w:jc w:val="center"/>
        <w:rPr>
          <w:rFonts w:ascii="Verdana" w:hAnsi="Verdana"/>
          <w:b/>
          <w:bCs/>
          <w:sz w:val="2"/>
          <w:szCs w:val="2"/>
        </w:rPr>
      </w:pPr>
      <w:bookmarkStart w:id="0" w:name="_Hlk183429261"/>
      <w:bookmarkEnd w:id="0"/>
    </w:p>
    <w:tbl>
      <w:tblPr>
        <w:tblStyle w:val="Grilledutableau"/>
        <w:tblW w:w="0" w:type="auto"/>
        <w:tblLook w:val="04A0" w:firstRow="1" w:lastRow="0" w:firstColumn="1" w:lastColumn="0" w:noHBand="0" w:noVBand="1"/>
      </w:tblPr>
      <w:tblGrid>
        <w:gridCol w:w="7225"/>
        <w:gridCol w:w="1837"/>
      </w:tblGrid>
      <w:tr w:rsidR="00EC22CC" w:rsidRPr="00F91E1C" w14:paraId="51109D41" w14:textId="77777777" w:rsidTr="000E2E1E">
        <w:tc>
          <w:tcPr>
            <w:tcW w:w="9062" w:type="dxa"/>
            <w:gridSpan w:val="2"/>
          </w:tcPr>
          <w:p w14:paraId="6FC76F95" w14:textId="5FC5BBB3" w:rsidR="00EC22CC" w:rsidRPr="00F91E1C" w:rsidRDefault="00560F37" w:rsidP="00854EEA">
            <w:pPr>
              <w:jc w:val="center"/>
              <w:rPr>
                <w:rFonts w:ascii="Verdana" w:hAnsi="Verdana"/>
                <w:b/>
                <w:bCs/>
              </w:rPr>
            </w:pPr>
            <w:r>
              <w:rPr>
                <w:rFonts w:ascii="Verdana" w:eastAsia="Times New Roman" w:hAnsi="Verdana"/>
                <w:b/>
                <w:bCs/>
                <w:color w:val="000000" w:themeColor="text1"/>
              </w:rPr>
              <w:t>Budget triennal 2025-2027</w:t>
            </w:r>
          </w:p>
        </w:tc>
      </w:tr>
      <w:tr w:rsidR="00EC22CC" w:rsidRPr="00F91E1C" w14:paraId="7F1B63D2" w14:textId="77777777" w:rsidTr="002A0933">
        <w:tc>
          <w:tcPr>
            <w:tcW w:w="7225" w:type="dxa"/>
          </w:tcPr>
          <w:p w14:paraId="056D9B10" w14:textId="60A7C960" w:rsidR="00EC22CC" w:rsidRPr="00F91E1C" w:rsidRDefault="00F91E1C" w:rsidP="002A096E">
            <w:pPr>
              <w:rPr>
                <w:rFonts w:ascii="Verdana" w:hAnsi="Verdana"/>
                <w:sz w:val="20"/>
                <w:szCs w:val="20"/>
              </w:rPr>
            </w:pPr>
            <w:r>
              <w:rPr>
                <w:rFonts w:ascii="Verdana" w:hAnsi="Verdana"/>
                <w:sz w:val="20"/>
                <w:szCs w:val="20"/>
              </w:rPr>
              <w:t>Comité des Officiers permanents de liaison 2-3/12/2024</w:t>
            </w:r>
          </w:p>
        </w:tc>
        <w:tc>
          <w:tcPr>
            <w:tcW w:w="1837" w:type="dxa"/>
          </w:tcPr>
          <w:p w14:paraId="58E25D1F" w14:textId="0310200E" w:rsidR="00EC22CC" w:rsidRPr="00F91E1C" w:rsidRDefault="002A096E" w:rsidP="00854EEA">
            <w:pPr>
              <w:jc w:val="center"/>
              <w:rPr>
                <w:rFonts w:ascii="Verdana" w:hAnsi="Verdana"/>
                <w:sz w:val="20"/>
                <w:szCs w:val="20"/>
              </w:rPr>
            </w:pPr>
            <w:r w:rsidRPr="00F91E1C">
              <w:rPr>
                <w:rFonts w:ascii="Verdana" w:hAnsi="Verdana"/>
                <w:sz w:val="20"/>
                <w:szCs w:val="20"/>
              </w:rPr>
              <w:t xml:space="preserve">Point </w:t>
            </w:r>
            <w:r w:rsidR="00560F37">
              <w:rPr>
                <w:rFonts w:ascii="Verdana" w:hAnsi="Verdana"/>
                <w:sz w:val="20"/>
                <w:szCs w:val="20"/>
              </w:rPr>
              <w:t>3.2.</w:t>
            </w:r>
          </w:p>
        </w:tc>
      </w:tr>
      <w:tr w:rsidR="00EC22CC" w:rsidRPr="00F91E1C" w14:paraId="537D1DE5" w14:textId="77777777" w:rsidTr="002A0933">
        <w:tc>
          <w:tcPr>
            <w:tcW w:w="7225" w:type="dxa"/>
          </w:tcPr>
          <w:p w14:paraId="43DEF09E" w14:textId="7CBA66EF" w:rsidR="00EC22CC" w:rsidRPr="00F91E1C" w:rsidRDefault="00A148A1" w:rsidP="002A096E">
            <w:pPr>
              <w:rPr>
                <w:rFonts w:ascii="Verdana" w:hAnsi="Verdana"/>
                <w:sz w:val="20"/>
                <w:szCs w:val="20"/>
              </w:rPr>
            </w:pPr>
            <w:r w:rsidRPr="00F91E1C">
              <w:rPr>
                <w:rFonts w:ascii="Verdana" w:hAnsi="Verdana"/>
                <w:i/>
                <w:iCs/>
                <w:sz w:val="20"/>
                <w:szCs w:val="20"/>
              </w:rPr>
              <w:t>Dossier suivi par :</w:t>
            </w:r>
            <w:r w:rsidR="00EC22CC" w:rsidRPr="00F91E1C">
              <w:rPr>
                <w:rFonts w:ascii="Verdana" w:hAnsi="Verdana"/>
                <w:sz w:val="20"/>
                <w:szCs w:val="20"/>
              </w:rPr>
              <w:t xml:space="preserve"> </w:t>
            </w:r>
            <w:r w:rsidR="00560F37">
              <w:rPr>
                <w:rFonts w:ascii="Verdana" w:hAnsi="Verdana"/>
                <w:sz w:val="20"/>
                <w:szCs w:val="20"/>
              </w:rPr>
              <w:t xml:space="preserve">Vicky </w:t>
            </w:r>
            <w:proofErr w:type="spellStart"/>
            <w:r w:rsidR="00560F37">
              <w:rPr>
                <w:rFonts w:ascii="Verdana" w:hAnsi="Verdana"/>
                <w:sz w:val="20"/>
                <w:szCs w:val="20"/>
              </w:rPr>
              <w:t>Cushmajee</w:t>
            </w:r>
            <w:proofErr w:type="spellEnd"/>
            <w:r w:rsidR="00560F37">
              <w:rPr>
                <w:rFonts w:ascii="Verdana" w:hAnsi="Verdana"/>
                <w:sz w:val="20"/>
                <w:szCs w:val="20"/>
              </w:rPr>
              <w:t xml:space="preserve">, chef </w:t>
            </w:r>
            <w:r w:rsidR="00AC3B9A">
              <w:rPr>
                <w:rFonts w:ascii="Verdana" w:hAnsi="Verdana"/>
                <w:sz w:val="20"/>
                <w:szCs w:val="20"/>
              </w:rPr>
              <w:t xml:space="preserve">du Service </w:t>
            </w:r>
            <w:r w:rsidR="00560F37">
              <w:rPr>
                <w:rFonts w:ascii="Verdana" w:hAnsi="Verdana"/>
                <w:sz w:val="20"/>
                <w:szCs w:val="20"/>
              </w:rPr>
              <w:t>budget</w:t>
            </w:r>
            <w:r w:rsidR="00AC3B9A">
              <w:rPr>
                <w:rFonts w:ascii="Verdana" w:hAnsi="Verdana"/>
                <w:sz w:val="20"/>
                <w:szCs w:val="20"/>
              </w:rPr>
              <w:t xml:space="preserve"> et </w:t>
            </w:r>
            <w:r w:rsidR="00560F37">
              <w:rPr>
                <w:rFonts w:ascii="Verdana" w:hAnsi="Verdana"/>
                <w:sz w:val="20"/>
                <w:szCs w:val="20"/>
              </w:rPr>
              <w:t>finance</w:t>
            </w:r>
          </w:p>
        </w:tc>
        <w:tc>
          <w:tcPr>
            <w:tcW w:w="1837" w:type="dxa"/>
          </w:tcPr>
          <w:p w14:paraId="5AC1AFAB" w14:textId="54145427" w:rsidR="00EC22CC" w:rsidRPr="00F91E1C" w:rsidRDefault="004607F7" w:rsidP="00854EEA">
            <w:pPr>
              <w:jc w:val="center"/>
              <w:rPr>
                <w:rFonts w:ascii="Verdana" w:hAnsi="Verdana"/>
                <w:sz w:val="20"/>
                <w:szCs w:val="20"/>
              </w:rPr>
            </w:pPr>
            <w:r w:rsidRPr="00E7514D">
              <w:rPr>
                <w:rFonts w:ascii="Verdana" w:hAnsi="Verdana"/>
                <w:sz w:val="20"/>
                <w:szCs w:val="20"/>
              </w:rPr>
              <w:t xml:space="preserve">Décision </w:t>
            </w:r>
          </w:p>
        </w:tc>
      </w:tr>
      <w:tr w:rsidR="00A90305" w:rsidRPr="00F91E1C" w14:paraId="6896DB30" w14:textId="77777777" w:rsidTr="009F5233">
        <w:tc>
          <w:tcPr>
            <w:tcW w:w="9062" w:type="dxa"/>
            <w:gridSpan w:val="2"/>
          </w:tcPr>
          <w:p w14:paraId="0495241B" w14:textId="5F4CEEBD" w:rsidR="00A90305" w:rsidRPr="00F91E1C" w:rsidRDefault="00A90305" w:rsidP="00A90305">
            <w:pPr>
              <w:rPr>
                <w:rFonts w:ascii="Verdana" w:hAnsi="Verdana"/>
                <w:sz w:val="20"/>
                <w:szCs w:val="20"/>
              </w:rPr>
            </w:pPr>
            <w:r w:rsidRPr="00F91E1C">
              <w:rPr>
                <w:rFonts w:ascii="Verdana" w:hAnsi="Verdana"/>
                <w:i/>
                <w:iCs/>
                <w:sz w:val="20"/>
                <w:szCs w:val="20"/>
              </w:rPr>
              <w:t xml:space="preserve">Version du </w:t>
            </w:r>
            <w:r w:rsidR="00AC3B9A">
              <w:rPr>
                <w:rFonts w:ascii="Verdana" w:hAnsi="Verdana"/>
                <w:i/>
                <w:iCs/>
                <w:sz w:val="20"/>
                <w:szCs w:val="20"/>
              </w:rPr>
              <w:t>25</w:t>
            </w:r>
            <w:r w:rsidR="0032519C" w:rsidRPr="00F91E1C">
              <w:rPr>
                <w:rFonts w:ascii="Verdana" w:hAnsi="Verdana"/>
                <w:i/>
                <w:iCs/>
                <w:sz w:val="20"/>
                <w:szCs w:val="20"/>
              </w:rPr>
              <w:t>/11/2024</w:t>
            </w:r>
            <w:r w:rsidR="00F91E1C">
              <w:rPr>
                <w:rFonts w:ascii="Verdana" w:hAnsi="Verdana"/>
                <w:i/>
                <w:iCs/>
                <w:sz w:val="20"/>
                <w:szCs w:val="20"/>
              </w:rPr>
              <w:t xml:space="preserve"> </w:t>
            </w:r>
          </w:p>
        </w:tc>
      </w:tr>
    </w:tbl>
    <w:p w14:paraId="29894061" w14:textId="77777777" w:rsidR="00560F37" w:rsidRDefault="00560F37" w:rsidP="00560F37">
      <w:pPr>
        <w:spacing w:after="120" w:line="276" w:lineRule="auto"/>
        <w:jc w:val="both"/>
        <w:rPr>
          <w:rFonts w:ascii="Verdana" w:eastAsia="Calibri Light" w:hAnsi="Verdana"/>
          <w:sz w:val="20"/>
          <w:szCs w:val="20"/>
        </w:rPr>
      </w:pPr>
    </w:p>
    <w:p w14:paraId="329ACB19" w14:textId="40E0419D" w:rsidR="00B113F2" w:rsidRDefault="00B113F2" w:rsidP="00B113F2">
      <w:pPr>
        <w:pStyle w:val="Titrepartie"/>
      </w:pPr>
      <w:r>
        <w:t>Résumé</w:t>
      </w:r>
    </w:p>
    <w:p w14:paraId="3639546A" w14:textId="256FAF9D" w:rsidR="00560F37" w:rsidRPr="00560F37" w:rsidRDefault="00560F37" w:rsidP="00560F37">
      <w:pPr>
        <w:spacing w:after="120" w:line="276" w:lineRule="auto"/>
        <w:jc w:val="both"/>
        <w:rPr>
          <w:rFonts w:ascii="Verdana" w:eastAsia="Calibri Light" w:hAnsi="Verdana"/>
          <w:sz w:val="20"/>
          <w:szCs w:val="20"/>
        </w:rPr>
      </w:pPr>
      <w:r w:rsidRPr="00560F37">
        <w:rPr>
          <w:rFonts w:ascii="Verdana" w:eastAsia="Calibri Light" w:hAnsi="Verdana"/>
          <w:sz w:val="20"/>
          <w:szCs w:val="20"/>
        </w:rPr>
        <w:t>Le Comité budgétaire s’est réuni les 14 et 15 novembre 2024 afin d’examiner le projet de budget triennal glissant pour les exercices 2025-2027. Comme chaque année, ce comité soumet ses recommandations sur le projet de budget de la COI à l’attention des instances décisionnelle</w:t>
      </w:r>
      <w:r w:rsidR="00AC3B9A">
        <w:rPr>
          <w:rFonts w:ascii="Verdana" w:eastAsia="Calibri Light" w:hAnsi="Verdana"/>
          <w:sz w:val="20"/>
          <w:szCs w:val="20"/>
        </w:rPr>
        <w:t>s</w:t>
      </w:r>
      <w:r w:rsidRPr="00560F37">
        <w:rPr>
          <w:rFonts w:ascii="Verdana" w:eastAsia="Calibri Light" w:hAnsi="Verdana"/>
          <w:sz w:val="20"/>
          <w:szCs w:val="20"/>
        </w:rPr>
        <w:t xml:space="preserve"> de l’</w:t>
      </w:r>
      <w:r w:rsidR="00AC3B9A">
        <w:rPr>
          <w:rFonts w:ascii="Verdana" w:eastAsia="Calibri Light" w:hAnsi="Verdana"/>
          <w:sz w:val="20"/>
          <w:szCs w:val="20"/>
        </w:rPr>
        <w:t>O</w:t>
      </w:r>
      <w:r w:rsidRPr="00560F37">
        <w:rPr>
          <w:rFonts w:ascii="Verdana" w:eastAsia="Calibri Light" w:hAnsi="Verdana"/>
          <w:sz w:val="20"/>
          <w:szCs w:val="20"/>
        </w:rPr>
        <w:t xml:space="preserve">rganisation, dont le Comité des OPL </w:t>
      </w:r>
      <w:r w:rsidR="00B113F2">
        <w:rPr>
          <w:rFonts w:ascii="Verdana" w:eastAsia="Calibri Light" w:hAnsi="Verdana"/>
          <w:sz w:val="20"/>
          <w:szCs w:val="20"/>
        </w:rPr>
        <w:t>des</w:t>
      </w:r>
      <w:r w:rsidRPr="00560F37">
        <w:rPr>
          <w:rFonts w:ascii="Verdana" w:eastAsia="Calibri Light" w:hAnsi="Verdana"/>
          <w:sz w:val="20"/>
          <w:szCs w:val="20"/>
        </w:rPr>
        <w:t xml:space="preserve"> 02 et 03 décembre 2024 à Maurice.</w:t>
      </w:r>
    </w:p>
    <w:p w14:paraId="49BE9069" w14:textId="77777777" w:rsidR="00560F37" w:rsidRDefault="00560F37" w:rsidP="00560F37">
      <w:pPr>
        <w:spacing w:after="120" w:line="276" w:lineRule="auto"/>
        <w:jc w:val="both"/>
        <w:rPr>
          <w:rFonts w:ascii="Verdana" w:eastAsia="Calibri Light" w:hAnsi="Verdana"/>
          <w:sz w:val="20"/>
          <w:szCs w:val="20"/>
        </w:rPr>
      </w:pPr>
      <w:r w:rsidRPr="00560F37">
        <w:rPr>
          <w:rFonts w:ascii="Verdana" w:eastAsia="Calibri Light" w:hAnsi="Verdana"/>
          <w:sz w:val="20"/>
          <w:szCs w:val="20"/>
        </w:rPr>
        <w:t>Pour rappel, le Règlement financier de la COI prévoit l’approbation du budget de l’année N+1 par les Etats-membres avant le 1</w:t>
      </w:r>
      <w:r w:rsidRPr="00560F37">
        <w:rPr>
          <w:rFonts w:ascii="Verdana" w:eastAsia="Calibri Light" w:hAnsi="Verdana"/>
          <w:sz w:val="20"/>
          <w:szCs w:val="20"/>
          <w:vertAlign w:val="superscript"/>
        </w:rPr>
        <w:t>er</w:t>
      </w:r>
      <w:r w:rsidRPr="00560F37">
        <w:rPr>
          <w:rFonts w:ascii="Verdana" w:eastAsia="Calibri Light" w:hAnsi="Verdana"/>
          <w:sz w:val="20"/>
          <w:szCs w:val="20"/>
        </w:rPr>
        <w:t xml:space="preserve"> janvier de chaque d’exercice.  </w:t>
      </w:r>
    </w:p>
    <w:p w14:paraId="5E841739" w14:textId="32B77E85" w:rsidR="00B113F2" w:rsidRDefault="00B113F2" w:rsidP="00560F37">
      <w:pPr>
        <w:spacing w:after="120" w:line="276" w:lineRule="auto"/>
        <w:jc w:val="both"/>
        <w:rPr>
          <w:rFonts w:ascii="Verdana" w:eastAsia="Calibri Light" w:hAnsi="Verdana"/>
          <w:sz w:val="20"/>
          <w:szCs w:val="20"/>
        </w:rPr>
      </w:pPr>
      <w:r>
        <w:rPr>
          <w:rFonts w:ascii="Verdana" w:eastAsia="Calibri Light" w:hAnsi="Verdana"/>
          <w:sz w:val="20"/>
          <w:szCs w:val="20"/>
        </w:rPr>
        <w:t xml:space="preserve">Cette fiche et ses annexes présentent le projet de budget 2025 ainsi qu’une prévision triennale. </w:t>
      </w:r>
    </w:p>
    <w:p w14:paraId="1BC6F41E" w14:textId="6EF453D9" w:rsidR="00B113F2" w:rsidRPr="00560F37" w:rsidRDefault="00B113F2" w:rsidP="00B113F2">
      <w:pPr>
        <w:pStyle w:val="Titrepartie"/>
      </w:pPr>
      <w:r>
        <w:t>Présentation détaillée du budget</w:t>
      </w:r>
    </w:p>
    <w:p w14:paraId="3976A829" w14:textId="48B0E38A" w:rsidR="00560F37" w:rsidRPr="00560F37" w:rsidRDefault="00560F37" w:rsidP="00560F37">
      <w:pPr>
        <w:spacing w:after="120" w:line="276" w:lineRule="auto"/>
        <w:jc w:val="both"/>
        <w:rPr>
          <w:rFonts w:ascii="Verdana" w:hAnsi="Verdana"/>
          <w:sz w:val="20"/>
          <w:szCs w:val="20"/>
        </w:rPr>
      </w:pPr>
      <w:r w:rsidRPr="00560F37">
        <w:rPr>
          <w:rFonts w:ascii="Verdana" w:eastAsia="Calibri Light" w:hAnsi="Verdana" w:cs="Calibri"/>
          <w:sz w:val="20"/>
          <w:szCs w:val="20"/>
        </w:rPr>
        <w:t>L’année 2024 est marquée par un renforcement</w:t>
      </w:r>
      <w:r w:rsidRPr="00560F37">
        <w:rPr>
          <w:rFonts w:ascii="Verdana" w:hAnsi="Verdana"/>
          <w:sz w:val="20"/>
          <w:szCs w:val="20"/>
        </w:rPr>
        <w:t xml:space="preserve"> de la structure organisationnelle du Secrétariat général </w:t>
      </w:r>
      <w:r w:rsidR="00990FDF">
        <w:rPr>
          <w:rFonts w:ascii="Verdana" w:hAnsi="Verdana"/>
          <w:sz w:val="20"/>
          <w:szCs w:val="20"/>
        </w:rPr>
        <w:t>avec</w:t>
      </w:r>
      <w:r w:rsidRPr="00560F37">
        <w:rPr>
          <w:rFonts w:ascii="Verdana" w:hAnsi="Verdana"/>
          <w:sz w:val="20"/>
          <w:szCs w:val="20"/>
        </w:rPr>
        <w:t xml:space="preserve"> le recrutement de 12 nouveaux personnels conformément aux décisions du 38</w:t>
      </w:r>
      <w:r w:rsidRPr="00560F37">
        <w:rPr>
          <w:rFonts w:ascii="Verdana" w:hAnsi="Verdana"/>
          <w:sz w:val="20"/>
          <w:szCs w:val="20"/>
          <w:vertAlign w:val="superscript"/>
        </w:rPr>
        <w:t>ème</w:t>
      </w:r>
      <w:r w:rsidRPr="00560F37">
        <w:rPr>
          <w:rFonts w:ascii="Verdana" w:hAnsi="Verdana"/>
          <w:sz w:val="20"/>
          <w:szCs w:val="20"/>
        </w:rPr>
        <w:t xml:space="preserve"> Conseil de la COI afin de répondre aux exigences concernant la gestion opérationnelle du Secrétariat général. Tou</w:t>
      </w:r>
      <w:r w:rsidR="00AC3B9A">
        <w:rPr>
          <w:rFonts w:ascii="Verdana" w:hAnsi="Verdana"/>
          <w:sz w:val="20"/>
          <w:szCs w:val="20"/>
        </w:rPr>
        <w:t>te</w:t>
      </w:r>
      <w:r w:rsidRPr="00560F37">
        <w:rPr>
          <w:rFonts w:ascii="Verdana" w:hAnsi="Verdana"/>
          <w:sz w:val="20"/>
          <w:szCs w:val="20"/>
        </w:rPr>
        <w:t>s les</w:t>
      </w:r>
      <w:r w:rsidR="00AC3B9A">
        <w:rPr>
          <w:rFonts w:ascii="Verdana" w:hAnsi="Verdana"/>
          <w:sz w:val="20"/>
          <w:szCs w:val="20"/>
        </w:rPr>
        <w:t xml:space="preserve"> procédures de</w:t>
      </w:r>
      <w:r w:rsidRPr="00560F37">
        <w:rPr>
          <w:rFonts w:ascii="Verdana" w:hAnsi="Verdana"/>
          <w:sz w:val="20"/>
          <w:szCs w:val="20"/>
        </w:rPr>
        <w:t xml:space="preserve"> recrutement ont déjà été lancé</w:t>
      </w:r>
      <w:r w:rsidR="00AC3B9A">
        <w:rPr>
          <w:rFonts w:ascii="Verdana" w:hAnsi="Verdana"/>
          <w:sz w:val="20"/>
          <w:szCs w:val="20"/>
        </w:rPr>
        <w:t>e</w:t>
      </w:r>
      <w:r w:rsidRPr="00560F37">
        <w:rPr>
          <w:rFonts w:ascii="Verdana" w:hAnsi="Verdana"/>
          <w:sz w:val="20"/>
          <w:szCs w:val="20"/>
        </w:rPr>
        <w:t>s et la prise de fonction des agents se fait graduellement.</w:t>
      </w:r>
    </w:p>
    <w:p w14:paraId="50A7E67B" w14:textId="4194203B" w:rsidR="00560F37" w:rsidRPr="00560F37" w:rsidRDefault="00560F37" w:rsidP="00560F37">
      <w:pPr>
        <w:spacing w:after="120" w:line="276" w:lineRule="auto"/>
        <w:jc w:val="both"/>
        <w:rPr>
          <w:rFonts w:ascii="Verdana" w:hAnsi="Verdana"/>
          <w:sz w:val="20"/>
          <w:szCs w:val="20"/>
        </w:rPr>
      </w:pPr>
      <w:r w:rsidRPr="00560F37">
        <w:rPr>
          <w:rFonts w:ascii="Verdana" w:hAnsi="Verdana"/>
          <w:sz w:val="20"/>
          <w:szCs w:val="20"/>
        </w:rPr>
        <w:t xml:space="preserve">Ces nouveaux postes sont actuellement pris en charge par le budget de la « Subvention </w:t>
      </w:r>
      <w:r w:rsidR="00AC3B9A">
        <w:rPr>
          <w:rFonts w:ascii="Verdana" w:hAnsi="Verdana"/>
          <w:sz w:val="20"/>
          <w:szCs w:val="20"/>
        </w:rPr>
        <w:t xml:space="preserve">COI </w:t>
      </w:r>
      <w:r w:rsidRPr="00560F37">
        <w:rPr>
          <w:rFonts w:ascii="Verdana" w:hAnsi="Verdana"/>
          <w:sz w:val="20"/>
          <w:szCs w:val="20"/>
        </w:rPr>
        <w:t>Horizon 2030 » octroyé</w:t>
      </w:r>
      <w:r w:rsidR="00990FDF">
        <w:rPr>
          <w:rFonts w:ascii="Verdana" w:hAnsi="Verdana"/>
          <w:sz w:val="20"/>
          <w:szCs w:val="20"/>
        </w:rPr>
        <w:t>e</w:t>
      </w:r>
      <w:r w:rsidRPr="00560F37">
        <w:rPr>
          <w:rFonts w:ascii="Verdana" w:hAnsi="Verdana"/>
          <w:sz w:val="20"/>
          <w:szCs w:val="20"/>
        </w:rPr>
        <w:t xml:space="preserve"> par l’Union européenne et l’Agence française de développement. Le financement se fera de manière dégressive pour les bailleurs à partir de 2025, avec une prise en charge progressive des postes par les États membres jusqu’à une prise en charge totale à partir de 2028.</w:t>
      </w:r>
    </w:p>
    <w:p w14:paraId="7CDE03B4" w14:textId="77777777" w:rsidR="00560F37" w:rsidRPr="00560F37" w:rsidRDefault="00560F37" w:rsidP="00560F37">
      <w:pPr>
        <w:spacing w:after="120" w:line="276" w:lineRule="auto"/>
        <w:jc w:val="both"/>
        <w:rPr>
          <w:rFonts w:ascii="Verdana" w:hAnsi="Verdana"/>
          <w:sz w:val="20"/>
          <w:szCs w:val="20"/>
        </w:rPr>
      </w:pPr>
      <w:r w:rsidRPr="00560F37">
        <w:rPr>
          <w:rFonts w:ascii="Verdana" w:hAnsi="Verdana"/>
          <w:sz w:val="20"/>
          <w:szCs w:val="20"/>
        </w:rPr>
        <w:t>Le budget triennal 2025 – 2027 prend en compte ces besoins de financements. Cette projection financière apporte une visibilité de l’évolution budgétaire estimée pour les trois prochaines années.</w:t>
      </w:r>
    </w:p>
    <w:p w14:paraId="13FEAD62" w14:textId="39E14A16" w:rsidR="00560F37" w:rsidRPr="00560F37" w:rsidRDefault="00560F37" w:rsidP="00560F37">
      <w:pPr>
        <w:spacing w:after="120" w:line="276" w:lineRule="auto"/>
        <w:jc w:val="both"/>
        <w:rPr>
          <w:rFonts w:ascii="Verdana" w:eastAsia="Calibri Light" w:hAnsi="Verdana" w:cs="Calibri"/>
          <w:sz w:val="20"/>
          <w:szCs w:val="20"/>
        </w:rPr>
      </w:pPr>
      <w:r w:rsidRPr="00560F37">
        <w:rPr>
          <w:rFonts w:ascii="Verdana" w:eastAsia="Calibri Light" w:hAnsi="Verdana" w:cs="Calibri"/>
          <w:sz w:val="20"/>
          <w:szCs w:val="20"/>
        </w:rPr>
        <w:t>Ce projet de budget triennal 2025 - 2027 présenté tient particulièrement compte :</w:t>
      </w:r>
    </w:p>
    <w:p w14:paraId="537CF93E" w14:textId="381FFBA5" w:rsidR="00560F37" w:rsidRPr="00560F37" w:rsidRDefault="004F3732" w:rsidP="00560F37">
      <w:pPr>
        <w:numPr>
          <w:ilvl w:val="0"/>
          <w:numId w:val="20"/>
        </w:numPr>
        <w:tabs>
          <w:tab w:val="left" w:pos="720"/>
        </w:tabs>
        <w:spacing w:after="120" w:line="276" w:lineRule="auto"/>
        <w:ind w:right="2"/>
        <w:jc w:val="both"/>
        <w:rPr>
          <w:rFonts w:ascii="Verdana" w:eastAsia="Calibri Light" w:hAnsi="Verdana" w:cs="Calibri"/>
          <w:sz w:val="20"/>
          <w:szCs w:val="20"/>
        </w:rPr>
      </w:pPr>
      <w:r>
        <w:rPr>
          <w:rFonts w:ascii="Verdana" w:eastAsia="Calibri Light" w:hAnsi="Verdana" w:cs="Calibri"/>
          <w:sz w:val="20"/>
          <w:szCs w:val="20"/>
        </w:rPr>
        <w:t>De</w:t>
      </w:r>
      <w:r w:rsidR="00560F37" w:rsidRPr="00560F37">
        <w:rPr>
          <w:rFonts w:ascii="Verdana" w:eastAsia="Calibri Light" w:hAnsi="Verdana" w:cs="Calibri"/>
          <w:sz w:val="20"/>
          <w:szCs w:val="20"/>
        </w:rPr>
        <w:t xml:space="preserve"> l’application du taux d’inflation estimé pour 2024 à +4,5% pour les ajustements salariaux de l’année 2024. L’inflation estimée </w:t>
      </w:r>
      <w:r w:rsidRPr="00560F37">
        <w:rPr>
          <w:rFonts w:ascii="Verdana" w:eastAsia="Calibri Light" w:hAnsi="Verdana" w:cs="Calibri"/>
          <w:sz w:val="20"/>
          <w:szCs w:val="20"/>
        </w:rPr>
        <w:t>par le</w:t>
      </w:r>
      <w:r w:rsidR="00560F37" w:rsidRPr="00560F37">
        <w:rPr>
          <w:rFonts w:ascii="Verdana" w:eastAsia="Calibri Light" w:hAnsi="Verdana" w:cs="Calibri"/>
          <w:sz w:val="20"/>
          <w:szCs w:val="20"/>
        </w:rPr>
        <w:t xml:space="preserve"> bureau des statistiques de Maurice pour l’année 2024 au 30 septembre est à +3,8%. Le taux réel sera appliqué pour le budget </w:t>
      </w:r>
      <w:r w:rsidR="00010B72">
        <w:rPr>
          <w:rFonts w:ascii="Verdana" w:eastAsia="Calibri Light" w:hAnsi="Verdana" w:cs="Calibri"/>
          <w:sz w:val="20"/>
          <w:szCs w:val="20"/>
        </w:rPr>
        <w:t>une fois arrêté par les autorités mauriciennes</w:t>
      </w:r>
      <w:r w:rsidR="00560F37" w:rsidRPr="00560F37">
        <w:rPr>
          <w:rFonts w:ascii="Verdana" w:eastAsia="Calibri Light" w:hAnsi="Verdana" w:cs="Calibri"/>
          <w:sz w:val="20"/>
          <w:szCs w:val="20"/>
        </w:rPr>
        <w:t xml:space="preserve"> mais </w:t>
      </w:r>
      <w:r w:rsidR="00010B72">
        <w:rPr>
          <w:rFonts w:ascii="Verdana" w:eastAsia="Calibri Light" w:hAnsi="Verdana" w:cs="Calibri"/>
          <w:sz w:val="20"/>
          <w:szCs w:val="20"/>
        </w:rPr>
        <w:t xml:space="preserve">ce taux </w:t>
      </w:r>
      <w:r w:rsidR="00560F37" w:rsidRPr="00560F37">
        <w:rPr>
          <w:rFonts w:ascii="Verdana" w:eastAsia="Calibri Light" w:hAnsi="Verdana" w:cs="Calibri"/>
          <w:sz w:val="20"/>
          <w:szCs w:val="20"/>
        </w:rPr>
        <w:t xml:space="preserve">ne </w:t>
      </w:r>
      <w:r w:rsidRPr="00560F37">
        <w:rPr>
          <w:rFonts w:ascii="Verdana" w:eastAsia="Calibri Light" w:hAnsi="Verdana" w:cs="Calibri"/>
          <w:sz w:val="20"/>
          <w:szCs w:val="20"/>
        </w:rPr>
        <w:t>dépassera</w:t>
      </w:r>
      <w:r w:rsidR="00560F37" w:rsidRPr="00560F37">
        <w:rPr>
          <w:rFonts w:ascii="Verdana" w:eastAsia="Calibri Light" w:hAnsi="Verdana" w:cs="Calibri"/>
          <w:sz w:val="20"/>
          <w:szCs w:val="20"/>
        </w:rPr>
        <w:t xml:space="preserve"> pas </w:t>
      </w:r>
      <w:r w:rsidR="00010B72">
        <w:rPr>
          <w:rFonts w:ascii="Verdana" w:eastAsia="Calibri Light" w:hAnsi="Verdana" w:cs="Calibri"/>
          <w:sz w:val="20"/>
          <w:szCs w:val="20"/>
        </w:rPr>
        <w:t xml:space="preserve">les </w:t>
      </w:r>
      <w:r w:rsidR="00560F37" w:rsidRPr="00560F37">
        <w:rPr>
          <w:rFonts w:ascii="Verdana" w:eastAsia="Calibri Light" w:hAnsi="Verdana" w:cs="Calibri"/>
          <w:sz w:val="20"/>
          <w:szCs w:val="20"/>
        </w:rPr>
        <w:t>+4,5% inscrit</w:t>
      </w:r>
      <w:r w:rsidR="00010B72">
        <w:rPr>
          <w:rFonts w:ascii="Verdana" w:eastAsia="Calibri Light" w:hAnsi="Verdana" w:cs="Calibri"/>
          <w:sz w:val="20"/>
          <w:szCs w:val="20"/>
        </w:rPr>
        <w:t>s</w:t>
      </w:r>
      <w:r w:rsidR="00560F37" w:rsidRPr="00560F37">
        <w:rPr>
          <w:rFonts w:ascii="Verdana" w:eastAsia="Calibri Light" w:hAnsi="Verdana" w:cs="Calibri"/>
          <w:sz w:val="20"/>
          <w:szCs w:val="20"/>
        </w:rPr>
        <w:t>. Pour les années 2026 et 2027, un taux de +5% est estimé dans les prévisions budgétaires.</w:t>
      </w:r>
    </w:p>
    <w:p w14:paraId="55667FF4" w14:textId="78FA3B95" w:rsidR="00560F37" w:rsidRPr="00560F37" w:rsidRDefault="001D46E2" w:rsidP="00560F37">
      <w:pPr>
        <w:numPr>
          <w:ilvl w:val="0"/>
          <w:numId w:val="20"/>
        </w:numPr>
        <w:spacing w:after="120" w:line="276" w:lineRule="auto"/>
        <w:jc w:val="both"/>
        <w:rPr>
          <w:rFonts w:ascii="Verdana" w:eastAsia="Calibri Light" w:hAnsi="Verdana" w:cs="Calibri"/>
          <w:sz w:val="20"/>
          <w:szCs w:val="20"/>
        </w:rPr>
      </w:pPr>
      <w:r>
        <w:rPr>
          <w:rFonts w:ascii="Verdana" w:eastAsia="Calibri Light" w:hAnsi="Verdana" w:cs="Calibri"/>
          <w:sz w:val="20"/>
          <w:szCs w:val="20"/>
        </w:rPr>
        <w:t xml:space="preserve">Du </w:t>
      </w:r>
      <w:r w:rsidR="00560F37" w:rsidRPr="00560F37">
        <w:rPr>
          <w:rFonts w:ascii="Verdana" w:eastAsia="Calibri Light" w:hAnsi="Verdana" w:cs="Calibri"/>
          <w:sz w:val="20"/>
          <w:szCs w:val="20"/>
        </w:rPr>
        <w:t xml:space="preserve">report des crédits disponibles sur l’année 2025 pour le renforcement du personnel par la mise à disposition de deux personnes par les Etats membres comme Assistants aux chargés de mission avec le versement d’une allocation forfaitaire de 1500 euros/mois par personne.  La mise en </w:t>
      </w:r>
      <w:r w:rsidR="00AC3B9A">
        <w:rPr>
          <w:rFonts w:ascii="Verdana" w:eastAsia="Calibri Light" w:hAnsi="Verdana" w:cs="Calibri"/>
          <w:sz w:val="20"/>
          <w:szCs w:val="20"/>
        </w:rPr>
        <w:t xml:space="preserve">œuvre </w:t>
      </w:r>
      <w:r w:rsidR="00560F37" w:rsidRPr="00560F37">
        <w:rPr>
          <w:rFonts w:ascii="Verdana" w:eastAsia="Calibri Light" w:hAnsi="Verdana" w:cs="Calibri"/>
          <w:sz w:val="20"/>
          <w:szCs w:val="20"/>
        </w:rPr>
        <w:t xml:space="preserve">de cette décision n’a pu être réalisée en 2023 ainsi qu’en 2024 en raison de la nécessité de prévoir un cadre à la fois pour le Secrétariat général et les Etats membres afin d’accueillir ce personnel au sein de </w:t>
      </w:r>
      <w:r w:rsidR="00AC3B9A" w:rsidRPr="00560F37">
        <w:rPr>
          <w:rFonts w:ascii="Verdana" w:eastAsia="Calibri Light" w:hAnsi="Verdana" w:cs="Calibri"/>
          <w:sz w:val="20"/>
          <w:szCs w:val="20"/>
        </w:rPr>
        <w:t>l’</w:t>
      </w:r>
      <w:r w:rsidR="00AC3B9A">
        <w:rPr>
          <w:rFonts w:ascii="Verdana" w:eastAsia="Calibri Light" w:hAnsi="Verdana" w:cs="Calibri"/>
          <w:sz w:val="20"/>
          <w:szCs w:val="20"/>
        </w:rPr>
        <w:t>O</w:t>
      </w:r>
      <w:r w:rsidR="00AC3B9A" w:rsidRPr="00560F37">
        <w:rPr>
          <w:rFonts w:ascii="Verdana" w:eastAsia="Calibri Light" w:hAnsi="Verdana" w:cs="Calibri"/>
          <w:sz w:val="20"/>
          <w:szCs w:val="20"/>
        </w:rPr>
        <w:t>rganisation</w:t>
      </w:r>
      <w:r w:rsidR="00560F37" w:rsidRPr="00560F37">
        <w:rPr>
          <w:rFonts w:ascii="Verdana" w:eastAsia="Calibri Light" w:hAnsi="Verdana" w:cs="Calibri"/>
          <w:sz w:val="20"/>
          <w:szCs w:val="20"/>
        </w:rPr>
        <w:t xml:space="preserve">. </w:t>
      </w:r>
    </w:p>
    <w:p w14:paraId="4DC065B3" w14:textId="20574F5D" w:rsidR="00560F37" w:rsidRPr="00560F37" w:rsidRDefault="001D46E2" w:rsidP="00560F37">
      <w:pPr>
        <w:numPr>
          <w:ilvl w:val="0"/>
          <w:numId w:val="20"/>
        </w:numPr>
        <w:spacing w:after="120" w:line="276" w:lineRule="auto"/>
        <w:jc w:val="both"/>
        <w:rPr>
          <w:rFonts w:ascii="Verdana" w:eastAsia="Calibri Light" w:hAnsi="Verdana" w:cs="Calibri"/>
          <w:sz w:val="20"/>
          <w:szCs w:val="20"/>
        </w:rPr>
      </w:pPr>
      <w:r>
        <w:rPr>
          <w:rFonts w:ascii="Verdana" w:eastAsia="Calibri Light" w:hAnsi="Verdana" w:cs="Calibri"/>
          <w:sz w:val="20"/>
          <w:szCs w:val="20"/>
        </w:rPr>
        <w:lastRenderedPageBreak/>
        <w:t>D</w:t>
      </w:r>
      <w:r w:rsidR="00560F37" w:rsidRPr="00560F37">
        <w:rPr>
          <w:rFonts w:ascii="Verdana" w:eastAsia="Calibri Light" w:hAnsi="Verdana" w:cs="Calibri"/>
          <w:sz w:val="20"/>
          <w:szCs w:val="20"/>
        </w:rPr>
        <w:t xml:space="preserve">es 12 nouveaux postes en ressources humaines avec </w:t>
      </w:r>
      <w:r w:rsidR="004F3732" w:rsidRPr="00560F37">
        <w:rPr>
          <w:rFonts w:ascii="Verdana" w:eastAsia="Calibri Light" w:hAnsi="Verdana" w:cs="Calibri"/>
          <w:sz w:val="20"/>
          <w:szCs w:val="20"/>
        </w:rPr>
        <w:t>pérennisation</w:t>
      </w:r>
      <w:r w:rsidR="00560F37" w:rsidRPr="00560F37">
        <w:rPr>
          <w:rFonts w:ascii="Verdana" w:eastAsia="Calibri Light" w:hAnsi="Verdana" w:cs="Calibri"/>
          <w:sz w:val="20"/>
          <w:szCs w:val="20"/>
        </w:rPr>
        <w:t xml:space="preserve"> des postes à partir de l’année 2025 jusqu’à une prise en charge totale à partir de 2028 (soit 2025 : 2 postes ; 2026</w:t>
      </w:r>
      <w:r w:rsidR="00EE657B">
        <w:rPr>
          <w:rFonts w:ascii="Verdana" w:eastAsia="Calibri Light" w:hAnsi="Verdana" w:cs="Calibri"/>
          <w:sz w:val="20"/>
          <w:szCs w:val="20"/>
        </w:rPr>
        <w:t> :</w:t>
      </w:r>
      <w:r w:rsidR="00560F37" w:rsidRPr="00560F37">
        <w:rPr>
          <w:rFonts w:ascii="Verdana" w:eastAsia="Calibri Light" w:hAnsi="Verdana" w:cs="Calibri"/>
          <w:sz w:val="20"/>
          <w:szCs w:val="20"/>
        </w:rPr>
        <w:t xml:space="preserve"> 5 postes</w:t>
      </w:r>
      <w:r w:rsidR="00EE657B">
        <w:rPr>
          <w:rFonts w:ascii="Verdana" w:eastAsia="Calibri Light" w:hAnsi="Verdana" w:cs="Calibri"/>
          <w:sz w:val="20"/>
          <w:szCs w:val="20"/>
        </w:rPr>
        <w:t> ;</w:t>
      </w:r>
      <w:r w:rsidR="00560F37" w:rsidRPr="00560F37">
        <w:rPr>
          <w:rFonts w:ascii="Verdana" w:eastAsia="Calibri Light" w:hAnsi="Verdana" w:cs="Calibri"/>
          <w:sz w:val="20"/>
          <w:szCs w:val="20"/>
        </w:rPr>
        <w:t xml:space="preserve"> 2027 : 5 postes). Le nouvel organigramme du SG-COI présente la redistribution du personnel par rapport à chaque département et services. </w:t>
      </w:r>
    </w:p>
    <w:p w14:paraId="4BCBB5D3" w14:textId="32CCB2C6" w:rsidR="00560F37" w:rsidRPr="00560F37" w:rsidRDefault="00EE657B" w:rsidP="00560F37">
      <w:pPr>
        <w:numPr>
          <w:ilvl w:val="0"/>
          <w:numId w:val="20"/>
        </w:numPr>
        <w:spacing w:after="120" w:line="276" w:lineRule="auto"/>
        <w:jc w:val="both"/>
        <w:rPr>
          <w:rFonts w:ascii="Verdana" w:eastAsia="Calibri Light" w:hAnsi="Verdana" w:cs="Calibri"/>
          <w:sz w:val="20"/>
          <w:szCs w:val="20"/>
        </w:rPr>
      </w:pPr>
      <w:r>
        <w:rPr>
          <w:rFonts w:ascii="Verdana" w:eastAsia="Calibri Light" w:hAnsi="Verdana" w:cs="Calibri"/>
          <w:sz w:val="20"/>
          <w:szCs w:val="20"/>
        </w:rPr>
        <w:t>Du</w:t>
      </w:r>
      <w:r w:rsidR="00560F37" w:rsidRPr="00560F37">
        <w:rPr>
          <w:rFonts w:ascii="Verdana" w:eastAsia="Calibri Light" w:hAnsi="Verdana" w:cs="Calibri"/>
          <w:sz w:val="20"/>
          <w:szCs w:val="20"/>
        </w:rPr>
        <w:t xml:space="preserve"> budget requis pour les indemnités de fin de contrat pour certains agents de la COI dont le contrat arrive à expiration </w:t>
      </w:r>
      <w:r w:rsidR="00AC3B9A">
        <w:rPr>
          <w:rFonts w:ascii="Verdana" w:eastAsia="Calibri Light" w:hAnsi="Verdana" w:cs="Calibri"/>
          <w:sz w:val="20"/>
          <w:szCs w:val="20"/>
        </w:rPr>
        <w:t>en</w:t>
      </w:r>
      <w:r w:rsidR="00560F37" w:rsidRPr="00560F37">
        <w:rPr>
          <w:rFonts w:ascii="Verdana" w:eastAsia="Calibri Light" w:hAnsi="Verdana" w:cs="Calibri"/>
          <w:sz w:val="20"/>
          <w:szCs w:val="20"/>
        </w:rPr>
        <w:t xml:space="preserve"> 2025 et </w:t>
      </w:r>
      <w:r w:rsidR="00AC3B9A">
        <w:rPr>
          <w:rFonts w:ascii="Verdana" w:eastAsia="Calibri Light" w:hAnsi="Verdana" w:cs="Calibri"/>
          <w:sz w:val="20"/>
          <w:szCs w:val="20"/>
        </w:rPr>
        <w:t xml:space="preserve">en </w:t>
      </w:r>
      <w:r w:rsidR="00560F37" w:rsidRPr="00560F37">
        <w:rPr>
          <w:rFonts w:ascii="Verdana" w:eastAsia="Calibri Light" w:hAnsi="Verdana" w:cs="Calibri"/>
          <w:sz w:val="20"/>
          <w:szCs w:val="20"/>
        </w:rPr>
        <w:t>2026.</w:t>
      </w:r>
    </w:p>
    <w:p w14:paraId="04D1FDA9" w14:textId="1FD42758" w:rsidR="00560F37" w:rsidRPr="00560F37" w:rsidRDefault="00EE657B" w:rsidP="00560F37">
      <w:pPr>
        <w:numPr>
          <w:ilvl w:val="0"/>
          <w:numId w:val="20"/>
        </w:numPr>
        <w:spacing w:after="120" w:line="276" w:lineRule="auto"/>
        <w:jc w:val="both"/>
        <w:rPr>
          <w:rFonts w:ascii="Verdana" w:eastAsia="Calibri Light" w:hAnsi="Verdana" w:cs="Calibri"/>
          <w:sz w:val="20"/>
          <w:szCs w:val="20"/>
        </w:rPr>
      </w:pPr>
      <w:r>
        <w:rPr>
          <w:rFonts w:ascii="Verdana" w:eastAsia="Calibri Light" w:hAnsi="Verdana" w:cs="Calibri"/>
          <w:sz w:val="20"/>
          <w:szCs w:val="20"/>
        </w:rPr>
        <w:t>De</w:t>
      </w:r>
      <w:r w:rsidR="00560F37" w:rsidRPr="00560F37">
        <w:rPr>
          <w:rFonts w:ascii="Verdana" w:eastAsia="Calibri Light" w:hAnsi="Verdana" w:cs="Calibri"/>
          <w:sz w:val="20"/>
          <w:szCs w:val="20"/>
        </w:rPr>
        <w:t xml:space="preserve">s coûts liés à la modernisation du Secrétariat général dont plusieurs outils sont </w:t>
      </w:r>
      <w:r w:rsidR="00560F37" w:rsidRPr="00560F37">
        <w:rPr>
          <w:rFonts w:ascii="Verdana" w:hAnsi="Verdana"/>
          <w:sz w:val="20"/>
          <w:szCs w:val="20"/>
        </w:rPr>
        <w:t>acquis sur la Subvention. Le SG-COI prendra en charge les coûts des licences annuelles pour les logiciels qui représentent ainsi la progressivité du financement par les Etats membres.</w:t>
      </w:r>
    </w:p>
    <w:p w14:paraId="2E4669CF" w14:textId="1D0EE3C9" w:rsidR="00560F37" w:rsidRPr="00560F37" w:rsidRDefault="00FD3E86" w:rsidP="00560F37">
      <w:pPr>
        <w:numPr>
          <w:ilvl w:val="0"/>
          <w:numId w:val="20"/>
        </w:numPr>
        <w:spacing w:after="120" w:line="276" w:lineRule="auto"/>
        <w:jc w:val="both"/>
        <w:rPr>
          <w:rFonts w:ascii="Verdana" w:eastAsia="Calibri Light" w:hAnsi="Verdana" w:cs="Calibri"/>
          <w:sz w:val="20"/>
          <w:szCs w:val="20"/>
        </w:rPr>
      </w:pPr>
      <w:r>
        <w:rPr>
          <w:rFonts w:ascii="Verdana" w:eastAsia="Calibri Light" w:hAnsi="Verdana" w:cs="Calibri"/>
          <w:sz w:val="20"/>
          <w:szCs w:val="20"/>
        </w:rPr>
        <w:t>D</w:t>
      </w:r>
      <w:r w:rsidR="00560F37" w:rsidRPr="00560F37">
        <w:rPr>
          <w:rFonts w:ascii="Verdana" w:eastAsia="Calibri Light" w:hAnsi="Verdana" w:cs="Calibri"/>
          <w:sz w:val="20"/>
          <w:szCs w:val="20"/>
        </w:rPr>
        <w:t>es coûts liés à la tenue d’un Sommet des chefs d’Etats et de gouvernement prévu à Madagascar en 2025.</w:t>
      </w:r>
    </w:p>
    <w:p w14:paraId="2319DA00" w14:textId="1F0CCCB8" w:rsidR="00560F37" w:rsidRPr="00560F37" w:rsidRDefault="00FD3E86" w:rsidP="00560F37">
      <w:pPr>
        <w:numPr>
          <w:ilvl w:val="0"/>
          <w:numId w:val="20"/>
        </w:numPr>
        <w:spacing w:after="120" w:line="276" w:lineRule="auto"/>
        <w:jc w:val="both"/>
        <w:rPr>
          <w:rFonts w:ascii="Verdana" w:eastAsia="Calibri Light" w:hAnsi="Verdana" w:cs="Calibri"/>
          <w:sz w:val="20"/>
          <w:szCs w:val="20"/>
        </w:rPr>
      </w:pPr>
      <w:r>
        <w:rPr>
          <w:rFonts w:ascii="Verdana" w:eastAsia="Calibri Light" w:hAnsi="Verdana" w:cs="Calibri"/>
          <w:sz w:val="20"/>
          <w:szCs w:val="20"/>
        </w:rPr>
        <w:t>Du</w:t>
      </w:r>
      <w:r w:rsidR="00560F37" w:rsidRPr="00560F37">
        <w:rPr>
          <w:rFonts w:ascii="Verdana" w:eastAsia="Calibri Light" w:hAnsi="Verdana" w:cs="Calibri"/>
          <w:sz w:val="20"/>
          <w:szCs w:val="20"/>
        </w:rPr>
        <w:t xml:space="preserve"> remplacement de la voiture de fonction du Secrétaire général acquise en mai 2023. Le véhicule actuel ne répond plus au besoin et est en manque de puissance pour une voiture de représentation comme observé lors des cortèges officiels etc.</w:t>
      </w:r>
    </w:p>
    <w:p w14:paraId="11E705D3" w14:textId="17770185" w:rsidR="00560F37" w:rsidRPr="00560F37" w:rsidRDefault="00560F37" w:rsidP="00560F37">
      <w:pPr>
        <w:tabs>
          <w:tab w:val="left" w:pos="720"/>
        </w:tabs>
        <w:spacing w:after="120" w:line="276" w:lineRule="auto"/>
        <w:ind w:right="2"/>
        <w:jc w:val="both"/>
        <w:rPr>
          <w:rFonts w:ascii="Verdana" w:eastAsia="Calibri Light" w:hAnsi="Verdana" w:cs="Calibri"/>
          <w:sz w:val="20"/>
          <w:szCs w:val="20"/>
        </w:rPr>
      </w:pPr>
      <w:r w:rsidRPr="00560F37">
        <w:rPr>
          <w:rFonts w:ascii="Verdana" w:eastAsia="Calibri Light" w:hAnsi="Verdana" w:cs="Calibri"/>
          <w:sz w:val="20"/>
          <w:szCs w:val="20"/>
        </w:rPr>
        <w:t xml:space="preserve">Au niveau des </w:t>
      </w:r>
      <w:r w:rsidRPr="00560F37">
        <w:rPr>
          <w:rFonts w:ascii="Verdana" w:eastAsia="Calibri Light" w:hAnsi="Verdana" w:cs="Calibri"/>
          <w:b/>
          <w:bCs/>
          <w:sz w:val="20"/>
          <w:szCs w:val="20"/>
        </w:rPr>
        <w:t>recettes,</w:t>
      </w:r>
      <w:r w:rsidRPr="00560F37">
        <w:rPr>
          <w:rFonts w:ascii="Verdana" w:eastAsia="Calibri Light" w:hAnsi="Verdana" w:cs="Calibri"/>
          <w:sz w:val="20"/>
          <w:szCs w:val="20"/>
        </w:rPr>
        <w:t xml:space="preserve"> comme chaque année, la contribution de la Chine constitue la seule rentrée de fond</w:t>
      </w:r>
      <w:r w:rsidR="00180B43">
        <w:rPr>
          <w:rFonts w:ascii="Verdana" w:eastAsia="Calibri Light" w:hAnsi="Verdana" w:cs="Calibri"/>
          <w:sz w:val="20"/>
          <w:szCs w:val="20"/>
        </w:rPr>
        <w:t>s</w:t>
      </w:r>
      <w:r w:rsidRPr="00560F37">
        <w:rPr>
          <w:rFonts w:ascii="Verdana" w:eastAsia="Calibri Light" w:hAnsi="Verdana" w:cs="Calibri"/>
          <w:sz w:val="20"/>
          <w:szCs w:val="20"/>
        </w:rPr>
        <w:t xml:space="preserve"> </w:t>
      </w:r>
      <w:r w:rsidR="00180B43">
        <w:rPr>
          <w:rFonts w:ascii="Verdana" w:eastAsia="Calibri Light" w:hAnsi="Verdana" w:cs="Calibri"/>
          <w:sz w:val="20"/>
          <w:szCs w:val="20"/>
        </w:rPr>
        <w:t xml:space="preserve">complémentaires des </w:t>
      </w:r>
      <w:r w:rsidRPr="00560F37">
        <w:rPr>
          <w:rFonts w:ascii="Verdana" w:eastAsia="Calibri Light" w:hAnsi="Verdana" w:cs="Calibri"/>
          <w:sz w:val="20"/>
          <w:szCs w:val="20"/>
        </w:rPr>
        <w:t>contributions des Etats membres. Ce</w:t>
      </w:r>
      <w:r w:rsidR="00180B43">
        <w:rPr>
          <w:rFonts w:ascii="Verdana" w:eastAsia="Calibri Light" w:hAnsi="Verdana" w:cs="Calibri"/>
          <w:sz w:val="20"/>
          <w:szCs w:val="20"/>
        </w:rPr>
        <w:t xml:space="preserve">t observateur auprès de la COI </w:t>
      </w:r>
      <w:r w:rsidRPr="00560F37">
        <w:rPr>
          <w:rFonts w:ascii="Verdana" w:eastAsia="Calibri Light" w:hAnsi="Verdana" w:cs="Calibri"/>
          <w:sz w:val="20"/>
          <w:szCs w:val="20"/>
        </w:rPr>
        <w:t xml:space="preserve">contribue à hauteur de 90 000 dollars par an (équivalent à €85 000) en faveur de la COI et le projet de budget a pris en compte 50% de ce montant (soit €42 500), le solde étant réservé aux </w:t>
      </w:r>
      <w:r w:rsidR="00AC3B9A" w:rsidRPr="00560F37">
        <w:rPr>
          <w:rFonts w:ascii="Verdana" w:eastAsia="Calibri Light" w:hAnsi="Verdana" w:cs="Calibri"/>
          <w:sz w:val="20"/>
          <w:szCs w:val="20"/>
        </w:rPr>
        <w:t>acti</w:t>
      </w:r>
      <w:r w:rsidR="00AC3B9A">
        <w:rPr>
          <w:rFonts w:ascii="Verdana" w:eastAsia="Calibri Light" w:hAnsi="Verdana" w:cs="Calibri"/>
          <w:sz w:val="20"/>
          <w:szCs w:val="20"/>
        </w:rPr>
        <w:t>vités</w:t>
      </w:r>
      <w:r w:rsidR="00AC3B9A" w:rsidRPr="00560F37">
        <w:rPr>
          <w:rFonts w:ascii="Verdana" w:eastAsia="Calibri Light" w:hAnsi="Verdana" w:cs="Calibri"/>
          <w:sz w:val="20"/>
          <w:szCs w:val="20"/>
        </w:rPr>
        <w:t xml:space="preserve"> </w:t>
      </w:r>
      <w:r w:rsidRPr="00560F37">
        <w:rPr>
          <w:rFonts w:ascii="Verdana" w:eastAsia="Calibri Light" w:hAnsi="Verdana" w:cs="Calibri"/>
          <w:sz w:val="20"/>
          <w:szCs w:val="20"/>
        </w:rPr>
        <w:t xml:space="preserve">prioritaires </w:t>
      </w:r>
      <w:r w:rsidR="00AC3B9A">
        <w:rPr>
          <w:rFonts w:ascii="Verdana" w:eastAsia="Calibri Light" w:hAnsi="Verdana" w:cs="Calibri"/>
          <w:sz w:val="20"/>
          <w:szCs w:val="20"/>
        </w:rPr>
        <w:t xml:space="preserve">définies en concertation avec </w:t>
      </w:r>
      <w:r w:rsidRPr="00560F37">
        <w:rPr>
          <w:rFonts w:ascii="Verdana" w:eastAsia="Calibri Light" w:hAnsi="Verdana" w:cs="Calibri"/>
          <w:sz w:val="20"/>
          <w:szCs w:val="20"/>
        </w:rPr>
        <w:t>la Chine. En effet, la Chine a indiqué qu’une partie de sa contribution devra être consacrée à la réduction de la pauvreté, y compris </w:t>
      </w:r>
      <w:r w:rsidR="008C739A">
        <w:rPr>
          <w:rFonts w:ascii="Verdana" w:eastAsia="Calibri Light" w:hAnsi="Verdana" w:cs="Calibri"/>
          <w:sz w:val="20"/>
          <w:szCs w:val="20"/>
        </w:rPr>
        <w:t>sur l’</w:t>
      </w:r>
      <w:r w:rsidRPr="00560F37">
        <w:rPr>
          <w:rFonts w:ascii="Verdana" w:eastAsia="Calibri Light" w:hAnsi="Verdana" w:cs="Calibri"/>
          <w:sz w:val="20"/>
          <w:szCs w:val="20"/>
        </w:rPr>
        <w:t>assainissement de l’eau, la jeunesse, la transition énergétique, la sécurité alimentaire et la sécurité sanitaire. Cette contribution annuelle est prévue pour les années 2025 – 2027.</w:t>
      </w:r>
    </w:p>
    <w:p w14:paraId="69BB7482" w14:textId="499A63EB" w:rsidR="00560F37" w:rsidRPr="00560F37" w:rsidRDefault="00560F37" w:rsidP="00560F37">
      <w:pPr>
        <w:tabs>
          <w:tab w:val="left" w:pos="720"/>
        </w:tabs>
        <w:spacing w:after="120" w:line="276" w:lineRule="auto"/>
        <w:ind w:right="2"/>
        <w:jc w:val="both"/>
        <w:rPr>
          <w:rFonts w:ascii="Verdana" w:eastAsia="Calibri Light" w:hAnsi="Verdana" w:cs="Calibri"/>
          <w:sz w:val="20"/>
          <w:szCs w:val="20"/>
        </w:rPr>
      </w:pPr>
      <w:r w:rsidRPr="00560F37">
        <w:rPr>
          <w:rFonts w:ascii="Verdana" w:eastAsia="Calibri Light" w:hAnsi="Verdana" w:cs="Calibri"/>
          <w:sz w:val="20"/>
          <w:szCs w:val="20"/>
        </w:rPr>
        <w:t>Le projet de budget triennal 2025 -2027 a aussi tenu compte du remboursement des frais généraux de certains projet</w:t>
      </w:r>
      <w:r w:rsidR="00157766">
        <w:rPr>
          <w:rFonts w:ascii="Verdana" w:eastAsia="Calibri Light" w:hAnsi="Verdana" w:cs="Calibri"/>
          <w:sz w:val="20"/>
          <w:szCs w:val="20"/>
        </w:rPr>
        <w:t>s</w:t>
      </w:r>
      <w:r w:rsidRPr="00560F37">
        <w:rPr>
          <w:rFonts w:ascii="Verdana" w:eastAsia="Calibri Light" w:hAnsi="Verdana" w:cs="Calibri"/>
          <w:sz w:val="20"/>
          <w:szCs w:val="20"/>
        </w:rPr>
        <w:t xml:space="preserve"> en cours de mise en </w:t>
      </w:r>
      <w:r w:rsidR="004F3732" w:rsidRPr="00560F37">
        <w:rPr>
          <w:rFonts w:ascii="Verdana" w:eastAsia="Calibri Light" w:hAnsi="Verdana" w:cs="Calibri"/>
          <w:sz w:val="20"/>
          <w:szCs w:val="20"/>
        </w:rPr>
        <w:t>œuvre</w:t>
      </w:r>
      <w:r w:rsidRPr="00560F37">
        <w:rPr>
          <w:rFonts w:ascii="Verdana" w:eastAsia="Calibri Light" w:hAnsi="Verdana" w:cs="Calibri"/>
          <w:sz w:val="20"/>
          <w:szCs w:val="20"/>
        </w:rPr>
        <w:t xml:space="preserve"> par la COI. Ces frais sont remboursés sur une base forfaitaire par les projets respectifs au bénéfice du Secrétariat général qui se charge d’honorer les dépenses communes de fonctionnement. </w:t>
      </w:r>
    </w:p>
    <w:p w14:paraId="38F61F10" w14:textId="6D3D7725" w:rsidR="00560F37" w:rsidRPr="00560F37" w:rsidRDefault="00560F37" w:rsidP="00560F37">
      <w:pPr>
        <w:tabs>
          <w:tab w:val="left" w:pos="720"/>
        </w:tabs>
        <w:spacing w:after="120" w:line="276" w:lineRule="auto"/>
        <w:ind w:right="2"/>
        <w:jc w:val="both"/>
        <w:rPr>
          <w:rFonts w:ascii="Verdana" w:eastAsia="Calibri Light" w:hAnsi="Verdana" w:cs="Calibri"/>
          <w:sz w:val="20"/>
          <w:szCs w:val="20"/>
        </w:rPr>
      </w:pPr>
      <w:r w:rsidRPr="00560F37">
        <w:rPr>
          <w:rFonts w:ascii="Verdana" w:eastAsia="Calibri Light" w:hAnsi="Verdana" w:cs="Calibri"/>
          <w:sz w:val="20"/>
          <w:szCs w:val="20"/>
        </w:rPr>
        <w:t xml:space="preserve">La projection budgétaire n’a cependant </w:t>
      </w:r>
      <w:r w:rsidR="00AC3B9A" w:rsidRPr="00560F37">
        <w:rPr>
          <w:rFonts w:ascii="Verdana" w:eastAsia="Calibri Light" w:hAnsi="Verdana" w:cs="Calibri"/>
          <w:sz w:val="20"/>
          <w:szCs w:val="20"/>
        </w:rPr>
        <w:t xml:space="preserve">pas </w:t>
      </w:r>
      <w:r w:rsidR="00AC3B9A">
        <w:rPr>
          <w:rFonts w:ascii="Verdana" w:eastAsia="Calibri Light" w:hAnsi="Verdana" w:cs="Calibri"/>
          <w:sz w:val="20"/>
          <w:szCs w:val="20"/>
        </w:rPr>
        <w:t>pris</w:t>
      </w:r>
      <w:r w:rsidR="00AC3B9A" w:rsidRPr="00560F37">
        <w:rPr>
          <w:rFonts w:ascii="Verdana" w:eastAsia="Calibri Light" w:hAnsi="Verdana" w:cs="Calibri"/>
          <w:sz w:val="20"/>
          <w:szCs w:val="20"/>
        </w:rPr>
        <w:t xml:space="preserve"> </w:t>
      </w:r>
      <w:r w:rsidRPr="00560F37">
        <w:rPr>
          <w:rFonts w:ascii="Verdana" w:eastAsia="Calibri Light" w:hAnsi="Verdana" w:cs="Calibri"/>
          <w:sz w:val="20"/>
          <w:szCs w:val="20"/>
        </w:rPr>
        <w:t>en compte</w:t>
      </w:r>
      <w:r w:rsidR="00CA1645">
        <w:rPr>
          <w:rFonts w:ascii="Verdana" w:eastAsia="Calibri Light" w:hAnsi="Verdana" w:cs="Calibri"/>
          <w:sz w:val="20"/>
          <w:szCs w:val="20"/>
        </w:rPr>
        <w:t xml:space="preserve"> </w:t>
      </w:r>
      <w:r w:rsidR="00AC3B9A">
        <w:rPr>
          <w:rFonts w:ascii="Verdana" w:eastAsia="Calibri Light" w:hAnsi="Verdana" w:cs="Calibri"/>
          <w:sz w:val="20"/>
          <w:szCs w:val="20"/>
        </w:rPr>
        <w:t>les</w:t>
      </w:r>
      <w:r w:rsidRPr="00560F37">
        <w:rPr>
          <w:rFonts w:ascii="Verdana" w:eastAsia="Calibri Light" w:hAnsi="Verdana" w:cs="Calibri"/>
          <w:sz w:val="20"/>
          <w:szCs w:val="20"/>
        </w:rPr>
        <w:t xml:space="preserve"> éventuels frais de gestion qui pourraient être perçus par la COI pour les nouveaux projets après accréditation de la COI aux 9 piliers de l’Union européenne. De la même manière, les éventuels frais de gestion perçus des projets sur financement du Fonds vert pour le climat à la suite de l’accréditation de la COI en juillet 2024 n’ont pas été inclus tenant compte du </w:t>
      </w:r>
      <w:r w:rsidR="00157766">
        <w:rPr>
          <w:rFonts w:ascii="Verdana" w:eastAsia="Calibri Light" w:hAnsi="Verdana" w:cs="Calibri"/>
          <w:sz w:val="20"/>
          <w:szCs w:val="20"/>
        </w:rPr>
        <w:t xml:space="preserve">manque </w:t>
      </w:r>
      <w:r w:rsidRPr="00560F37">
        <w:rPr>
          <w:rFonts w:ascii="Verdana" w:eastAsia="Calibri Light" w:hAnsi="Verdana" w:cs="Calibri"/>
          <w:sz w:val="20"/>
          <w:szCs w:val="20"/>
        </w:rPr>
        <w:t xml:space="preserve">de visibilité sur les nouveaux projets </w:t>
      </w:r>
      <w:r w:rsidR="00D91515">
        <w:rPr>
          <w:rFonts w:ascii="Verdana" w:eastAsia="Calibri Light" w:hAnsi="Verdana" w:cs="Calibri"/>
          <w:sz w:val="20"/>
          <w:szCs w:val="20"/>
        </w:rPr>
        <w:t>ainsi que</w:t>
      </w:r>
      <w:r w:rsidRPr="00560F37">
        <w:rPr>
          <w:rFonts w:ascii="Verdana" w:eastAsia="Calibri Light" w:hAnsi="Verdana" w:cs="Calibri"/>
          <w:sz w:val="20"/>
          <w:szCs w:val="20"/>
        </w:rPr>
        <w:t xml:space="preserve"> du fait que ces recettes </w:t>
      </w:r>
      <w:r w:rsidR="00D91515">
        <w:rPr>
          <w:rFonts w:ascii="Verdana" w:eastAsia="Calibri Light" w:hAnsi="Verdana" w:cs="Calibri"/>
          <w:sz w:val="20"/>
          <w:szCs w:val="20"/>
        </w:rPr>
        <w:t xml:space="preserve">ne </w:t>
      </w:r>
      <w:r w:rsidRPr="00560F37">
        <w:rPr>
          <w:rFonts w:ascii="Verdana" w:eastAsia="Calibri Light" w:hAnsi="Verdana" w:cs="Calibri"/>
          <w:sz w:val="20"/>
          <w:szCs w:val="20"/>
        </w:rPr>
        <w:t xml:space="preserve">sont </w:t>
      </w:r>
      <w:r w:rsidR="004F3732" w:rsidRPr="00560F37">
        <w:rPr>
          <w:rFonts w:ascii="Verdana" w:eastAsia="Calibri Light" w:hAnsi="Verdana" w:cs="Calibri"/>
          <w:sz w:val="20"/>
          <w:szCs w:val="20"/>
        </w:rPr>
        <w:t>perçues</w:t>
      </w:r>
      <w:r w:rsidRPr="00560F37">
        <w:rPr>
          <w:rFonts w:ascii="Verdana" w:eastAsia="Calibri Light" w:hAnsi="Verdana" w:cs="Calibri"/>
          <w:sz w:val="20"/>
          <w:szCs w:val="20"/>
        </w:rPr>
        <w:t xml:space="preserve"> qu’en fin de projet sur la base des dépenses éligibles effectuées.</w:t>
      </w:r>
    </w:p>
    <w:p w14:paraId="5512717E" w14:textId="0ABAC9C7" w:rsidR="00560F37" w:rsidRPr="00560F37" w:rsidRDefault="00B113F2" w:rsidP="00CA1645">
      <w:pPr>
        <w:tabs>
          <w:tab w:val="left" w:pos="720"/>
        </w:tabs>
        <w:spacing w:after="120" w:line="276" w:lineRule="auto"/>
        <w:ind w:right="2"/>
        <w:jc w:val="center"/>
        <w:rPr>
          <w:rFonts w:ascii="Verdana" w:eastAsia="Calibri Light" w:hAnsi="Verdana" w:cs="Calibri"/>
          <w:sz w:val="20"/>
          <w:szCs w:val="20"/>
        </w:rPr>
      </w:pPr>
      <w:r w:rsidRPr="00560F37">
        <w:rPr>
          <w:rFonts w:ascii="Verdana" w:eastAsia="Calibri Light" w:hAnsi="Verdana" w:cs="Calibri"/>
          <w:noProof/>
          <w:sz w:val="20"/>
          <w:szCs w:val="20"/>
        </w:rPr>
        <w:drawing>
          <wp:inline distT="0" distB="0" distL="0" distR="0" wp14:anchorId="3ADB98A2" wp14:editId="7CDE0A48">
            <wp:extent cx="4162348" cy="2105206"/>
            <wp:effectExtent l="0" t="0" r="0" b="0"/>
            <wp:docPr id="1842288391"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14542" cy="2131604"/>
                    </a:xfrm>
                    <a:prstGeom prst="rect">
                      <a:avLst/>
                    </a:prstGeom>
                    <a:noFill/>
                    <a:ln>
                      <a:noFill/>
                    </a:ln>
                  </pic:spPr>
                </pic:pic>
              </a:graphicData>
            </a:graphic>
          </wp:inline>
        </w:drawing>
      </w:r>
    </w:p>
    <w:p w14:paraId="3F98CFF5" w14:textId="7D59065F" w:rsidR="00560F37" w:rsidRPr="00560F37" w:rsidRDefault="00560F37" w:rsidP="00560F37">
      <w:pPr>
        <w:tabs>
          <w:tab w:val="left" w:pos="720"/>
        </w:tabs>
        <w:spacing w:after="120" w:line="276" w:lineRule="auto"/>
        <w:ind w:right="2"/>
        <w:jc w:val="both"/>
        <w:rPr>
          <w:rFonts w:ascii="Verdana" w:eastAsia="Calibri Light" w:hAnsi="Verdana" w:cs="Calibri"/>
          <w:sz w:val="20"/>
          <w:szCs w:val="20"/>
        </w:rPr>
      </w:pPr>
    </w:p>
    <w:p w14:paraId="05FD826F" w14:textId="5ED54AA7" w:rsidR="00560F37" w:rsidRPr="00560F37" w:rsidRDefault="00560F37" w:rsidP="00560F37">
      <w:pPr>
        <w:tabs>
          <w:tab w:val="left" w:pos="720"/>
        </w:tabs>
        <w:spacing w:after="120" w:line="276" w:lineRule="auto"/>
        <w:ind w:right="2"/>
        <w:jc w:val="both"/>
        <w:rPr>
          <w:rFonts w:ascii="Verdana" w:eastAsia="Calibri Light" w:hAnsi="Verdana" w:cs="Calibri"/>
          <w:sz w:val="20"/>
          <w:szCs w:val="20"/>
        </w:rPr>
      </w:pPr>
      <w:r w:rsidRPr="00560F37">
        <w:rPr>
          <w:rFonts w:ascii="Verdana" w:hAnsi="Verdana"/>
          <w:noProof/>
          <w:sz w:val="20"/>
          <w:szCs w:val="20"/>
        </w:rPr>
        <w:drawing>
          <wp:inline distT="0" distB="0" distL="0" distR="0" wp14:anchorId="24E9BA07" wp14:editId="117780C3">
            <wp:extent cx="5495925" cy="2838450"/>
            <wp:effectExtent l="0" t="0" r="9525" b="0"/>
            <wp:docPr id="1748659861"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95925" cy="2838450"/>
                    </a:xfrm>
                    <a:prstGeom prst="rect">
                      <a:avLst/>
                    </a:prstGeom>
                    <a:noFill/>
                    <a:ln>
                      <a:noFill/>
                    </a:ln>
                  </pic:spPr>
                </pic:pic>
              </a:graphicData>
            </a:graphic>
          </wp:inline>
        </w:drawing>
      </w:r>
    </w:p>
    <w:p w14:paraId="69818289" w14:textId="77777777" w:rsidR="00560F37" w:rsidRPr="00560F37" w:rsidRDefault="00560F37" w:rsidP="00560F37">
      <w:pPr>
        <w:spacing w:after="120" w:line="276" w:lineRule="auto"/>
        <w:jc w:val="both"/>
        <w:rPr>
          <w:rFonts w:ascii="Verdana" w:eastAsia="Calibri Light" w:hAnsi="Verdana"/>
          <w:sz w:val="20"/>
          <w:szCs w:val="20"/>
          <w:lang w:val="en-US"/>
        </w:rPr>
      </w:pPr>
    </w:p>
    <w:p w14:paraId="2879B409" w14:textId="1B0C5B4B" w:rsidR="00560F37" w:rsidRPr="00560F37" w:rsidRDefault="00560F37" w:rsidP="00560F37">
      <w:pPr>
        <w:spacing w:after="120" w:line="276" w:lineRule="auto"/>
        <w:jc w:val="both"/>
        <w:rPr>
          <w:rFonts w:ascii="Verdana" w:eastAsia="Calibri Light" w:hAnsi="Verdana"/>
          <w:sz w:val="20"/>
          <w:szCs w:val="20"/>
        </w:rPr>
      </w:pPr>
      <w:r w:rsidRPr="00560F37">
        <w:rPr>
          <w:rFonts w:ascii="Verdana" w:eastAsia="Calibri Light" w:hAnsi="Verdana"/>
          <w:noProof/>
          <w:sz w:val="20"/>
          <w:szCs w:val="20"/>
        </w:rPr>
        <w:drawing>
          <wp:inline distT="0" distB="0" distL="0" distR="0" wp14:anchorId="3592717D" wp14:editId="5F2EA211">
            <wp:extent cx="5760720" cy="3060065"/>
            <wp:effectExtent l="0" t="0" r="0" b="6985"/>
            <wp:docPr id="2029936687"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3060065"/>
                    </a:xfrm>
                    <a:prstGeom prst="rect">
                      <a:avLst/>
                    </a:prstGeom>
                    <a:noFill/>
                    <a:ln>
                      <a:noFill/>
                    </a:ln>
                  </pic:spPr>
                </pic:pic>
              </a:graphicData>
            </a:graphic>
          </wp:inline>
        </w:drawing>
      </w:r>
    </w:p>
    <w:p w14:paraId="5FFC972F" w14:textId="77777777" w:rsidR="00560F37" w:rsidRPr="00560F37" w:rsidRDefault="00560F37" w:rsidP="00560F37">
      <w:pPr>
        <w:spacing w:after="120" w:line="276" w:lineRule="auto"/>
        <w:jc w:val="both"/>
        <w:rPr>
          <w:rFonts w:ascii="Verdana" w:eastAsia="Calibri Light" w:hAnsi="Verdana"/>
          <w:sz w:val="20"/>
          <w:szCs w:val="20"/>
        </w:rPr>
      </w:pPr>
    </w:p>
    <w:p w14:paraId="7840BEB6" w14:textId="06ABF6E5" w:rsidR="00560F37" w:rsidRPr="00560F37" w:rsidRDefault="00560F37" w:rsidP="00560F37">
      <w:pPr>
        <w:pBdr>
          <w:top w:val="single" w:sz="4" w:space="1" w:color="0070C0"/>
          <w:left w:val="single" w:sz="4" w:space="4" w:color="0070C0"/>
          <w:bottom w:val="single" w:sz="4" w:space="1" w:color="0070C0"/>
          <w:right w:val="single" w:sz="4" w:space="4" w:color="0070C0"/>
        </w:pBdr>
        <w:spacing w:after="120" w:line="276" w:lineRule="auto"/>
        <w:jc w:val="both"/>
        <w:rPr>
          <w:rFonts w:ascii="Verdana" w:eastAsia="Calibri Light" w:hAnsi="Verdana"/>
          <w:sz w:val="20"/>
          <w:szCs w:val="20"/>
        </w:rPr>
      </w:pPr>
      <w:r w:rsidRPr="00560F37">
        <w:rPr>
          <w:rFonts w:ascii="Verdana" w:eastAsia="Calibri Light" w:hAnsi="Verdana"/>
          <w:sz w:val="20"/>
          <w:szCs w:val="20"/>
        </w:rPr>
        <w:t xml:space="preserve">Le Secrétariat général présente donc au Comité des OPL le projet de budget de fonctionnement du Secrétariat général pour l’année 2025 tel que recommandé par le Comité budgétaire à hauteur de </w:t>
      </w:r>
      <w:r w:rsidRPr="00560F37">
        <w:rPr>
          <w:rFonts w:ascii="Verdana" w:eastAsia="Calibri Light" w:hAnsi="Verdana"/>
          <w:b/>
          <w:bCs/>
          <w:sz w:val="20"/>
          <w:szCs w:val="20"/>
        </w:rPr>
        <w:t>€ 2 390 560</w:t>
      </w:r>
      <w:r w:rsidRPr="00560F37">
        <w:rPr>
          <w:rFonts w:ascii="Verdana" w:eastAsia="Calibri Light" w:hAnsi="Verdana"/>
          <w:sz w:val="20"/>
          <w:szCs w:val="20"/>
        </w:rPr>
        <w:t xml:space="preserve"> </w:t>
      </w:r>
      <w:proofErr w:type="gramStart"/>
      <w:r w:rsidRPr="00560F37">
        <w:rPr>
          <w:rFonts w:ascii="Verdana" w:eastAsia="Calibri Light" w:hAnsi="Verdana"/>
          <w:sz w:val="20"/>
          <w:szCs w:val="20"/>
        </w:rPr>
        <w:t xml:space="preserve">dont  </w:t>
      </w:r>
      <w:r w:rsidRPr="00560F37">
        <w:rPr>
          <w:rFonts w:ascii="Verdana" w:eastAsia="Calibri Light" w:hAnsi="Verdana"/>
          <w:b/>
          <w:bCs/>
          <w:sz w:val="20"/>
          <w:szCs w:val="20"/>
        </w:rPr>
        <w:t>€</w:t>
      </w:r>
      <w:proofErr w:type="gramEnd"/>
      <w:r w:rsidRPr="00560F37">
        <w:rPr>
          <w:rFonts w:ascii="Verdana" w:eastAsia="Calibri Light" w:hAnsi="Verdana"/>
          <w:b/>
          <w:bCs/>
          <w:sz w:val="20"/>
          <w:szCs w:val="20"/>
        </w:rPr>
        <w:t xml:space="preserve"> 1 887 560</w:t>
      </w:r>
      <w:r w:rsidRPr="00560F37">
        <w:rPr>
          <w:rFonts w:ascii="Verdana" w:eastAsia="Calibri Light" w:hAnsi="Verdana"/>
          <w:sz w:val="20"/>
          <w:szCs w:val="20"/>
        </w:rPr>
        <w:t xml:space="preserve"> comme contribution statutaire des États membres. A titre indicatif, les budgets 2026 et 2027 sont de l’ordre de € 2 680 825 et € 2 719 470 respectivement.</w:t>
      </w:r>
    </w:p>
    <w:p w14:paraId="6B8A5F7F" w14:textId="0E2B6FA2" w:rsidR="00560F37" w:rsidRPr="00560F37" w:rsidRDefault="00560F37" w:rsidP="00560F37">
      <w:pPr>
        <w:spacing w:after="120" w:line="276" w:lineRule="auto"/>
        <w:ind w:left="2"/>
        <w:jc w:val="both"/>
        <w:rPr>
          <w:rFonts w:ascii="Verdana" w:eastAsia="Calibri Light" w:hAnsi="Verdana"/>
          <w:sz w:val="20"/>
          <w:szCs w:val="20"/>
        </w:rPr>
      </w:pPr>
      <w:r w:rsidRPr="00560F37">
        <w:rPr>
          <w:rFonts w:ascii="Verdana" w:eastAsia="Calibri Light" w:hAnsi="Verdana"/>
          <w:sz w:val="20"/>
          <w:szCs w:val="20"/>
        </w:rPr>
        <w:t xml:space="preserve">Par rapport au budget 2024 établi à hauteur de 2 118 226 €, ce projet de budget 2025 affiche une progression de +12,86% (soit € 272 334). La contribution statutaire des Etats membres progresse quant à elle </w:t>
      </w:r>
      <w:r w:rsidR="00AC3B9A">
        <w:rPr>
          <w:rFonts w:ascii="Verdana" w:eastAsia="Calibri Light" w:hAnsi="Verdana"/>
          <w:sz w:val="20"/>
          <w:szCs w:val="20"/>
        </w:rPr>
        <w:t>de</w:t>
      </w:r>
      <w:r w:rsidR="00AC3B9A" w:rsidRPr="00560F37">
        <w:rPr>
          <w:rFonts w:ascii="Verdana" w:eastAsia="Calibri Light" w:hAnsi="Verdana"/>
          <w:sz w:val="20"/>
          <w:szCs w:val="20"/>
        </w:rPr>
        <w:t xml:space="preserve"> </w:t>
      </w:r>
      <w:r w:rsidRPr="00560F37">
        <w:rPr>
          <w:rFonts w:ascii="Verdana" w:eastAsia="Calibri Light" w:hAnsi="Verdana"/>
          <w:sz w:val="20"/>
          <w:szCs w:val="20"/>
        </w:rPr>
        <w:t>+11,60% (soit € 196 334).</w:t>
      </w:r>
    </w:p>
    <w:p w14:paraId="367E87AB" w14:textId="77777777" w:rsidR="00560F37" w:rsidRPr="00560F37" w:rsidRDefault="00560F37" w:rsidP="00560F37">
      <w:pPr>
        <w:spacing w:after="120" w:line="276" w:lineRule="auto"/>
        <w:ind w:left="2"/>
        <w:jc w:val="both"/>
        <w:rPr>
          <w:rFonts w:ascii="Verdana" w:eastAsia="Calibri Light" w:hAnsi="Verdana"/>
          <w:sz w:val="20"/>
          <w:szCs w:val="20"/>
        </w:rPr>
      </w:pPr>
    </w:p>
    <w:p w14:paraId="2F2780C4" w14:textId="77777777" w:rsidR="00560F37" w:rsidRPr="00560F37" w:rsidRDefault="00560F37" w:rsidP="00560F37">
      <w:pPr>
        <w:spacing w:after="120" w:line="276" w:lineRule="auto"/>
        <w:jc w:val="both"/>
        <w:rPr>
          <w:rFonts w:ascii="Verdana" w:eastAsia="Calibri Light" w:hAnsi="Verdana"/>
          <w:sz w:val="20"/>
          <w:szCs w:val="20"/>
        </w:rPr>
      </w:pPr>
    </w:p>
    <w:p w14:paraId="1983AA49" w14:textId="77777777" w:rsidR="00560F37" w:rsidRPr="00560F37" w:rsidRDefault="00560F37" w:rsidP="00560F37">
      <w:pPr>
        <w:spacing w:after="120" w:line="276" w:lineRule="auto"/>
        <w:ind w:left="2"/>
        <w:jc w:val="both"/>
        <w:rPr>
          <w:rFonts w:ascii="Verdana" w:eastAsia="Calibri Light" w:hAnsi="Verdana"/>
          <w:sz w:val="20"/>
          <w:szCs w:val="20"/>
          <w:u w:val="single"/>
        </w:rPr>
      </w:pPr>
      <w:r w:rsidRPr="00560F37">
        <w:rPr>
          <w:rFonts w:ascii="Verdana" w:eastAsia="Calibri Light" w:hAnsi="Verdana"/>
          <w:sz w:val="20"/>
          <w:szCs w:val="20"/>
          <w:u w:val="single"/>
        </w:rPr>
        <w:lastRenderedPageBreak/>
        <w:t xml:space="preserve">L’évolution du budget et de la contribution des Etats membres se ventile comme suit pour les années 2025 - 2027 </w:t>
      </w:r>
    </w:p>
    <w:p w14:paraId="07E3790E" w14:textId="396C1F02" w:rsidR="00560F37" w:rsidRPr="00560F37" w:rsidRDefault="00560F37" w:rsidP="00560F37">
      <w:pPr>
        <w:spacing w:after="120" w:line="276" w:lineRule="auto"/>
        <w:ind w:left="2"/>
        <w:jc w:val="both"/>
        <w:rPr>
          <w:rFonts w:ascii="Verdana" w:eastAsia="Calibri Light" w:hAnsi="Verdana"/>
          <w:sz w:val="20"/>
          <w:szCs w:val="20"/>
        </w:rPr>
      </w:pPr>
      <w:r w:rsidRPr="00560F37">
        <w:rPr>
          <w:rFonts w:ascii="Verdana" w:eastAsia="Calibri Light" w:hAnsi="Verdana"/>
          <w:noProof/>
          <w:sz w:val="20"/>
          <w:szCs w:val="20"/>
        </w:rPr>
        <w:drawing>
          <wp:inline distT="0" distB="0" distL="0" distR="0" wp14:anchorId="4E18A52C" wp14:editId="3472F6A0">
            <wp:extent cx="5760720" cy="1652270"/>
            <wp:effectExtent l="0" t="0" r="0" b="5080"/>
            <wp:docPr id="1860816905"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720" cy="1652270"/>
                    </a:xfrm>
                    <a:prstGeom prst="rect">
                      <a:avLst/>
                    </a:prstGeom>
                    <a:noFill/>
                    <a:ln>
                      <a:noFill/>
                    </a:ln>
                  </pic:spPr>
                </pic:pic>
              </a:graphicData>
            </a:graphic>
          </wp:inline>
        </w:drawing>
      </w:r>
    </w:p>
    <w:p w14:paraId="096C11FD" w14:textId="77777777" w:rsidR="00560F37" w:rsidRPr="00560F37" w:rsidRDefault="00560F37" w:rsidP="00560F37">
      <w:pPr>
        <w:spacing w:after="120" w:line="276" w:lineRule="auto"/>
        <w:ind w:left="2"/>
        <w:jc w:val="both"/>
        <w:rPr>
          <w:rFonts w:ascii="Verdana" w:eastAsia="Calibri Light" w:hAnsi="Verdana"/>
          <w:sz w:val="20"/>
          <w:szCs w:val="20"/>
        </w:rPr>
      </w:pPr>
      <w:r w:rsidRPr="00560F37">
        <w:rPr>
          <w:rFonts w:ascii="Verdana" w:eastAsia="Calibri Light" w:hAnsi="Verdana"/>
          <w:sz w:val="20"/>
          <w:szCs w:val="20"/>
        </w:rPr>
        <w:t>Les dépenses de fonctionnement par chapitre et par département se présentent ainsi :</w:t>
      </w:r>
    </w:p>
    <w:p w14:paraId="5FC82BE4" w14:textId="1FA4B095" w:rsidR="00560F37" w:rsidRPr="00560F37" w:rsidRDefault="00560F37" w:rsidP="00560F37">
      <w:pPr>
        <w:spacing w:after="120" w:line="276" w:lineRule="auto"/>
        <w:ind w:right="420"/>
        <w:jc w:val="both"/>
        <w:rPr>
          <w:rFonts w:ascii="Verdana" w:eastAsia="Times New Roman" w:hAnsi="Verdana"/>
          <w:sz w:val="20"/>
          <w:szCs w:val="20"/>
        </w:rPr>
      </w:pPr>
      <w:r w:rsidRPr="00560F37">
        <w:rPr>
          <w:rFonts w:ascii="Verdana" w:eastAsia="Times New Roman" w:hAnsi="Verdana"/>
          <w:noProof/>
          <w:sz w:val="20"/>
          <w:szCs w:val="20"/>
        </w:rPr>
        <w:drawing>
          <wp:inline distT="0" distB="0" distL="0" distR="0" wp14:anchorId="22855DE1" wp14:editId="1A17D720">
            <wp:extent cx="5760720" cy="1846580"/>
            <wp:effectExtent l="0" t="0" r="0" b="1270"/>
            <wp:docPr id="138923169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720" cy="1846580"/>
                    </a:xfrm>
                    <a:prstGeom prst="rect">
                      <a:avLst/>
                    </a:prstGeom>
                    <a:noFill/>
                    <a:ln>
                      <a:noFill/>
                    </a:ln>
                  </pic:spPr>
                </pic:pic>
              </a:graphicData>
            </a:graphic>
          </wp:inline>
        </w:drawing>
      </w:r>
    </w:p>
    <w:p w14:paraId="0859962C" w14:textId="77777777" w:rsidR="00560F37" w:rsidRPr="001D5741" w:rsidRDefault="00560F37" w:rsidP="00560F37">
      <w:pPr>
        <w:spacing w:after="120" w:line="276" w:lineRule="auto"/>
        <w:ind w:right="420"/>
        <w:jc w:val="both"/>
        <w:rPr>
          <w:rFonts w:ascii="Verdana" w:eastAsia="Times New Roman" w:hAnsi="Verdana"/>
          <w:sz w:val="2"/>
          <w:szCs w:val="2"/>
        </w:rPr>
      </w:pPr>
    </w:p>
    <w:p w14:paraId="6D542323" w14:textId="7B4683C0" w:rsidR="00560F37" w:rsidRPr="00560F37" w:rsidRDefault="00560F37" w:rsidP="004F3732">
      <w:pPr>
        <w:spacing w:after="120" w:line="276" w:lineRule="auto"/>
        <w:ind w:right="420"/>
        <w:jc w:val="both"/>
        <w:rPr>
          <w:rFonts w:ascii="Verdana" w:eastAsia="Calibri Light" w:hAnsi="Verdana"/>
          <w:sz w:val="20"/>
          <w:szCs w:val="20"/>
        </w:rPr>
      </w:pPr>
      <w:r w:rsidRPr="00560F37">
        <w:rPr>
          <w:rFonts w:ascii="Verdana" w:eastAsia="Calibri Light" w:hAnsi="Verdana"/>
          <w:noProof/>
          <w:sz w:val="20"/>
          <w:szCs w:val="20"/>
        </w:rPr>
        <w:drawing>
          <wp:inline distT="0" distB="0" distL="0" distR="0" wp14:anchorId="716F52DB" wp14:editId="7F357831">
            <wp:extent cx="5760720" cy="3286760"/>
            <wp:effectExtent l="0" t="0" r="0" b="8890"/>
            <wp:docPr id="191147827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0720" cy="3286760"/>
                    </a:xfrm>
                    <a:prstGeom prst="rect">
                      <a:avLst/>
                    </a:prstGeom>
                    <a:noFill/>
                    <a:ln>
                      <a:noFill/>
                    </a:ln>
                  </pic:spPr>
                </pic:pic>
              </a:graphicData>
            </a:graphic>
          </wp:inline>
        </w:drawing>
      </w:r>
    </w:p>
    <w:p w14:paraId="4FD4DF70" w14:textId="77777777" w:rsidR="00560F37" w:rsidRPr="00560F37" w:rsidRDefault="00560F37" w:rsidP="00560F37">
      <w:pPr>
        <w:spacing w:after="120" w:line="276" w:lineRule="auto"/>
        <w:ind w:right="137"/>
        <w:jc w:val="both"/>
        <w:rPr>
          <w:rFonts w:ascii="Verdana" w:eastAsia="Calibri Light" w:hAnsi="Verdana"/>
          <w:sz w:val="20"/>
          <w:szCs w:val="20"/>
        </w:rPr>
      </w:pPr>
    </w:p>
    <w:p w14:paraId="348CB0EB" w14:textId="2D5ADE80" w:rsidR="00560F37" w:rsidRPr="00560F37" w:rsidRDefault="00560F37" w:rsidP="00560F37">
      <w:pPr>
        <w:spacing w:after="120" w:line="276" w:lineRule="auto"/>
        <w:ind w:right="137"/>
        <w:jc w:val="both"/>
        <w:rPr>
          <w:rFonts w:ascii="Verdana" w:eastAsia="Calibri Light" w:hAnsi="Verdana"/>
          <w:sz w:val="20"/>
          <w:szCs w:val="20"/>
        </w:rPr>
      </w:pPr>
      <w:r w:rsidRPr="00560F37">
        <w:rPr>
          <w:rFonts w:ascii="Verdana" w:eastAsia="Calibri Light" w:hAnsi="Verdana"/>
          <w:sz w:val="20"/>
          <w:szCs w:val="20"/>
        </w:rPr>
        <w:t xml:space="preserve">La contribution statutairement à la charge des Etats membres pour permettre la mise en </w:t>
      </w:r>
      <w:r w:rsidR="001D5741" w:rsidRPr="00560F37">
        <w:rPr>
          <w:rFonts w:ascii="Verdana" w:eastAsia="Calibri Light" w:hAnsi="Verdana"/>
          <w:sz w:val="20"/>
          <w:szCs w:val="20"/>
        </w:rPr>
        <w:t>œuvre</w:t>
      </w:r>
      <w:r w:rsidRPr="00560F37">
        <w:rPr>
          <w:rFonts w:ascii="Verdana" w:eastAsia="Calibri Light" w:hAnsi="Verdana"/>
          <w:sz w:val="20"/>
          <w:szCs w:val="20"/>
        </w:rPr>
        <w:t xml:space="preserve"> du budget triennal pour l’année 2025 – 2027 est ventilée selon la clé de répartition en vigueur :</w:t>
      </w:r>
    </w:p>
    <w:p w14:paraId="0AFF0E41" w14:textId="4612F193" w:rsidR="00560F37" w:rsidRPr="00560F37" w:rsidRDefault="00560F37" w:rsidP="00560F37">
      <w:pPr>
        <w:spacing w:after="120" w:line="276" w:lineRule="auto"/>
        <w:ind w:right="137"/>
        <w:jc w:val="both"/>
        <w:rPr>
          <w:rFonts w:ascii="Verdana" w:eastAsia="Calibri Light" w:hAnsi="Verdana"/>
          <w:sz w:val="20"/>
          <w:szCs w:val="20"/>
        </w:rPr>
      </w:pPr>
      <w:r w:rsidRPr="00560F37">
        <w:rPr>
          <w:rFonts w:ascii="Verdana" w:eastAsia="Calibri Light" w:hAnsi="Verdana"/>
          <w:noProof/>
          <w:sz w:val="20"/>
          <w:szCs w:val="20"/>
        </w:rPr>
        <w:lastRenderedPageBreak/>
        <w:drawing>
          <wp:inline distT="0" distB="0" distL="0" distR="0" wp14:anchorId="56CA9EC2" wp14:editId="7E8EC470">
            <wp:extent cx="5760720" cy="1236980"/>
            <wp:effectExtent l="0" t="0" r="0" b="1270"/>
            <wp:docPr id="146671389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720" cy="1236980"/>
                    </a:xfrm>
                    <a:prstGeom prst="rect">
                      <a:avLst/>
                    </a:prstGeom>
                    <a:noFill/>
                    <a:ln>
                      <a:noFill/>
                    </a:ln>
                  </pic:spPr>
                </pic:pic>
              </a:graphicData>
            </a:graphic>
          </wp:inline>
        </w:drawing>
      </w:r>
    </w:p>
    <w:p w14:paraId="75D28E0E" w14:textId="77777777" w:rsidR="00560F37" w:rsidRPr="00560F37" w:rsidRDefault="00560F37" w:rsidP="00560F37">
      <w:pPr>
        <w:tabs>
          <w:tab w:val="left" w:pos="1400"/>
        </w:tabs>
        <w:spacing w:after="120" w:line="276" w:lineRule="auto"/>
        <w:rPr>
          <w:rFonts w:ascii="Verdana" w:eastAsia="Calibri Light" w:hAnsi="Verdana" w:cs="Calibri"/>
          <w:i/>
          <w:sz w:val="20"/>
          <w:szCs w:val="20"/>
        </w:rPr>
      </w:pPr>
    </w:p>
    <w:p w14:paraId="1662C90F" w14:textId="77777777" w:rsidR="00560F37" w:rsidRPr="00560F37" w:rsidRDefault="00560F37" w:rsidP="00560F37">
      <w:pPr>
        <w:spacing w:after="120" w:line="276" w:lineRule="auto"/>
        <w:ind w:right="420"/>
        <w:rPr>
          <w:rFonts w:ascii="Verdana" w:hAnsi="Verdana"/>
          <w:b/>
          <w:sz w:val="20"/>
          <w:szCs w:val="20"/>
        </w:rPr>
      </w:pPr>
    </w:p>
    <w:p w14:paraId="66C7F2AE" w14:textId="77777777" w:rsidR="00560F37" w:rsidRPr="00560F37" w:rsidRDefault="00560F37" w:rsidP="00B113F2">
      <w:pPr>
        <w:pStyle w:val="Titrepartie"/>
      </w:pPr>
      <w:r w:rsidRPr="00560F37">
        <w:t>Proposition au Comité des OPL :</w:t>
      </w:r>
    </w:p>
    <w:p w14:paraId="1E723A9D" w14:textId="77777777" w:rsidR="00560F37" w:rsidRPr="00560F37" w:rsidRDefault="00560F37" w:rsidP="00560F37">
      <w:pPr>
        <w:spacing w:after="120" w:line="276" w:lineRule="auto"/>
        <w:ind w:right="420"/>
        <w:rPr>
          <w:rFonts w:ascii="Verdana" w:hAnsi="Verdana"/>
          <w:b/>
          <w:sz w:val="20"/>
          <w:szCs w:val="20"/>
        </w:rPr>
      </w:pPr>
    </w:p>
    <w:p w14:paraId="1F3F4D0A" w14:textId="77777777" w:rsidR="00560F37" w:rsidRPr="00306122" w:rsidRDefault="00560F37" w:rsidP="00560F37">
      <w:pPr>
        <w:spacing w:after="120" w:line="276" w:lineRule="auto"/>
        <w:ind w:right="420"/>
        <w:jc w:val="both"/>
        <w:rPr>
          <w:rFonts w:ascii="Verdana" w:hAnsi="Verdana"/>
          <w:bCs/>
          <w:sz w:val="20"/>
          <w:szCs w:val="20"/>
        </w:rPr>
      </w:pPr>
      <w:r w:rsidRPr="00306122">
        <w:rPr>
          <w:rFonts w:ascii="Verdana" w:hAnsi="Verdana"/>
          <w:bCs/>
          <w:sz w:val="20"/>
          <w:szCs w:val="20"/>
        </w:rPr>
        <w:t>Le Comité des OPL :</w:t>
      </w:r>
    </w:p>
    <w:p w14:paraId="42AE3BF7" w14:textId="0B5ECEF4" w:rsidR="00560F37" w:rsidRPr="00306122" w:rsidRDefault="0023371C" w:rsidP="00B113F2">
      <w:pPr>
        <w:numPr>
          <w:ilvl w:val="0"/>
          <w:numId w:val="22"/>
        </w:numPr>
        <w:spacing w:after="120" w:line="276" w:lineRule="auto"/>
        <w:ind w:right="420"/>
        <w:jc w:val="both"/>
        <w:rPr>
          <w:rFonts w:ascii="Verdana" w:hAnsi="Verdana"/>
          <w:bCs/>
          <w:sz w:val="20"/>
          <w:szCs w:val="20"/>
        </w:rPr>
      </w:pPr>
      <w:r w:rsidRPr="00306122">
        <w:rPr>
          <w:rFonts w:ascii="Verdana" w:hAnsi="Verdana"/>
          <w:bCs/>
          <w:sz w:val="20"/>
          <w:szCs w:val="20"/>
        </w:rPr>
        <w:t>Valide</w:t>
      </w:r>
      <w:r w:rsidR="00560F37" w:rsidRPr="00306122">
        <w:rPr>
          <w:rFonts w:ascii="Verdana" w:hAnsi="Verdana"/>
          <w:bCs/>
          <w:sz w:val="20"/>
          <w:szCs w:val="20"/>
        </w:rPr>
        <w:t xml:space="preserve"> les recommandations du Comité budgétaire tenu les 14 et 15 novembre 2024 et propose au Conseil </w:t>
      </w:r>
      <w:r w:rsidRPr="00306122">
        <w:rPr>
          <w:rFonts w:ascii="Verdana" w:hAnsi="Verdana"/>
          <w:bCs/>
          <w:sz w:val="20"/>
          <w:szCs w:val="20"/>
        </w:rPr>
        <w:t xml:space="preserve">des ministres </w:t>
      </w:r>
      <w:r w:rsidR="00560F37" w:rsidRPr="00306122">
        <w:rPr>
          <w:rFonts w:ascii="Verdana" w:hAnsi="Verdana"/>
          <w:bCs/>
          <w:sz w:val="20"/>
          <w:szCs w:val="20"/>
        </w:rPr>
        <w:t xml:space="preserve">de la COI </w:t>
      </w:r>
      <w:r w:rsidRPr="00306122">
        <w:rPr>
          <w:rFonts w:ascii="Verdana" w:hAnsi="Verdana"/>
          <w:bCs/>
          <w:sz w:val="20"/>
          <w:szCs w:val="20"/>
        </w:rPr>
        <w:t>d’adopter par procédure écrite le</w:t>
      </w:r>
      <w:r w:rsidR="00560F37" w:rsidRPr="00306122">
        <w:rPr>
          <w:rFonts w:ascii="Verdana" w:hAnsi="Verdana"/>
          <w:bCs/>
          <w:sz w:val="20"/>
          <w:szCs w:val="20"/>
        </w:rPr>
        <w:t xml:space="preserve"> </w:t>
      </w:r>
      <w:r w:rsidRPr="00306122">
        <w:rPr>
          <w:rFonts w:ascii="Verdana" w:hAnsi="Verdana"/>
          <w:bCs/>
          <w:sz w:val="20"/>
          <w:szCs w:val="20"/>
        </w:rPr>
        <w:t>p</w:t>
      </w:r>
      <w:r w:rsidR="00560F37" w:rsidRPr="00306122">
        <w:rPr>
          <w:rFonts w:ascii="Verdana" w:hAnsi="Verdana"/>
          <w:bCs/>
          <w:sz w:val="20"/>
          <w:szCs w:val="20"/>
        </w:rPr>
        <w:t xml:space="preserve">rojet de budget 2025 du Secrétariat général à hauteur de € 2 390 560 </w:t>
      </w:r>
      <w:r w:rsidR="001D5741" w:rsidRPr="00306122">
        <w:rPr>
          <w:rFonts w:ascii="Verdana" w:hAnsi="Verdana"/>
          <w:bCs/>
          <w:sz w:val="20"/>
          <w:szCs w:val="20"/>
        </w:rPr>
        <w:t>dont €</w:t>
      </w:r>
      <w:r w:rsidR="00560F37" w:rsidRPr="00306122">
        <w:rPr>
          <w:rFonts w:ascii="Verdana" w:hAnsi="Verdana"/>
          <w:bCs/>
          <w:sz w:val="20"/>
          <w:szCs w:val="20"/>
        </w:rPr>
        <w:t xml:space="preserve"> 1 887 560 comme contribution statutaire des États membres</w:t>
      </w:r>
      <w:r w:rsidRPr="00306122">
        <w:rPr>
          <w:rFonts w:ascii="Verdana" w:hAnsi="Verdana"/>
          <w:bCs/>
          <w:sz w:val="20"/>
          <w:szCs w:val="20"/>
        </w:rPr>
        <w:t> ;</w:t>
      </w:r>
    </w:p>
    <w:p w14:paraId="63105E3A" w14:textId="20C7980F" w:rsidR="00560F37" w:rsidRPr="00306122" w:rsidRDefault="00560F37" w:rsidP="00B113F2">
      <w:pPr>
        <w:numPr>
          <w:ilvl w:val="0"/>
          <w:numId w:val="22"/>
        </w:numPr>
        <w:spacing w:after="120" w:line="276" w:lineRule="auto"/>
        <w:ind w:right="420"/>
        <w:jc w:val="both"/>
        <w:rPr>
          <w:rFonts w:ascii="Verdana" w:hAnsi="Verdana"/>
          <w:bCs/>
          <w:sz w:val="20"/>
          <w:szCs w:val="20"/>
        </w:rPr>
      </w:pPr>
      <w:r w:rsidRPr="00306122">
        <w:rPr>
          <w:rFonts w:ascii="Verdana" w:hAnsi="Verdana"/>
          <w:bCs/>
          <w:sz w:val="20"/>
          <w:szCs w:val="20"/>
        </w:rPr>
        <w:t>Demande au Secrétariat général de mettre en œuvre les recommandations formulées par le Comité budgétaire à l’issue de sa réunion des 14 et 15 novembre 2024.</w:t>
      </w:r>
    </w:p>
    <w:p w14:paraId="3B3E56D6" w14:textId="77777777" w:rsidR="00560F37" w:rsidRDefault="00560F37" w:rsidP="00B113F2">
      <w:pPr>
        <w:tabs>
          <w:tab w:val="left" w:pos="1400"/>
        </w:tabs>
        <w:spacing w:after="120" w:line="276" w:lineRule="auto"/>
        <w:rPr>
          <w:rFonts w:ascii="Verdana" w:eastAsia="Calibri Light" w:hAnsi="Verdana" w:cs="Calibri"/>
          <w:i/>
          <w:sz w:val="20"/>
          <w:szCs w:val="20"/>
        </w:rPr>
      </w:pPr>
    </w:p>
    <w:p w14:paraId="70784764" w14:textId="0FD5CFB5" w:rsidR="00B113F2" w:rsidRPr="00B113F2" w:rsidRDefault="00B113F2" w:rsidP="00B113F2">
      <w:pPr>
        <w:pStyle w:val="Titrepartie"/>
      </w:pPr>
      <w:r>
        <w:t xml:space="preserve">Annexes </w:t>
      </w:r>
    </w:p>
    <w:p w14:paraId="564227C5" w14:textId="77777777" w:rsidR="00560F37" w:rsidRPr="00560F37" w:rsidRDefault="00560F37" w:rsidP="00306122">
      <w:pPr>
        <w:pStyle w:val="Paragraphedeliste"/>
        <w:numPr>
          <w:ilvl w:val="0"/>
          <w:numId w:val="21"/>
        </w:numPr>
        <w:tabs>
          <w:tab w:val="left" w:pos="1134"/>
          <w:tab w:val="left" w:pos="1400"/>
        </w:tabs>
        <w:spacing w:after="120" w:line="276" w:lineRule="auto"/>
        <w:ind w:left="426"/>
        <w:rPr>
          <w:rFonts w:ascii="Verdana" w:eastAsia="Calibri Light" w:hAnsi="Verdana" w:cs="Calibri"/>
          <w:i/>
          <w:sz w:val="20"/>
          <w:szCs w:val="20"/>
        </w:rPr>
      </w:pPr>
      <w:r w:rsidRPr="00560F37">
        <w:rPr>
          <w:rFonts w:ascii="Verdana" w:eastAsia="Calibri Light" w:hAnsi="Verdana" w:cs="Calibri"/>
          <w:i/>
          <w:sz w:val="20"/>
          <w:szCs w:val="20"/>
        </w:rPr>
        <w:t>Annexe 1 :</w:t>
      </w:r>
      <w:r w:rsidRPr="00560F37">
        <w:rPr>
          <w:rFonts w:ascii="Verdana" w:eastAsia="Times New Roman" w:hAnsi="Verdana" w:cs="Calibri"/>
          <w:sz w:val="20"/>
          <w:szCs w:val="20"/>
        </w:rPr>
        <w:tab/>
      </w:r>
      <w:r w:rsidRPr="00560F37">
        <w:rPr>
          <w:rFonts w:ascii="Verdana" w:eastAsia="Calibri Light" w:hAnsi="Verdana" w:cs="Calibri"/>
          <w:i/>
          <w:sz w:val="20"/>
          <w:szCs w:val="20"/>
        </w:rPr>
        <w:t>Projet de budget détaillé 2025 - 2027</w:t>
      </w:r>
    </w:p>
    <w:p w14:paraId="6DA14617" w14:textId="77777777" w:rsidR="00560F37" w:rsidRPr="00560F37" w:rsidRDefault="00560F37" w:rsidP="00306122">
      <w:pPr>
        <w:pStyle w:val="Paragraphedeliste"/>
        <w:numPr>
          <w:ilvl w:val="0"/>
          <w:numId w:val="21"/>
        </w:numPr>
        <w:tabs>
          <w:tab w:val="left" w:pos="1134"/>
          <w:tab w:val="left" w:pos="1400"/>
        </w:tabs>
        <w:spacing w:after="120" w:line="276" w:lineRule="auto"/>
        <w:ind w:left="426"/>
        <w:rPr>
          <w:rFonts w:ascii="Verdana" w:eastAsia="Calibri Light" w:hAnsi="Verdana" w:cs="Calibri"/>
          <w:i/>
          <w:sz w:val="20"/>
          <w:szCs w:val="20"/>
        </w:rPr>
      </w:pPr>
      <w:r w:rsidRPr="00560F37">
        <w:rPr>
          <w:rFonts w:ascii="Verdana" w:eastAsia="Calibri Light" w:hAnsi="Verdana" w:cs="Calibri"/>
          <w:i/>
          <w:sz w:val="20"/>
          <w:szCs w:val="20"/>
        </w:rPr>
        <w:t>Annexe 2 :</w:t>
      </w:r>
      <w:r w:rsidRPr="00560F37">
        <w:rPr>
          <w:rFonts w:ascii="Verdana" w:eastAsia="Times New Roman" w:hAnsi="Verdana" w:cs="Calibri"/>
          <w:sz w:val="20"/>
          <w:szCs w:val="20"/>
        </w:rPr>
        <w:tab/>
      </w:r>
      <w:r w:rsidRPr="00560F37">
        <w:rPr>
          <w:rFonts w:ascii="Verdana" w:eastAsia="Calibri Light" w:hAnsi="Verdana" w:cs="Calibri"/>
          <w:i/>
          <w:sz w:val="20"/>
          <w:szCs w:val="20"/>
        </w:rPr>
        <w:t>Organigramme actuel (octobre 2024)</w:t>
      </w:r>
    </w:p>
    <w:p w14:paraId="3AB554FB" w14:textId="77777777" w:rsidR="00560F37" w:rsidRPr="00560F37" w:rsidRDefault="00560F37" w:rsidP="00306122">
      <w:pPr>
        <w:pStyle w:val="Paragraphedeliste"/>
        <w:numPr>
          <w:ilvl w:val="0"/>
          <w:numId w:val="21"/>
        </w:numPr>
        <w:tabs>
          <w:tab w:val="left" w:pos="1134"/>
          <w:tab w:val="left" w:pos="1400"/>
        </w:tabs>
        <w:spacing w:after="120" w:line="276" w:lineRule="auto"/>
        <w:ind w:left="426"/>
        <w:rPr>
          <w:rFonts w:ascii="Verdana" w:eastAsia="Calibri Light" w:hAnsi="Verdana" w:cs="Calibri"/>
          <w:i/>
          <w:sz w:val="20"/>
          <w:szCs w:val="20"/>
        </w:rPr>
      </w:pPr>
      <w:r w:rsidRPr="00560F37">
        <w:rPr>
          <w:rFonts w:ascii="Verdana" w:eastAsia="Calibri Light" w:hAnsi="Verdana" w:cs="Calibri"/>
          <w:i/>
          <w:sz w:val="20"/>
          <w:szCs w:val="20"/>
        </w:rPr>
        <w:t>Annexe 3 :</w:t>
      </w:r>
      <w:r w:rsidRPr="00560F37">
        <w:rPr>
          <w:rFonts w:ascii="Verdana" w:eastAsia="Times New Roman" w:hAnsi="Verdana" w:cs="Calibri"/>
          <w:sz w:val="20"/>
          <w:szCs w:val="20"/>
        </w:rPr>
        <w:tab/>
      </w:r>
      <w:r w:rsidRPr="00560F37">
        <w:rPr>
          <w:rFonts w:ascii="Verdana" w:eastAsia="Calibri Light" w:hAnsi="Verdana" w:cs="Calibri"/>
          <w:i/>
          <w:sz w:val="20"/>
          <w:szCs w:val="20"/>
        </w:rPr>
        <w:t xml:space="preserve">Liste des agents de la COI </w:t>
      </w:r>
      <w:r w:rsidRPr="00560F37">
        <w:rPr>
          <w:rFonts w:ascii="Verdana" w:eastAsia="Calibri Light" w:hAnsi="Verdana" w:cs="Calibri"/>
          <w:i/>
          <w:strike/>
          <w:sz w:val="20"/>
          <w:szCs w:val="20"/>
        </w:rPr>
        <w:t>(</w:t>
      </w:r>
      <w:r w:rsidRPr="00560F37">
        <w:rPr>
          <w:rFonts w:ascii="Verdana" w:eastAsia="Calibri Light" w:hAnsi="Verdana" w:cs="Calibri"/>
          <w:i/>
          <w:sz w:val="20"/>
          <w:szCs w:val="20"/>
        </w:rPr>
        <w:t>octobre 2024)</w:t>
      </w:r>
    </w:p>
    <w:p w14:paraId="5989E511" w14:textId="7E358E29" w:rsidR="00560F37" w:rsidRPr="00560F37" w:rsidRDefault="00560F37" w:rsidP="00306122">
      <w:pPr>
        <w:pStyle w:val="Paragraphedeliste"/>
        <w:numPr>
          <w:ilvl w:val="0"/>
          <w:numId w:val="21"/>
        </w:numPr>
        <w:tabs>
          <w:tab w:val="left" w:pos="1134"/>
          <w:tab w:val="left" w:pos="1400"/>
        </w:tabs>
        <w:spacing w:after="120" w:line="276" w:lineRule="auto"/>
        <w:ind w:left="426"/>
        <w:rPr>
          <w:rFonts w:ascii="Verdana" w:eastAsia="Calibri Light" w:hAnsi="Verdana" w:cs="Calibri"/>
          <w:i/>
          <w:sz w:val="20"/>
          <w:szCs w:val="20"/>
        </w:rPr>
      </w:pPr>
      <w:r w:rsidRPr="00560F37">
        <w:rPr>
          <w:rFonts w:ascii="Verdana" w:eastAsia="Calibri Light" w:hAnsi="Verdana" w:cs="Calibri"/>
          <w:i/>
          <w:sz w:val="20"/>
          <w:szCs w:val="20"/>
        </w:rPr>
        <w:t>Annexe 4 :</w:t>
      </w:r>
      <w:r w:rsidR="00B113F2">
        <w:rPr>
          <w:rFonts w:ascii="Verdana" w:eastAsia="Calibri Light" w:hAnsi="Verdana" w:cs="Calibri"/>
          <w:i/>
          <w:sz w:val="20"/>
          <w:szCs w:val="20"/>
        </w:rPr>
        <w:tab/>
      </w:r>
      <w:r w:rsidRPr="00560F37">
        <w:rPr>
          <w:rFonts w:ascii="Verdana" w:eastAsia="Calibri Light" w:hAnsi="Verdana" w:cs="Calibri"/>
          <w:i/>
          <w:sz w:val="20"/>
          <w:szCs w:val="20"/>
        </w:rPr>
        <w:t xml:space="preserve">Le personnel - distribution par </w:t>
      </w:r>
      <w:r w:rsidR="00B113F2" w:rsidRPr="00560F37">
        <w:rPr>
          <w:rFonts w:ascii="Verdana" w:eastAsia="Calibri Light" w:hAnsi="Verdana" w:cs="Calibri"/>
          <w:i/>
          <w:sz w:val="20"/>
          <w:szCs w:val="20"/>
        </w:rPr>
        <w:t>catégories</w:t>
      </w:r>
      <w:r w:rsidRPr="00560F37">
        <w:rPr>
          <w:rFonts w:ascii="Verdana" w:eastAsia="Calibri Light" w:hAnsi="Verdana" w:cs="Calibri"/>
          <w:i/>
          <w:sz w:val="20"/>
          <w:szCs w:val="20"/>
        </w:rPr>
        <w:t xml:space="preserve"> </w:t>
      </w:r>
      <w:r w:rsidRPr="00560F37">
        <w:rPr>
          <w:rFonts w:ascii="Verdana" w:eastAsia="Calibri Light" w:hAnsi="Verdana" w:cs="Calibri"/>
          <w:i/>
          <w:strike/>
          <w:sz w:val="20"/>
          <w:szCs w:val="20"/>
        </w:rPr>
        <w:t>(</w:t>
      </w:r>
      <w:r w:rsidRPr="00560F37">
        <w:rPr>
          <w:rFonts w:ascii="Verdana" w:eastAsia="Calibri Light" w:hAnsi="Verdana" w:cs="Calibri"/>
          <w:i/>
          <w:sz w:val="20"/>
          <w:szCs w:val="20"/>
        </w:rPr>
        <w:t>octobre 2024)</w:t>
      </w:r>
    </w:p>
    <w:p w14:paraId="1A25ACBF" w14:textId="77777777" w:rsidR="00560F37" w:rsidRPr="00560F37" w:rsidRDefault="00560F37" w:rsidP="00306122">
      <w:pPr>
        <w:pStyle w:val="Paragraphedeliste"/>
        <w:numPr>
          <w:ilvl w:val="0"/>
          <w:numId w:val="21"/>
        </w:numPr>
        <w:tabs>
          <w:tab w:val="left" w:pos="1134"/>
          <w:tab w:val="left" w:pos="1400"/>
        </w:tabs>
        <w:spacing w:after="120" w:line="276" w:lineRule="auto"/>
        <w:ind w:left="426"/>
        <w:rPr>
          <w:rFonts w:ascii="Verdana" w:eastAsia="Calibri Light" w:hAnsi="Verdana" w:cs="Calibri"/>
          <w:i/>
          <w:sz w:val="20"/>
          <w:szCs w:val="20"/>
        </w:rPr>
      </w:pPr>
      <w:r w:rsidRPr="00560F37">
        <w:rPr>
          <w:rFonts w:ascii="Verdana" w:eastAsia="Calibri Light" w:hAnsi="Verdana" w:cs="Calibri"/>
          <w:i/>
          <w:sz w:val="20"/>
          <w:szCs w:val="20"/>
        </w:rPr>
        <w:t xml:space="preserve">Annexe 5 : </w:t>
      </w:r>
      <w:r w:rsidRPr="00560F37">
        <w:rPr>
          <w:rFonts w:ascii="Verdana" w:eastAsia="Calibri Light" w:hAnsi="Verdana" w:cs="Calibri"/>
          <w:i/>
          <w:sz w:val="20"/>
          <w:szCs w:val="20"/>
        </w:rPr>
        <w:tab/>
        <w:t xml:space="preserve">Postes par bailleurs/partenaires </w:t>
      </w:r>
      <w:r w:rsidRPr="00560F37">
        <w:rPr>
          <w:rFonts w:ascii="Verdana" w:eastAsia="Calibri Light" w:hAnsi="Verdana" w:cs="Calibri"/>
          <w:i/>
          <w:strike/>
          <w:sz w:val="20"/>
          <w:szCs w:val="20"/>
        </w:rPr>
        <w:t>(</w:t>
      </w:r>
      <w:r w:rsidRPr="00560F37">
        <w:rPr>
          <w:rFonts w:ascii="Verdana" w:eastAsia="Calibri Light" w:hAnsi="Verdana" w:cs="Calibri"/>
          <w:i/>
          <w:sz w:val="20"/>
          <w:szCs w:val="20"/>
        </w:rPr>
        <w:t>octobre 2024)</w:t>
      </w:r>
    </w:p>
    <w:p w14:paraId="4996074E" w14:textId="77777777" w:rsidR="00560F37" w:rsidRPr="00560F37" w:rsidRDefault="00560F37" w:rsidP="00306122">
      <w:pPr>
        <w:pStyle w:val="Paragraphedeliste"/>
        <w:numPr>
          <w:ilvl w:val="0"/>
          <w:numId w:val="21"/>
        </w:numPr>
        <w:tabs>
          <w:tab w:val="left" w:pos="1134"/>
          <w:tab w:val="left" w:pos="1400"/>
        </w:tabs>
        <w:spacing w:after="120" w:line="276" w:lineRule="auto"/>
        <w:ind w:left="426"/>
        <w:rPr>
          <w:rFonts w:ascii="Verdana" w:eastAsia="Calibri Light" w:hAnsi="Verdana" w:cs="Calibri"/>
          <w:i/>
          <w:sz w:val="20"/>
          <w:szCs w:val="20"/>
        </w:rPr>
      </w:pPr>
      <w:r w:rsidRPr="00560F37">
        <w:rPr>
          <w:rFonts w:ascii="Verdana" w:eastAsia="Calibri Light" w:hAnsi="Verdana" w:cs="Calibri"/>
          <w:i/>
          <w:sz w:val="20"/>
          <w:szCs w:val="20"/>
        </w:rPr>
        <w:t>Annexe 6 :</w:t>
      </w:r>
      <w:r w:rsidRPr="00560F37">
        <w:rPr>
          <w:rFonts w:ascii="Verdana" w:eastAsia="Times New Roman" w:hAnsi="Verdana" w:cs="Calibri"/>
          <w:sz w:val="20"/>
          <w:szCs w:val="20"/>
        </w:rPr>
        <w:tab/>
      </w:r>
      <w:r w:rsidRPr="00560F37">
        <w:rPr>
          <w:rFonts w:ascii="Verdana" w:eastAsia="Times New Roman" w:hAnsi="Verdana" w:cs="Calibri"/>
          <w:i/>
          <w:sz w:val="20"/>
          <w:szCs w:val="20"/>
        </w:rPr>
        <w:t xml:space="preserve">Proposition de </w:t>
      </w:r>
      <w:r w:rsidRPr="00560F37">
        <w:rPr>
          <w:rFonts w:ascii="Verdana" w:eastAsia="Calibri Light" w:hAnsi="Verdana" w:cs="Calibri"/>
          <w:i/>
          <w:sz w:val="20"/>
          <w:szCs w:val="20"/>
        </w:rPr>
        <w:t>Grille salariale pour 2025</w:t>
      </w:r>
    </w:p>
    <w:p w14:paraId="1BA3297C" w14:textId="77777777" w:rsidR="00560F37" w:rsidRPr="00560F37" w:rsidRDefault="00560F37" w:rsidP="00306122">
      <w:pPr>
        <w:pStyle w:val="Paragraphedeliste"/>
        <w:numPr>
          <w:ilvl w:val="0"/>
          <w:numId w:val="21"/>
        </w:numPr>
        <w:tabs>
          <w:tab w:val="left" w:pos="1134"/>
          <w:tab w:val="left" w:pos="1400"/>
        </w:tabs>
        <w:spacing w:after="120" w:line="276" w:lineRule="auto"/>
        <w:ind w:left="426"/>
        <w:rPr>
          <w:rFonts w:ascii="Verdana" w:eastAsia="Calibri Light" w:hAnsi="Verdana" w:cs="Calibri"/>
          <w:i/>
          <w:sz w:val="20"/>
          <w:szCs w:val="20"/>
        </w:rPr>
      </w:pPr>
      <w:r w:rsidRPr="00560F37">
        <w:rPr>
          <w:rFonts w:ascii="Verdana" w:eastAsia="Calibri Light" w:hAnsi="Verdana" w:cs="Calibri"/>
          <w:i/>
          <w:sz w:val="20"/>
          <w:szCs w:val="20"/>
        </w:rPr>
        <w:t xml:space="preserve">Annexe 7 : </w:t>
      </w:r>
      <w:r w:rsidRPr="00560F37">
        <w:rPr>
          <w:rFonts w:ascii="Verdana" w:eastAsia="Calibri Light" w:hAnsi="Verdana" w:cs="Calibri"/>
          <w:i/>
          <w:sz w:val="20"/>
          <w:szCs w:val="20"/>
        </w:rPr>
        <w:tab/>
        <w:t>Taux d’Inflation selon le Bureau des statistiques de Maurice</w:t>
      </w:r>
    </w:p>
    <w:p w14:paraId="5D7B2DF9" w14:textId="5AE45CB2" w:rsidR="00560F37" w:rsidRPr="00560F37" w:rsidRDefault="00560F37" w:rsidP="00306122">
      <w:pPr>
        <w:pStyle w:val="Paragraphedeliste"/>
        <w:numPr>
          <w:ilvl w:val="0"/>
          <w:numId w:val="21"/>
        </w:numPr>
        <w:tabs>
          <w:tab w:val="left" w:pos="1134"/>
          <w:tab w:val="left" w:pos="1400"/>
        </w:tabs>
        <w:spacing w:after="120" w:line="276" w:lineRule="auto"/>
        <w:ind w:left="426"/>
        <w:rPr>
          <w:rFonts w:ascii="Verdana" w:hAnsi="Verdana"/>
          <w:sz w:val="20"/>
          <w:szCs w:val="20"/>
        </w:rPr>
      </w:pPr>
      <w:r w:rsidRPr="00560F37">
        <w:rPr>
          <w:rFonts w:ascii="Verdana" w:eastAsia="Calibri Light" w:hAnsi="Verdana" w:cs="Calibri"/>
          <w:i/>
          <w:sz w:val="20"/>
          <w:szCs w:val="20"/>
        </w:rPr>
        <w:t xml:space="preserve">Annexe 8 : </w:t>
      </w:r>
      <w:r w:rsidRPr="00560F37">
        <w:rPr>
          <w:rFonts w:ascii="Verdana" w:eastAsia="Calibri Light" w:hAnsi="Verdana" w:cs="Calibri"/>
          <w:i/>
          <w:sz w:val="20"/>
          <w:szCs w:val="20"/>
        </w:rPr>
        <w:tab/>
        <w:t xml:space="preserve">PV et recommandations du Comité </w:t>
      </w:r>
      <w:r w:rsidR="00B113F2" w:rsidRPr="00560F37">
        <w:rPr>
          <w:rFonts w:ascii="Verdana" w:eastAsia="Calibri Light" w:hAnsi="Verdana" w:cs="Calibri"/>
          <w:i/>
          <w:sz w:val="20"/>
          <w:szCs w:val="20"/>
        </w:rPr>
        <w:t>budgétaire</w:t>
      </w:r>
      <w:r w:rsidRPr="00560F37">
        <w:rPr>
          <w:rFonts w:ascii="Verdana" w:eastAsia="Calibri Light" w:hAnsi="Verdana" w:cs="Calibri"/>
          <w:i/>
          <w:sz w:val="20"/>
          <w:szCs w:val="20"/>
        </w:rPr>
        <w:t xml:space="preserve"> de la COI </w:t>
      </w:r>
    </w:p>
    <w:p w14:paraId="3D5C123D" w14:textId="4E181B88" w:rsidR="002405CA" w:rsidRPr="00F91E1C" w:rsidRDefault="002405CA" w:rsidP="00306122">
      <w:pPr>
        <w:pStyle w:val="Paragraphe"/>
        <w:tabs>
          <w:tab w:val="left" w:pos="1134"/>
        </w:tabs>
        <w:ind w:left="426"/>
      </w:pPr>
    </w:p>
    <w:sectPr w:rsidR="002405CA" w:rsidRPr="00F91E1C" w:rsidSect="00B113F2">
      <w:headerReference w:type="default" r:id="rId14"/>
      <w:footerReference w:type="default" r:id="rId15"/>
      <w:pgSz w:w="11906" w:h="16838"/>
      <w:pgMar w:top="1276" w:right="1417" w:bottom="1135" w:left="1417" w:header="426" w:footer="1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D15845" w14:textId="77777777" w:rsidR="00F933B7" w:rsidRDefault="00F933B7">
      <w:pPr>
        <w:spacing w:after="0" w:line="240" w:lineRule="auto"/>
      </w:pPr>
      <w:r>
        <w:separator/>
      </w:r>
    </w:p>
  </w:endnote>
  <w:endnote w:type="continuationSeparator" w:id="0">
    <w:p w14:paraId="35C7E3D9" w14:textId="77777777" w:rsidR="00F933B7" w:rsidRDefault="00F933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76392675"/>
      <w:docPartObj>
        <w:docPartGallery w:val="Page Numbers (Bottom of Page)"/>
        <w:docPartUnique/>
      </w:docPartObj>
    </w:sdtPr>
    <w:sdtEndPr/>
    <w:sdtContent>
      <w:p w14:paraId="4D3A5F2A" w14:textId="631EC867" w:rsidR="00AA63A3" w:rsidRDefault="00AA63A3" w:rsidP="000F4728">
        <w:pPr>
          <w:pStyle w:val="Pieddepage"/>
          <w:pBdr>
            <w:top w:val="single" w:sz="4" w:space="1" w:color="ED7D31" w:themeColor="accent2"/>
          </w:pBdr>
          <w:jc w:val="right"/>
        </w:pPr>
        <w:r>
          <w:fldChar w:fldCharType="begin"/>
        </w:r>
        <w:r>
          <w:instrText>PAGE   \* MERGEFORMAT</w:instrText>
        </w:r>
        <w:r>
          <w:fldChar w:fldCharType="separate"/>
        </w:r>
        <w:r>
          <w:t>2</w:t>
        </w:r>
        <w:r>
          <w:fldChar w:fldCharType="end"/>
        </w:r>
      </w:p>
    </w:sdtContent>
  </w:sdt>
  <w:p w14:paraId="5BF7192F" w14:textId="77777777" w:rsidR="00063A26" w:rsidRDefault="00063A2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7553D2" w14:textId="77777777" w:rsidR="00F933B7" w:rsidRDefault="00F933B7">
      <w:pPr>
        <w:spacing w:after="0" w:line="240" w:lineRule="auto"/>
      </w:pPr>
      <w:r>
        <w:separator/>
      </w:r>
    </w:p>
  </w:footnote>
  <w:footnote w:type="continuationSeparator" w:id="0">
    <w:p w14:paraId="6D94FD00" w14:textId="77777777" w:rsidR="00F933B7" w:rsidRDefault="00F933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5B6C79" w14:textId="03B036A1" w:rsidR="00063A26" w:rsidRDefault="00854EEA" w:rsidP="00063A26">
    <w:pPr>
      <w:pStyle w:val="En-tte"/>
      <w:tabs>
        <w:tab w:val="clear" w:pos="4536"/>
        <w:tab w:val="clear" w:pos="9072"/>
        <w:tab w:val="center" w:pos="0"/>
      </w:tabs>
      <w:rPr>
        <w:b/>
        <w:bCs/>
      </w:rPr>
    </w:pPr>
    <w:r>
      <w:rPr>
        <w:i/>
        <w:iCs/>
        <w:noProof/>
      </w:rPr>
      <w:drawing>
        <wp:inline distT="0" distB="0" distL="0" distR="0" wp14:anchorId="09635A91" wp14:editId="3A6A5A2C">
          <wp:extent cx="1090909" cy="360000"/>
          <wp:effectExtent l="0" t="0" r="0" b="2540"/>
          <wp:docPr id="1297049845" name="Image 12970498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screen">
                    <a:extLst>
                      <a:ext uri="{28A0092B-C50C-407E-A947-70E740481C1C}">
                        <a14:useLocalDpi xmlns:a14="http://schemas.microsoft.com/office/drawing/2010/main"/>
                      </a:ext>
                    </a:extLst>
                  </a:blip>
                  <a:stretch>
                    <a:fillRect/>
                  </a:stretch>
                </pic:blipFill>
                <pic:spPr>
                  <a:xfrm>
                    <a:off x="0" y="0"/>
                    <a:ext cx="1090909" cy="360000"/>
                  </a:xfrm>
                  <a:prstGeom prst="rect">
                    <a:avLst/>
                  </a:prstGeom>
                </pic:spPr>
              </pic:pic>
            </a:graphicData>
          </a:graphic>
        </wp:inline>
      </w:drawing>
    </w:r>
    <w:r w:rsidR="003604B9">
      <w:tab/>
    </w:r>
    <w:r w:rsidR="003604B9">
      <w:tab/>
    </w:r>
    <w:r w:rsidR="003604B9">
      <w:tab/>
    </w:r>
    <w:r w:rsidR="003604B9">
      <w:tab/>
    </w:r>
    <w:r w:rsidR="004F5C4B">
      <w:tab/>
    </w:r>
    <w:r>
      <w:tab/>
    </w:r>
    <w:r>
      <w:tab/>
    </w:r>
    <w:r>
      <w:tab/>
    </w:r>
    <w:r>
      <w:tab/>
    </w:r>
    <w:r w:rsidR="003604B9" w:rsidRPr="0018252D">
      <w:rPr>
        <w:rFonts w:ascii="Verdana" w:hAnsi="Verdana"/>
        <w:b/>
        <w:bCs/>
        <w:sz w:val="20"/>
        <w:szCs w:val="20"/>
      </w:rPr>
      <w:t xml:space="preserve">Point. </w:t>
    </w:r>
    <w:r w:rsidR="00560F37">
      <w:rPr>
        <w:rFonts w:ascii="Verdana" w:hAnsi="Verdana"/>
        <w:b/>
        <w:bCs/>
        <w:sz w:val="20"/>
        <w:szCs w:val="20"/>
      </w:rPr>
      <w:t>3.2.</w:t>
    </w:r>
  </w:p>
  <w:p w14:paraId="7FE17793" w14:textId="77777777" w:rsidR="00AA63A3" w:rsidRDefault="00AA63A3" w:rsidP="00AA63A3">
    <w:pPr>
      <w:pStyle w:val="En-tte"/>
      <w:pBdr>
        <w:bottom w:val="single" w:sz="4" w:space="1" w:color="0070C0"/>
      </w:pBdr>
      <w:tabs>
        <w:tab w:val="clear" w:pos="4536"/>
        <w:tab w:val="clear" w:pos="9072"/>
        <w:tab w:val="center" w:pos="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A24E20"/>
    <w:multiLevelType w:val="multilevel"/>
    <w:tmpl w:val="C7662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302E10"/>
    <w:multiLevelType w:val="hybridMultilevel"/>
    <w:tmpl w:val="D12E7892"/>
    <w:lvl w:ilvl="0" w:tplc="040C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B3806E4"/>
    <w:multiLevelType w:val="hybridMultilevel"/>
    <w:tmpl w:val="00AE6A7A"/>
    <w:lvl w:ilvl="0" w:tplc="3A484404">
      <w:start w:val="1"/>
      <w:numFmt w:val="bullet"/>
      <w:lvlText w:val="•"/>
      <w:lvlJc w:val="left"/>
      <w:pPr>
        <w:tabs>
          <w:tab w:val="num" w:pos="720"/>
        </w:tabs>
        <w:ind w:left="720" w:hanging="360"/>
      </w:pPr>
      <w:rPr>
        <w:rFonts w:ascii="Arial" w:hAnsi="Arial" w:hint="default"/>
      </w:rPr>
    </w:lvl>
    <w:lvl w:ilvl="1" w:tplc="C7E42A6C" w:tentative="1">
      <w:start w:val="1"/>
      <w:numFmt w:val="bullet"/>
      <w:lvlText w:val="•"/>
      <w:lvlJc w:val="left"/>
      <w:pPr>
        <w:tabs>
          <w:tab w:val="num" w:pos="1440"/>
        </w:tabs>
        <w:ind w:left="1440" w:hanging="360"/>
      </w:pPr>
      <w:rPr>
        <w:rFonts w:ascii="Arial" w:hAnsi="Arial" w:hint="default"/>
      </w:rPr>
    </w:lvl>
    <w:lvl w:ilvl="2" w:tplc="E49CD0EC" w:tentative="1">
      <w:start w:val="1"/>
      <w:numFmt w:val="bullet"/>
      <w:lvlText w:val="•"/>
      <w:lvlJc w:val="left"/>
      <w:pPr>
        <w:tabs>
          <w:tab w:val="num" w:pos="2160"/>
        </w:tabs>
        <w:ind w:left="2160" w:hanging="360"/>
      </w:pPr>
      <w:rPr>
        <w:rFonts w:ascii="Arial" w:hAnsi="Arial" w:hint="default"/>
      </w:rPr>
    </w:lvl>
    <w:lvl w:ilvl="3" w:tplc="93BC12D4" w:tentative="1">
      <w:start w:val="1"/>
      <w:numFmt w:val="bullet"/>
      <w:lvlText w:val="•"/>
      <w:lvlJc w:val="left"/>
      <w:pPr>
        <w:tabs>
          <w:tab w:val="num" w:pos="2880"/>
        </w:tabs>
        <w:ind w:left="2880" w:hanging="360"/>
      </w:pPr>
      <w:rPr>
        <w:rFonts w:ascii="Arial" w:hAnsi="Arial" w:hint="default"/>
      </w:rPr>
    </w:lvl>
    <w:lvl w:ilvl="4" w:tplc="9A9A7F22" w:tentative="1">
      <w:start w:val="1"/>
      <w:numFmt w:val="bullet"/>
      <w:lvlText w:val="•"/>
      <w:lvlJc w:val="left"/>
      <w:pPr>
        <w:tabs>
          <w:tab w:val="num" w:pos="3600"/>
        </w:tabs>
        <w:ind w:left="3600" w:hanging="360"/>
      </w:pPr>
      <w:rPr>
        <w:rFonts w:ascii="Arial" w:hAnsi="Arial" w:hint="default"/>
      </w:rPr>
    </w:lvl>
    <w:lvl w:ilvl="5" w:tplc="C71AE822" w:tentative="1">
      <w:start w:val="1"/>
      <w:numFmt w:val="bullet"/>
      <w:lvlText w:val="•"/>
      <w:lvlJc w:val="left"/>
      <w:pPr>
        <w:tabs>
          <w:tab w:val="num" w:pos="4320"/>
        </w:tabs>
        <w:ind w:left="4320" w:hanging="360"/>
      </w:pPr>
      <w:rPr>
        <w:rFonts w:ascii="Arial" w:hAnsi="Arial" w:hint="default"/>
      </w:rPr>
    </w:lvl>
    <w:lvl w:ilvl="6" w:tplc="253A66E2" w:tentative="1">
      <w:start w:val="1"/>
      <w:numFmt w:val="bullet"/>
      <w:lvlText w:val="•"/>
      <w:lvlJc w:val="left"/>
      <w:pPr>
        <w:tabs>
          <w:tab w:val="num" w:pos="5040"/>
        </w:tabs>
        <w:ind w:left="5040" w:hanging="360"/>
      </w:pPr>
      <w:rPr>
        <w:rFonts w:ascii="Arial" w:hAnsi="Arial" w:hint="default"/>
      </w:rPr>
    </w:lvl>
    <w:lvl w:ilvl="7" w:tplc="5944FB16" w:tentative="1">
      <w:start w:val="1"/>
      <w:numFmt w:val="bullet"/>
      <w:lvlText w:val="•"/>
      <w:lvlJc w:val="left"/>
      <w:pPr>
        <w:tabs>
          <w:tab w:val="num" w:pos="5760"/>
        </w:tabs>
        <w:ind w:left="5760" w:hanging="360"/>
      </w:pPr>
      <w:rPr>
        <w:rFonts w:ascii="Arial" w:hAnsi="Arial" w:hint="default"/>
      </w:rPr>
    </w:lvl>
    <w:lvl w:ilvl="8" w:tplc="241CB30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B46398B"/>
    <w:multiLevelType w:val="hybridMultilevel"/>
    <w:tmpl w:val="A560C7EA"/>
    <w:lvl w:ilvl="0" w:tplc="A7C4BED0">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0ED0860"/>
    <w:multiLevelType w:val="hybridMultilevel"/>
    <w:tmpl w:val="FE1C3E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1D30430"/>
    <w:multiLevelType w:val="multilevel"/>
    <w:tmpl w:val="A2669954"/>
    <w:lvl w:ilvl="0">
      <w:start w:val="1"/>
      <w:numFmt w:val="decimal"/>
      <w:pStyle w:val="Titrepartie"/>
      <w:lvlText w:val="%1."/>
      <w:lvlJc w:val="left"/>
      <w:pPr>
        <w:ind w:left="720" w:hanging="360"/>
      </w:pPr>
      <w:rPr>
        <w:rFonts w:hint="default"/>
      </w:rPr>
    </w:lvl>
    <w:lvl w:ilvl="1">
      <w:start w:val="1"/>
      <w:numFmt w:val="decimal"/>
      <w:pStyle w:val="Sous-partie2"/>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17C47BF2"/>
    <w:multiLevelType w:val="hybridMultilevel"/>
    <w:tmpl w:val="753E279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9A450E5"/>
    <w:multiLevelType w:val="hybridMultilevel"/>
    <w:tmpl w:val="6C267C92"/>
    <w:lvl w:ilvl="0" w:tplc="E2C42E88">
      <w:numFmt w:val="bullet"/>
      <w:lvlText w:val="-"/>
      <w:lvlJc w:val="left"/>
      <w:pPr>
        <w:ind w:left="720" w:hanging="360"/>
      </w:pPr>
      <w:rPr>
        <w:rFonts w:ascii="Verdana" w:eastAsiaTheme="minorHAnsi" w:hAnsi="Verdana"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1D2B3E67"/>
    <w:multiLevelType w:val="hybridMultilevel"/>
    <w:tmpl w:val="1AB4D776"/>
    <w:lvl w:ilvl="0" w:tplc="1722C52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3610BD4"/>
    <w:multiLevelType w:val="hybridMultilevel"/>
    <w:tmpl w:val="00F401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6820DAB"/>
    <w:multiLevelType w:val="hybridMultilevel"/>
    <w:tmpl w:val="DF2ACE8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6A56B25"/>
    <w:multiLevelType w:val="multilevel"/>
    <w:tmpl w:val="90E87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D4631C6"/>
    <w:multiLevelType w:val="hybridMultilevel"/>
    <w:tmpl w:val="E368BDD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4E10044E"/>
    <w:multiLevelType w:val="multilevel"/>
    <w:tmpl w:val="A552B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7EB12EA"/>
    <w:multiLevelType w:val="hybridMultilevel"/>
    <w:tmpl w:val="7640D1F8"/>
    <w:lvl w:ilvl="0" w:tplc="79F420EC">
      <w:start w:val="65"/>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7FF2699"/>
    <w:multiLevelType w:val="hybridMultilevel"/>
    <w:tmpl w:val="F0244FBA"/>
    <w:lvl w:ilvl="0" w:tplc="040C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82259E2"/>
    <w:multiLevelType w:val="hybridMultilevel"/>
    <w:tmpl w:val="67B2B868"/>
    <w:lvl w:ilvl="0" w:tplc="040C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BB02E3C"/>
    <w:multiLevelType w:val="hybridMultilevel"/>
    <w:tmpl w:val="529A6248"/>
    <w:lvl w:ilvl="0" w:tplc="A8F2D19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C0F400E"/>
    <w:multiLevelType w:val="multilevel"/>
    <w:tmpl w:val="538C9FCC"/>
    <w:lvl w:ilvl="0">
      <w:start w:val="1"/>
      <w:numFmt w:val="lowerLetter"/>
      <w:lvlText w:val="%1)"/>
      <w:lvlJc w:val="left"/>
      <w:pPr>
        <w:ind w:left="720" w:hanging="360"/>
      </w:pPr>
      <w:rPr>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AB304F1"/>
    <w:multiLevelType w:val="hybridMultilevel"/>
    <w:tmpl w:val="6AD267F6"/>
    <w:lvl w:ilvl="0" w:tplc="0270C022">
      <w:numFmt w:val="bullet"/>
      <w:lvlText w:val="-"/>
      <w:lvlJc w:val="left"/>
      <w:pPr>
        <w:ind w:left="720" w:hanging="360"/>
      </w:pPr>
      <w:rPr>
        <w:rFonts w:ascii="Verdana" w:eastAsiaTheme="minorHAnsi" w:hAnsi="Verdana"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2028746465">
    <w:abstractNumId w:val="8"/>
  </w:num>
  <w:num w:numId="2" w16cid:durableId="1442526450">
    <w:abstractNumId w:val="17"/>
  </w:num>
  <w:num w:numId="3" w16cid:durableId="1411540242">
    <w:abstractNumId w:val="5"/>
  </w:num>
  <w:num w:numId="4" w16cid:durableId="891961007">
    <w:abstractNumId w:val="1"/>
  </w:num>
  <w:num w:numId="5" w16cid:durableId="667289720">
    <w:abstractNumId w:val="15"/>
  </w:num>
  <w:num w:numId="6" w16cid:durableId="280570432">
    <w:abstractNumId w:val="6"/>
  </w:num>
  <w:num w:numId="7" w16cid:durableId="1695810224">
    <w:abstractNumId w:val="9"/>
  </w:num>
  <w:num w:numId="8" w16cid:durableId="1210144662">
    <w:abstractNumId w:val="5"/>
    <w:lvlOverride w:ilvl="0">
      <w:startOverride w:val="1"/>
    </w:lvlOverride>
  </w:num>
  <w:num w:numId="9" w16cid:durableId="265774110">
    <w:abstractNumId w:val="4"/>
  </w:num>
  <w:num w:numId="10" w16cid:durableId="1930770846">
    <w:abstractNumId w:val="7"/>
  </w:num>
  <w:num w:numId="11" w16cid:durableId="1799956729">
    <w:abstractNumId w:val="19"/>
  </w:num>
  <w:num w:numId="12" w16cid:durableId="505823500">
    <w:abstractNumId w:val="13"/>
  </w:num>
  <w:num w:numId="13" w16cid:durableId="1515991772">
    <w:abstractNumId w:val="3"/>
  </w:num>
  <w:num w:numId="14" w16cid:durableId="1427144301">
    <w:abstractNumId w:val="12"/>
  </w:num>
  <w:num w:numId="15" w16cid:durableId="1345743250">
    <w:abstractNumId w:val="0"/>
  </w:num>
  <w:num w:numId="16" w16cid:durableId="249196340">
    <w:abstractNumId w:val="11"/>
  </w:num>
  <w:num w:numId="17" w16cid:durableId="6383390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39814354">
    <w:abstractNumId w:val="18"/>
  </w:num>
  <w:num w:numId="19" w16cid:durableId="1254972628">
    <w:abstractNumId w:val="2"/>
  </w:num>
  <w:num w:numId="20" w16cid:durableId="1126004858">
    <w:abstractNumId w:val="10"/>
  </w:num>
  <w:num w:numId="21" w16cid:durableId="465511756">
    <w:abstractNumId w:val="14"/>
  </w:num>
  <w:num w:numId="22" w16cid:durableId="9634078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683"/>
    <w:rsid w:val="00002ED6"/>
    <w:rsid w:val="00010B72"/>
    <w:rsid w:val="00012E17"/>
    <w:rsid w:val="00014530"/>
    <w:rsid w:val="00022CAE"/>
    <w:rsid w:val="000243C8"/>
    <w:rsid w:val="000373B2"/>
    <w:rsid w:val="00040579"/>
    <w:rsid w:val="00041925"/>
    <w:rsid w:val="00042CF5"/>
    <w:rsid w:val="0004376E"/>
    <w:rsid w:val="00054900"/>
    <w:rsid w:val="00060CA0"/>
    <w:rsid w:val="00063A26"/>
    <w:rsid w:val="00071AB2"/>
    <w:rsid w:val="0008468B"/>
    <w:rsid w:val="00093558"/>
    <w:rsid w:val="000A468A"/>
    <w:rsid w:val="000B0FBD"/>
    <w:rsid w:val="000C123D"/>
    <w:rsid w:val="000C449A"/>
    <w:rsid w:val="000C539B"/>
    <w:rsid w:val="000F241C"/>
    <w:rsid w:val="000F35F0"/>
    <w:rsid w:val="000F4728"/>
    <w:rsid w:val="0010236B"/>
    <w:rsid w:val="001024B4"/>
    <w:rsid w:val="00107D9D"/>
    <w:rsid w:val="00111AB6"/>
    <w:rsid w:val="00154B2D"/>
    <w:rsid w:val="00157766"/>
    <w:rsid w:val="00180B43"/>
    <w:rsid w:val="0018252D"/>
    <w:rsid w:val="00192FD2"/>
    <w:rsid w:val="00193079"/>
    <w:rsid w:val="001A4B9D"/>
    <w:rsid w:val="001A56F1"/>
    <w:rsid w:val="001B066D"/>
    <w:rsid w:val="001B4738"/>
    <w:rsid w:val="001D46E2"/>
    <w:rsid w:val="001D5741"/>
    <w:rsid w:val="001E58F4"/>
    <w:rsid w:val="001F34E5"/>
    <w:rsid w:val="00221D5D"/>
    <w:rsid w:val="00221FE8"/>
    <w:rsid w:val="0023371C"/>
    <w:rsid w:val="002346F9"/>
    <w:rsid w:val="002405CA"/>
    <w:rsid w:val="00272914"/>
    <w:rsid w:val="00284C46"/>
    <w:rsid w:val="002A0933"/>
    <w:rsid w:val="002A096E"/>
    <w:rsid w:val="002B226B"/>
    <w:rsid w:val="002C56ED"/>
    <w:rsid w:val="002D0145"/>
    <w:rsid w:val="002E14D0"/>
    <w:rsid w:val="002F1265"/>
    <w:rsid w:val="00306122"/>
    <w:rsid w:val="00310AD6"/>
    <w:rsid w:val="0031410B"/>
    <w:rsid w:val="0032519C"/>
    <w:rsid w:val="00332840"/>
    <w:rsid w:val="00342F59"/>
    <w:rsid w:val="003458B7"/>
    <w:rsid w:val="003566B1"/>
    <w:rsid w:val="0035773D"/>
    <w:rsid w:val="003604B9"/>
    <w:rsid w:val="0036201C"/>
    <w:rsid w:val="003643C5"/>
    <w:rsid w:val="0036493D"/>
    <w:rsid w:val="00375F9E"/>
    <w:rsid w:val="003772FB"/>
    <w:rsid w:val="00386938"/>
    <w:rsid w:val="00391152"/>
    <w:rsid w:val="003B1150"/>
    <w:rsid w:val="003B1E79"/>
    <w:rsid w:val="003C0682"/>
    <w:rsid w:val="003C2538"/>
    <w:rsid w:val="003D485F"/>
    <w:rsid w:val="003D5328"/>
    <w:rsid w:val="003E7297"/>
    <w:rsid w:val="003F0660"/>
    <w:rsid w:val="003F2872"/>
    <w:rsid w:val="00412747"/>
    <w:rsid w:val="0041278C"/>
    <w:rsid w:val="00417683"/>
    <w:rsid w:val="00425B0C"/>
    <w:rsid w:val="00426673"/>
    <w:rsid w:val="00433259"/>
    <w:rsid w:val="00435929"/>
    <w:rsid w:val="00454A71"/>
    <w:rsid w:val="004607F7"/>
    <w:rsid w:val="00491974"/>
    <w:rsid w:val="0049606C"/>
    <w:rsid w:val="0049782A"/>
    <w:rsid w:val="004A294D"/>
    <w:rsid w:val="004C2881"/>
    <w:rsid w:val="004C2C4E"/>
    <w:rsid w:val="004E03B2"/>
    <w:rsid w:val="004E4140"/>
    <w:rsid w:val="004F3732"/>
    <w:rsid w:val="004F5C4B"/>
    <w:rsid w:val="004F6156"/>
    <w:rsid w:val="005074E2"/>
    <w:rsid w:val="00513D2A"/>
    <w:rsid w:val="00516B59"/>
    <w:rsid w:val="00517BFE"/>
    <w:rsid w:val="005367B4"/>
    <w:rsid w:val="0053773D"/>
    <w:rsid w:val="00537BBF"/>
    <w:rsid w:val="00560F37"/>
    <w:rsid w:val="00561F1E"/>
    <w:rsid w:val="00587544"/>
    <w:rsid w:val="00591838"/>
    <w:rsid w:val="00596C86"/>
    <w:rsid w:val="005A4D1D"/>
    <w:rsid w:val="005A5466"/>
    <w:rsid w:val="005A5DF5"/>
    <w:rsid w:val="005B5C4A"/>
    <w:rsid w:val="005D7CAC"/>
    <w:rsid w:val="005E77CA"/>
    <w:rsid w:val="005F2C3B"/>
    <w:rsid w:val="006076E7"/>
    <w:rsid w:val="00612496"/>
    <w:rsid w:val="00613B4D"/>
    <w:rsid w:val="00616590"/>
    <w:rsid w:val="00617F44"/>
    <w:rsid w:val="00620B90"/>
    <w:rsid w:val="006356AF"/>
    <w:rsid w:val="0063692B"/>
    <w:rsid w:val="0065136E"/>
    <w:rsid w:val="006548BF"/>
    <w:rsid w:val="00660504"/>
    <w:rsid w:val="00663433"/>
    <w:rsid w:val="00663BA8"/>
    <w:rsid w:val="00664808"/>
    <w:rsid w:val="00666594"/>
    <w:rsid w:val="00686185"/>
    <w:rsid w:val="006B1C3A"/>
    <w:rsid w:val="006C4A57"/>
    <w:rsid w:val="006E2D9E"/>
    <w:rsid w:val="006F7FCA"/>
    <w:rsid w:val="0070043C"/>
    <w:rsid w:val="0070665A"/>
    <w:rsid w:val="007160BA"/>
    <w:rsid w:val="007339F2"/>
    <w:rsid w:val="00737632"/>
    <w:rsid w:val="00737F72"/>
    <w:rsid w:val="00746EFA"/>
    <w:rsid w:val="00760238"/>
    <w:rsid w:val="007669D6"/>
    <w:rsid w:val="00782E90"/>
    <w:rsid w:val="00784970"/>
    <w:rsid w:val="00784BC2"/>
    <w:rsid w:val="0078576E"/>
    <w:rsid w:val="00786526"/>
    <w:rsid w:val="00787DCF"/>
    <w:rsid w:val="0079368A"/>
    <w:rsid w:val="007B245C"/>
    <w:rsid w:val="007C359E"/>
    <w:rsid w:val="007C78FC"/>
    <w:rsid w:val="007C7987"/>
    <w:rsid w:val="007D4B9D"/>
    <w:rsid w:val="007E5273"/>
    <w:rsid w:val="007E53C4"/>
    <w:rsid w:val="008166FC"/>
    <w:rsid w:val="00816DAC"/>
    <w:rsid w:val="00816EF0"/>
    <w:rsid w:val="00832047"/>
    <w:rsid w:val="0083290E"/>
    <w:rsid w:val="008345B8"/>
    <w:rsid w:val="0084130D"/>
    <w:rsid w:val="00843446"/>
    <w:rsid w:val="00843FF2"/>
    <w:rsid w:val="008453AB"/>
    <w:rsid w:val="00854EEA"/>
    <w:rsid w:val="00854F79"/>
    <w:rsid w:val="008551DA"/>
    <w:rsid w:val="00874471"/>
    <w:rsid w:val="00874D8C"/>
    <w:rsid w:val="00877DA1"/>
    <w:rsid w:val="0088715E"/>
    <w:rsid w:val="008927D4"/>
    <w:rsid w:val="008B33B3"/>
    <w:rsid w:val="008C739A"/>
    <w:rsid w:val="008D193F"/>
    <w:rsid w:val="008F173C"/>
    <w:rsid w:val="008F7E5D"/>
    <w:rsid w:val="00910C1D"/>
    <w:rsid w:val="00911EF6"/>
    <w:rsid w:val="00912E00"/>
    <w:rsid w:val="0091496D"/>
    <w:rsid w:val="00925B88"/>
    <w:rsid w:val="00934E6C"/>
    <w:rsid w:val="00936679"/>
    <w:rsid w:val="00951FB4"/>
    <w:rsid w:val="00955BB3"/>
    <w:rsid w:val="00965571"/>
    <w:rsid w:val="0097442A"/>
    <w:rsid w:val="00990FDF"/>
    <w:rsid w:val="00991DD7"/>
    <w:rsid w:val="009A38AD"/>
    <w:rsid w:val="009A54C7"/>
    <w:rsid w:val="009A7634"/>
    <w:rsid w:val="009A7AAD"/>
    <w:rsid w:val="009B050E"/>
    <w:rsid w:val="009B26C0"/>
    <w:rsid w:val="009B52E9"/>
    <w:rsid w:val="009D56CA"/>
    <w:rsid w:val="009F21B0"/>
    <w:rsid w:val="009F3D49"/>
    <w:rsid w:val="00A0384F"/>
    <w:rsid w:val="00A11E61"/>
    <w:rsid w:val="00A129D9"/>
    <w:rsid w:val="00A137B8"/>
    <w:rsid w:val="00A148A1"/>
    <w:rsid w:val="00A2265F"/>
    <w:rsid w:val="00A25748"/>
    <w:rsid w:val="00A3477B"/>
    <w:rsid w:val="00A34910"/>
    <w:rsid w:val="00A36C09"/>
    <w:rsid w:val="00A3787A"/>
    <w:rsid w:val="00A37C9F"/>
    <w:rsid w:val="00A44804"/>
    <w:rsid w:val="00A55FF6"/>
    <w:rsid w:val="00A57AE4"/>
    <w:rsid w:val="00A70123"/>
    <w:rsid w:val="00A76B07"/>
    <w:rsid w:val="00A81B98"/>
    <w:rsid w:val="00A90305"/>
    <w:rsid w:val="00A973FB"/>
    <w:rsid w:val="00AA588E"/>
    <w:rsid w:val="00AA63A3"/>
    <w:rsid w:val="00AA686F"/>
    <w:rsid w:val="00AA7E02"/>
    <w:rsid w:val="00AB1561"/>
    <w:rsid w:val="00AB34A9"/>
    <w:rsid w:val="00AB5EB7"/>
    <w:rsid w:val="00AB6C45"/>
    <w:rsid w:val="00AC3B9A"/>
    <w:rsid w:val="00AC5738"/>
    <w:rsid w:val="00AD4D97"/>
    <w:rsid w:val="00AE01ED"/>
    <w:rsid w:val="00AE2349"/>
    <w:rsid w:val="00AE2453"/>
    <w:rsid w:val="00AE6DBA"/>
    <w:rsid w:val="00AF0062"/>
    <w:rsid w:val="00AF0945"/>
    <w:rsid w:val="00AF6354"/>
    <w:rsid w:val="00B03492"/>
    <w:rsid w:val="00B03571"/>
    <w:rsid w:val="00B05AE8"/>
    <w:rsid w:val="00B05DFC"/>
    <w:rsid w:val="00B113F2"/>
    <w:rsid w:val="00B11B4B"/>
    <w:rsid w:val="00B16EE2"/>
    <w:rsid w:val="00B175C0"/>
    <w:rsid w:val="00B2373A"/>
    <w:rsid w:val="00B30940"/>
    <w:rsid w:val="00B3553D"/>
    <w:rsid w:val="00B36EEA"/>
    <w:rsid w:val="00B44EF1"/>
    <w:rsid w:val="00B45461"/>
    <w:rsid w:val="00B479AE"/>
    <w:rsid w:val="00B53762"/>
    <w:rsid w:val="00B60233"/>
    <w:rsid w:val="00B6122C"/>
    <w:rsid w:val="00B8032B"/>
    <w:rsid w:val="00BA4B55"/>
    <w:rsid w:val="00BA599F"/>
    <w:rsid w:val="00BA7E57"/>
    <w:rsid w:val="00BB1A35"/>
    <w:rsid w:val="00BB623A"/>
    <w:rsid w:val="00BD1809"/>
    <w:rsid w:val="00BD6BE7"/>
    <w:rsid w:val="00BD6DF8"/>
    <w:rsid w:val="00BE7E54"/>
    <w:rsid w:val="00BF7497"/>
    <w:rsid w:val="00C01187"/>
    <w:rsid w:val="00C107B5"/>
    <w:rsid w:val="00C123A5"/>
    <w:rsid w:val="00C12C93"/>
    <w:rsid w:val="00C12FDD"/>
    <w:rsid w:val="00C175C0"/>
    <w:rsid w:val="00C1793F"/>
    <w:rsid w:val="00C325F5"/>
    <w:rsid w:val="00C342C1"/>
    <w:rsid w:val="00C3799A"/>
    <w:rsid w:val="00C44876"/>
    <w:rsid w:val="00C457E8"/>
    <w:rsid w:val="00C46076"/>
    <w:rsid w:val="00C57C68"/>
    <w:rsid w:val="00C57FF9"/>
    <w:rsid w:val="00C609B9"/>
    <w:rsid w:val="00C70DFC"/>
    <w:rsid w:val="00C93231"/>
    <w:rsid w:val="00C95D52"/>
    <w:rsid w:val="00CA1645"/>
    <w:rsid w:val="00CB30A3"/>
    <w:rsid w:val="00CB6BF2"/>
    <w:rsid w:val="00CD5CAB"/>
    <w:rsid w:val="00CE211E"/>
    <w:rsid w:val="00CE2386"/>
    <w:rsid w:val="00CF31E6"/>
    <w:rsid w:val="00CF5347"/>
    <w:rsid w:val="00D03316"/>
    <w:rsid w:val="00D2139F"/>
    <w:rsid w:val="00D32593"/>
    <w:rsid w:val="00D4517A"/>
    <w:rsid w:val="00D527F5"/>
    <w:rsid w:val="00D619CB"/>
    <w:rsid w:val="00D736BD"/>
    <w:rsid w:val="00D80195"/>
    <w:rsid w:val="00D90DAA"/>
    <w:rsid w:val="00D91515"/>
    <w:rsid w:val="00DA6AFB"/>
    <w:rsid w:val="00DA71F3"/>
    <w:rsid w:val="00DB6E19"/>
    <w:rsid w:val="00DC2AE4"/>
    <w:rsid w:val="00DD07E0"/>
    <w:rsid w:val="00DE6FA9"/>
    <w:rsid w:val="00DF37A1"/>
    <w:rsid w:val="00E212B7"/>
    <w:rsid w:val="00E32408"/>
    <w:rsid w:val="00E44930"/>
    <w:rsid w:val="00E544A5"/>
    <w:rsid w:val="00E6798C"/>
    <w:rsid w:val="00E7514D"/>
    <w:rsid w:val="00E75F68"/>
    <w:rsid w:val="00E809E3"/>
    <w:rsid w:val="00E845D4"/>
    <w:rsid w:val="00E8499C"/>
    <w:rsid w:val="00E85445"/>
    <w:rsid w:val="00EA17AF"/>
    <w:rsid w:val="00EB5F32"/>
    <w:rsid w:val="00EC2094"/>
    <w:rsid w:val="00EC22CC"/>
    <w:rsid w:val="00EC3CEE"/>
    <w:rsid w:val="00ED38E6"/>
    <w:rsid w:val="00ED6B69"/>
    <w:rsid w:val="00EE34F4"/>
    <w:rsid w:val="00EE5C3D"/>
    <w:rsid w:val="00EE657B"/>
    <w:rsid w:val="00EF22A4"/>
    <w:rsid w:val="00F002E3"/>
    <w:rsid w:val="00F02109"/>
    <w:rsid w:val="00F13CB7"/>
    <w:rsid w:val="00F25544"/>
    <w:rsid w:val="00F35654"/>
    <w:rsid w:val="00F35C3A"/>
    <w:rsid w:val="00F44C93"/>
    <w:rsid w:val="00F471DE"/>
    <w:rsid w:val="00F54E47"/>
    <w:rsid w:val="00F54EA0"/>
    <w:rsid w:val="00F81969"/>
    <w:rsid w:val="00F83DEE"/>
    <w:rsid w:val="00F91B3E"/>
    <w:rsid w:val="00F91E1C"/>
    <w:rsid w:val="00F92F1D"/>
    <w:rsid w:val="00F933B7"/>
    <w:rsid w:val="00F96EE9"/>
    <w:rsid w:val="00FA42D2"/>
    <w:rsid w:val="00FA76F5"/>
    <w:rsid w:val="00FB5272"/>
    <w:rsid w:val="00FD1D91"/>
    <w:rsid w:val="00FD3E86"/>
    <w:rsid w:val="00FE285D"/>
    <w:rsid w:val="00FF1472"/>
    <w:rsid w:val="00FF554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E0190A"/>
  <w15:chartTrackingRefBased/>
  <w15:docId w15:val="{F5285989-EA03-45CD-A0EC-BAC0915B9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68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17683"/>
    <w:pPr>
      <w:tabs>
        <w:tab w:val="center" w:pos="4536"/>
        <w:tab w:val="right" w:pos="9072"/>
      </w:tabs>
      <w:spacing w:after="0" w:line="240" w:lineRule="auto"/>
    </w:pPr>
  </w:style>
  <w:style w:type="character" w:customStyle="1" w:styleId="En-tteCar">
    <w:name w:val="En-tête Car"/>
    <w:basedOn w:val="Policepardfaut"/>
    <w:link w:val="En-tte"/>
    <w:uiPriority w:val="99"/>
    <w:rsid w:val="00417683"/>
  </w:style>
  <w:style w:type="paragraph" w:styleId="Pieddepage">
    <w:name w:val="footer"/>
    <w:basedOn w:val="Normal"/>
    <w:link w:val="PieddepageCar"/>
    <w:uiPriority w:val="99"/>
    <w:unhideWhenUsed/>
    <w:rsid w:val="0041768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17683"/>
  </w:style>
  <w:style w:type="paragraph" w:styleId="Paragraphedeliste">
    <w:name w:val="List Paragraph"/>
    <w:aliases w:val="List Paragraph (numbered (a)),References,Liste couleur - Accent 11,Bullets,Bullet Points,Liste Paragraf,Paragraphe de liste PBLH,Llista Nivell1,Lista de nivel 1,Graph &amp; Table tite,Paragraph,Table of contents numbered,En tête 1,lp1,r2"/>
    <w:basedOn w:val="Normal"/>
    <w:link w:val="ParagraphedelisteCar"/>
    <w:uiPriority w:val="34"/>
    <w:qFormat/>
    <w:rsid w:val="00417683"/>
    <w:pPr>
      <w:ind w:left="720"/>
      <w:contextualSpacing/>
    </w:pPr>
  </w:style>
  <w:style w:type="table" w:styleId="Grilledutableau">
    <w:name w:val="Table Grid"/>
    <w:basedOn w:val="TableauNormal"/>
    <w:uiPriority w:val="39"/>
    <w:rsid w:val="00C12C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1B4738"/>
    <w:rPr>
      <w:sz w:val="16"/>
      <w:szCs w:val="16"/>
    </w:rPr>
  </w:style>
  <w:style w:type="paragraph" w:styleId="Commentaire">
    <w:name w:val="annotation text"/>
    <w:basedOn w:val="Normal"/>
    <w:link w:val="CommentaireCar"/>
    <w:uiPriority w:val="99"/>
    <w:semiHidden/>
    <w:unhideWhenUsed/>
    <w:rsid w:val="001B4738"/>
    <w:pPr>
      <w:spacing w:line="240" w:lineRule="auto"/>
    </w:pPr>
    <w:rPr>
      <w:sz w:val="20"/>
      <w:szCs w:val="20"/>
    </w:rPr>
  </w:style>
  <w:style w:type="character" w:customStyle="1" w:styleId="CommentaireCar">
    <w:name w:val="Commentaire Car"/>
    <w:basedOn w:val="Policepardfaut"/>
    <w:link w:val="Commentaire"/>
    <w:uiPriority w:val="99"/>
    <w:semiHidden/>
    <w:rsid w:val="001B4738"/>
    <w:rPr>
      <w:sz w:val="20"/>
      <w:szCs w:val="20"/>
    </w:rPr>
  </w:style>
  <w:style w:type="paragraph" w:styleId="Objetducommentaire">
    <w:name w:val="annotation subject"/>
    <w:basedOn w:val="Commentaire"/>
    <w:next w:val="Commentaire"/>
    <w:link w:val="ObjetducommentaireCar"/>
    <w:uiPriority w:val="99"/>
    <w:semiHidden/>
    <w:unhideWhenUsed/>
    <w:rsid w:val="001B4738"/>
    <w:rPr>
      <w:b/>
      <w:bCs/>
    </w:rPr>
  </w:style>
  <w:style w:type="character" w:customStyle="1" w:styleId="ObjetducommentaireCar">
    <w:name w:val="Objet du commentaire Car"/>
    <w:basedOn w:val="CommentaireCar"/>
    <w:link w:val="Objetducommentaire"/>
    <w:uiPriority w:val="99"/>
    <w:semiHidden/>
    <w:rsid w:val="001B4738"/>
    <w:rPr>
      <w:b/>
      <w:bCs/>
      <w:sz w:val="20"/>
      <w:szCs w:val="20"/>
    </w:rPr>
  </w:style>
  <w:style w:type="paragraph" w:customStyle="1" w:styleId="Paragraphe">
    <w:name w:val="Paragraphe"/>
    <w:basedOn w:val="Normal"/>
    <w:link w:val="ParagrapheCar"/>
    <w:qFormat/>
    <w:rsid w:val="00CE2386"/>
    <w:pPr>
      <w:jc w:val="both"/>
    </w:pPr>
    <w:rPr>
      <w:rFonts w:ascii="Verdana" w:hAnsi="Verdana" w:cs="Calibri"/>
      <w:sz w:val="20"/>
      <w:szCs w:val="20"/>
    </w:rPr>
  </w:style>
  <w:style w:type="paragraph" w:customStyle="1" w:styleId="Titrepartie">
    <w:name w:val="Titre partie"/>
    <w:basedOn w:val="Paragraphedeliste"/>
    <w:link w:val="TitrepartieCar"/>
    <w:qFormat/>
    <w:rsid w:val="00A70123"/>
    <w:pPr>
      <w:numPr>
        <w:numId w:val="3"/>
      </w:numPr>
      <w:jc w:val="both"/>
    </w:pPr>
    <w:rPr>
      <w:rFonts w:ascii="Verdana" w:hAnsi="Verdana" w:cs="Calibri"/>
      <w:b/>
      <w:bCs/>
      <w:color w:val="0070C0"/>
      <w:szCs w:val="20"/>
    </w:rPr>
  </w:style>
  <w:style w:type="character" w:customStyle="1" w:styleId="ParagrapheCar">
    <w:name w:val="Paragraphe Car"/>
    <w:basedOn w:val="Policepardfaut"/>
    <w:link w:val="Paragraphe"/>
    <w:rsid w:val="00CE2386"/>
    <w:rPr>
      <w:rFonts w:ascii="Verdana" w:hAnsi="Verdana" w:cs="Calibri"/>
      <w:sz w:val="20"/>
      <w:szCs w:val="20"/>
    </w:rPr>
  </w:style>
  <w:style w:type="paragraph" w:customStyle="1" w:styleId="Exergue">
    <w:name w:val="Exergue"/>
    <w:basedOn w:val="Normal"/>
    <w:link w:val="ExergueCar"/>
    <w:qFormat/>
    <w:rsid w:val="00060CA0"/>
    <w:pPr>
      <w:spacing w:after="0" w:line="240" w:lineRule="auto"/>
      <w:jc w:val="both"/>
    </w:pPr>
    <w:rPr>
      <w:rFonts w:ascii="Verdana" w:eastAsia="Times New Roman" w:hAnsi="Verdana" w:cs="Times New Roman"/>
      <w:b/>
      <w:bCs/>
      <w:i/>
      <w:sz w:val="20"/>
      <w:szCs w:val="20"/>
    </w:rPr>
  </w:style>
  <w:style w:type="character" w:customStyle="1" w:styleId="ParagraphedelisteCar">
    <w:name w:val="Paragraphe de liste Car"/>
    <w:aliases w:val="List Paragraph (numbered (a)) Car,References Car,Liste couleur - Accent 11 Car,Bullets Car,Bullet Points Car,Liste Paragraf Car,Paragraphe de liste PBLH Car,Llista Nivell1 Car,Lista de nivel 1 Car,Graph &amp; Table tite Car,lp1 Car"/>
    <w:basedOn w:val="Policepardfaut"/>
    <w:link w:val="Paragraphedeliste"/>
    <w:uiPriority w:val="34"/>
    <w:qFormat/>
    <w:rsid w:val="00A70123"/>
  </w:style>
  <w:style w:type="character" w:customStyle="1" w:styleId="TitrepartieCar">
    <w:name w:val="Titre partie Car"/>
    <w:basedOn w:val="ParagraphedelisteCar"/>
    <w:link w:val="Titrepartie"/>
    <w:rsid w:val="00A70123"/>
    <w:rPr>
      <w:rFonts w:ascii="Verdana" w:hAnsi="Verdana" w:cs="Calibri"/>
      <w:b/>
      <w:bCs/>
      <w:color w:val="0070C0"/>
      <w:szCs w:val="20"/>
    </w:rPr>
  </w:style>
  <w:style w:type="paragraph" w:customStyle="1" w:styleId="Sous-partie2">
    <w:name w:val="Sous-partie 2"/>
    <w:basedOn w:val="Paragraphedeliste"/>
    <w:link w:val="Sous-partie2Car"/>
    <w:qFormat/>
    <w:rsid w:val="002C56ED"/>
    <w:pPr>
      <w:numPr>
        <w:ilvl w:val="1"/>
        <w:numId w:val="3"/>
      </w:numPr>
      <w:jc w:val="both"/>
    </w:pPr>
    <w:rPr>
      <w:rFonts w:ascii="Verdana" w:hAnsi="Verdana" w:cs="Calibri"/>
      <w:color w:val="0070C0"/>
      <w:sz w:val="20"/>
      <w:szCs w:val="20"/>
    </w:rPr>
  </w:style>
  <w:style w:type="character" w:customStyle="1" w:styleId="ExergueCar">
    <w:name w:val="Exergue Car"/>
    <w:basedOn w:val="Policepardfaut"/>
    <w:link w:val="Exergue"/>
    <w:rsid w:val="00060CA0"/>
    <w:rPr>
      <w:rFonts w:ascii="Verdana" w:eastAsia="Times New Roman" w:hAnsi="Verdana" w:cs="Times New Roman"/>
      <w:b/>
      <w:bCs/>
      <w:i/>
      <w:sz w:val="20"/>
      <w:szCs w:val="20"/>
    </w:rPr>
  </w:style>
  <w:style w:type="character" w:styleId="Titredulivre">
    <w:name w:val="Book Title"/>
    <w:basedOn w:val="Policepardfaut"/>
    <w:uiPriority w:val="33"/>
    <w:qFormat/>
    <w:rsid w:val="002C56ED"/>
    <w:rPr>
      <w:b/>
      <w:bCs/>
      <w:i/>
      <w:iCs/>
      <w:spacing w:val="5"/>
    </w:rPr>
  </w:style>
  <w:style w:type="character" w:customStyle="1" w:styleId="Sous-partie2Car">
    <w:name w:val="Sous-partie 2 Car"/>
    <w:basedOn w:val="ParagraphedelisteCar"/>
    <w:link w:val="Sous-partie2"/>
    <w:rsid w:val="002C56ED"/>
    <w:rPr>
      <w:rFonts w:ascii="Verdana" w:hAnsi="Verdana" w:cs="Calibri"/>
      <w:color w:val="0070C0"/>
      <w:sz w:val="20"/>
      <w:szCs w:val="20"/>
    </w:rPr>
  </w:style>
  <w:style w:type="character" w:styleId="Rfrenceintense">
    <w:name w:val="Intense Reference"/>
    <w:basedOn w:val="Policepardfaut"/>
    <w:uiPriority w:val="32"/>
    <w:qFormat/>
    <w:rsid w:val="002C56ED"/>
    <w:rPr>
      <w:b/>
      <w:bCs/>
      <w:smallCaps/>
      <w:color w:val="4472C4" w:themeColor="accent1"/>
      <w:spacing w:val="5"/>
    </w:rPr>
  </w:style>
  <w:style w:type="paragraph" w:styleId="NormalWeb">
    <w:name w:val="Normal (Web)"/>
    <w:basedOn w:val="Normal"/>
    <w:uiPriority w:val="99"/>
    <w:semiHidden/>
    <w:unhideWhenUsed/>
    <w:rsid w:val="00EA17AF"/>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Rvision">
    <w:name w:val="Revision"/>
    <w:hidden/>
    <w:uiPriority w:val="99"/>
    <w:semiHidden/>
    <w:rsid w:val="00A57AE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0114052">
      <w:bodyDiv w:val="1"/>
      <w:marLeft w:val="0"/>
      <w:marRight w:val="0"/>
      <w:marTop w:val="0"/>
      <w:marBottom w:val="0"/>
      <w:divBdr>
        <w:top w:val="none" w:sz="0" w:space="0" w:color="auto"/>
        <w:left w:val="none" w:sz="0" w:space="0" w:color="auto"/>
        <w:bottom w:val="none" w:sz="0" w:space="0" w:color="auto"/>
        <w:right w:val="none" w:sz="0" w:space="0" w:color="auto"/>
      </w:divBdr>
    </w:div>
    <w:div w:id="417363756">
      <w:bodyDiv w:val="1"/>
      <w:marLeft w:val="0"/>
      <w:marRight w:val="0"/>
      <w:marTop w:val="0"/>
      <w:marBottom w:val="0"/>
      <w:divBdr>
        <w:top w:val="none" w:sz="0" w:space="0" w:color="auto"/>
        <w:left w:val="none" w:sz="0" w:space="0" w:color="auto"/>
        <w:bottom w:val="none" w:sz="0" w:space="0" w:color="auto"/>
        <w:right w:val="none" w:sz="0" w:space="0" w:color="auto"/>
      </w:divBdr>
    </w:div>
    <w:div w:id="525220105">
      <w:bodyDiv w:val="1"/>
      <w:marLeft w:val="0"/>
      <w:marRight w:val="0"/>
      <w:marTop w:val="0"/>
      <w:marBottom w:val="0"/>
      <w:divBdr>
        <w:top w:val="none" w:sz="0" w:space="0" w:color="auto"/>
        <w:left w:val="none" w:sz="0" w:space="0" w:color="auto"/>
        <w:bottom w:val="none" w:sz="0" w:space="0" w:color="auto"/>
        <w:right w:val="none" w:sz="0" w:space="0" w:color="auto"/>
      </w:divBdr>
    </w:div>
    <w:div w:id="576323663">
      <w:bodyDiv w:val="1"/>
      <w:marLeft w:val="0"/>
      <w:marRight w:val="0"/>
      <w:marTop w:val="0"/>
      <w:marBottom w:val="0"/>
      <w:divBdr>
        <w:top w:val="none" w:sz="0" w:space="0" w:color="auto"/>
        <w:left w:val="none" w:sz="0" w:space="0" w:color="auto"/>
        <w:bottom w:val="none" w:sz="0" w:space="0" w:color="auto"/>
        <w:right w:val="none" w:sz="0" w:space="0" w:color="auto"/>
      </w:divBdr>
    </w:div>
    <w:div w:id="745106269">
      <w:bodyDiv w:val="1"/>
      <w:marLeft w:val="0"/>
      <w:marRight w:val="0"/>
      <w:marTop w:val="0"/>
      <w:marBottom w:val="0"/>
      <w:divBdr>
        <w:top w:val="none" w:sz="0" w:space="0" w:color="auto"/>
        <w:left w:val="none" w:sz="0" w:space="0" w:color="auto"/>
        <w:bottom w:val="none" w:sz="0" w:space="0" w:color="auto"/>
        <w:right w:val="none" w:sz="0" w:space="0" w:color="auto"/>
      </w:divBdr>
    </w:div>
    <w:div w:id="790828961">
      <w:bodyDiv w:val="1"/>
      <w:marLeft w:val="0"/>
      <w:marRight w:val="0"/>
      <w:marTop w:val="0"/>
      <w:marBottom w:val="0"/>
      <w:divBdr>
        <w:top w:val="none" w:sz="0" w:space="0" w:color="auto"/>
        <w:left w:val="none" w:sz="0" w:space="0" w:color="auto"/>
        <w:bottom w:val="none" w:sz="0" w:space="0" w:color="auto"/>
        <w:right w:val="none" w:sz="0" w:space="0" w:color="auto"/>
      </w:divBdr>
    </w:div>
    <w:div w:id="949823986">
      <w:bodyDiv w:val="1"/>
      <w:marLeft w:val="0"/>
      <w:marRight w:val="0"/>
      <w:marTop w:val="0"/>
      <w:marBottom w:val="0"/>
      <w:divBdr>
        <w:top w:val="none" w:sz="0" w:space="0" w:color="auto"/>
        <w:left w:val="none" w:sz="0" w:space="0" w:color="auto"/>
        <w:bottom w:val="none" w:sz="0" w:space="0" w:color="auto"/>
        <w:right w:val="none" w:sz="0" w:space="0" w:color="auto"/>
      </w:divBdr>
    </w:div>
    <w:div w:id="1054692837">
      <w:bodyDiv w:val="1"/>
      <w:marLeft w:val="0"/>
      <w:marRight w:val="0"/>
      <w:marTop w:val="0"/>
      <w:marBottom w:val="0"/>
      <w:divBdr>
        <w:top w:val="none" w:sz="0" w:space="0" w:color="auto"/>
        <w:left w:val="none" w:sz="0" w:space="0" w:color="auto"/>
        <w:bottom w:val="none" w:sz="0" w:space="0" w:color="auto"/>
        <w:right w:val="none" w:sz="0" w:space="0" w:color="auto"/>
      </w:divBdr>
    </w:div>
    <w:div w:id="1123230432">
      <w:bodyDiv w:val="1"/>
      <w:marLeft w:val="0"/>
      <w:marRight w:val="0"/>
      <w:marTop w:val="0"/>
      <w:marBottom w:val="0"/>
      <w:divBdr>
        <w:top w:val="none" w:sz="0" w:space="0" w:color="auto"/>
        <w:left w:val="none" w:sz="0" w:space="0" w:color="auto"/>
        <w:bottom w:val="none" w:sz="0" w:space="0" w:color="auto"/>
        <w:right w:val="none" w:sz="0" w:space="0" w:color="auto"/>
      </w:divBdr>
    </w:div>
    <w:div w:id="1129470484">
      <w:bodyDiv w:val="1"/>
      <w:marLeft w:val="0"/>
      <w:marRight w:val="0"/>
      <w:marTop w:val="0"/>
      <w:marBottom w:val="0"/>
      <w:divBdr>
        <w:top w:val="none" w:sz="0" w:space="0" w:color="auto"/>
        <w:left w:val="none" w:sz="0" w:space="0" w:color="auto"/>
        <w:bottom w:val="none" w:sz="0" w:space="0" w:color="auto"/>
        <w:right w:val="none" w:sz="0" w:space="0" w:color="auto"/>
      </w:divBdr>
      <w:divsChild>
        <w:div w:id="1275016869">
          <w:marLeft w:val="1973"/>
          <w:marRight w:val="0"/>
          <w:marTop w:val="0"/>
          <w:marBottom w:val="0"/>
          <w:divBdr>
            <w:top w:val="none" w:sz="0" w:space="0" w:color="auto"/>
            <w:left w:val="none" w:sz="0" w:space="0" w:color="auto"/>
            <w:bottom w:val="none" w:sz="0" w:space="0" w:color="auto"/>
            <w:right w:val="none" w:sz="0" w:space="0" w:color="auto"/>
          </w:divBdr>
        </w:div>
        <w:div w:id="1007289820">
          <w:marLeft w:val="1973"/>
          <w:marRight w:val="0"/>
          <w:marTop w:val="0"/>
          <w:marBottom w:val="0"/>
          <w:divBdr>
            <w:top w:val="none" w:sz="0" w:space="0" w:color="auto"/>
            <w:left w:val="none" w:sz="0" w:space="0" w:color="auto"/>
            <w:bottom w:val="none" w:sz="0" w:space="0" w:color="auto"/>
            <w:right w:val="none" w:sz="0" w:space="0" w:color="auto"/>
          </w:divBdr>
        </w:div>
      </w:divsChild>
    </w:div>
    <w:div w:id="1427461110">
      <w:bodyDiv w:val="1"/>
      <w:marLeft w:val="0"/>
      <w:marRight w:val="0"/>
      <w:marTop w:val="0"/>
      <w:marBottom w:val="0"/>
      <w:divBdr>
        <w:top w:val="none" w:sz="0" w:space="0" w:color="auto"/>
        <w:left w:val="none" w:sz="0" w:space="0" w:color="auto"/>
        <w:bottom w:val="none" w:sz="0" w:space="0" w:color="auto"/>
        <w:right w:val="none" w:sz="0" w:space="0" w:color="auto"/>
      </w:divBdr>
    </w:div>
    <w:div w:id="1607957413">
      <w:bodyDiv w:val="1"/>
      <w:marLeft w:val="0"/>
      <w:marRight w:val="0"/>
      <w:marTop w:val="0"/>
      <w:marBottom w:val="0"/>
      <w:divBdr>
        <w:top w:val="none" w:sz="0" w:space="0" w:color="auto"/>
        <w:left w:val="none" w:sz="0" w:space="0" w:color="auto"/>
        <w:bottom w:val="none" w:sz="0" w:space="0" w:color="auto"/>
        <w:right w:val="none" w:sz="0" w:space="0" w:color="auto"/>
      </w:divBdr>
    </w:div>
    <w:div w:id="1844587149">
      <w:bodyDiv w:val="1"/>
      <w:marLeft w:val="0"/>
      <w:marRight w:val="0"/>
      <w:marTop w:val="0"/>
      <w:marBottom w:val="0"/>
      <w:divBdr>
        <w:top w:val="none" w:sz="0" w:space="0" w:color="auto"/>
        <w:left w:val="none" w:sz="0" w:space="0" w:color="auto"/>
        <w:bottom w:val="none" w:sz="0" w:space="0" w:color="auto"/>
        <w:right w:val="none" w:sz="0" w:space="0" w:color="auto"/>
      </w:divBdr>
    </w:div>
    <w:div w:id="2006277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6.e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1180</Words>
  <Characters>6493</Characters>
  <Application>Microsoft Office Word</Application>
  <DocSecurity>4</DocSecurity>
  <Lines>54</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MAMINIAINA</dc:creator>
  <cp:keywords/>
  <dc:description/>
  <cp:lastModifiedBy>Gilles RIBOUET</cp:lastModifiedBy>
  <cp:revision>2</cp:revision>
  <dcterms:created xsi:type="dcterms:W3CDTF">2024-11-26T04:47:00Z</dcterms:created>
  <dcterms:modified xsi:type="dcterms:W3CDTF">2024-11-26T04:47:00Z</dcterms:modified>
</cp:coreProperties>
</file>