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03C630A3" w:rsidR="00EC22CC" w:rsidRDefault="00407172" w:rsidP="00854EEA">
            <w:pPr>
              <w:jc w:val="center"/>
              <w:rPr>
                <w:rFonts w:ascii="Verdana" w:hAnsi="Verdana"/>
                <w:b/>
                <w:bCs/>
                <w:sz w:val="20"/>
                <w:szCs w:val="20"/>
              </w:rPr>
            </w:pPr>
            <w:r>
              <w:rPr>
                <w:rFonts w:ascii="Verdana" w:hAnsi="Verdana"/>
                <w:b/>
                <w:bCs/>
              </w:rPr>
              <w:t>Ressources humaines</w:t>
            </w:r>
          </w:p>
        </w:tc>
      </w:tr>
      <w:tr w:rsidR="00EC22CC" w14:paraId="7F1B63D2" w14:textId="77777777" w:rsidTr="002A0933">
        <w:tc>
          <w:tcPr>
            <w:tcW w:w="7225" w:type="dxa"/>
          </w:tcPr>
          <w:p w14:paraId="056D9B10" w14:textId="0B5EBC44" w:rsidR="00EC22CC" w:rsidRPr="002A096E" w:rsidRDefault="00585186" w:rsidP="002A096E">
            <w:pPr>
              <w:rPr>
                <w:rFonts w:ascii="Verdana" w:hAnsi="Verdana"/>
                <w:sz w:val="20"/>
                <w:szCs w:val="20"/>
              </w:rPr>
            </w:pPr>
            <w:r>
              <w:rPr>
                <w:rFonts w:ascii="Verdana" w:hAnsi="Verdana"/>
                <w:sz w:val="20"/>
                <w:szCs w:val="20"/>
              </w:rPr>
              <w:t xml:space="preserve">Comité des OPL 02/24 des 2 et 3 </w:t>
            </w:r>
            <w:r w:rsidR="006609B8">
              <w:rPr>
                <w:rFonts w:ascii="Verdana" w:hAnsi="Verdana"/>
                <w:sz w:val="20"/>
                <w:szCs w:val="20"/>
              </w:rPr>
              <w:t>décembre</w:t>
            </w:r>
            <w:r>
              <w:rPr>
                <w:rFonts w:ascii="Verdana" w:hAnsi="Verdana"/>
                <w:sz w:val="20"/>
                <w:szCs w:val="20"/>
              </w:rPr>
              <w:t xml:space="preserve"> 2024</w:t>
            </w:r>
          </w:p>
        </w:tc>
        <w:tc>
          <w:tcPr>
            <w:tcW w:w="1837" w:type="dxa"/>
          </w:tcPr>
          <w:p w14:paraId="58E25D1F" w14:textId="0B9882A1"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585186">
              <w:rPr>
                <w:rFonts w:ascii="Verdana" w:hAnsi="Verdana"/>
                <w:sz w:val="20"/>
                <w:szCs w:val="20"/>
              </w:rPr>
              <w:t>3.1</w:t>
            </w:r>
          </w:p>
        </w:tc>
      </w:tr>
      <w:tr w:rsidR="00EC22CC" w14:paraId="537D1DE5" w14:textId="77777777" w:rsidTr="002A0933">
        <w:tc>
          <w:tcPr>
            <w:tcW w:w="7225" w:type="dxa"/>
          </w:tcPr>
          <w:p w14:paraId="43DEF09E" w14:textId="2283884A"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977A3E">
              <w:rPr>
                <w:rFonts w:ascii="Verdana" w:hAnsi="Verdana"/>
                <w:i/>
                <w:iCs/>
                <w:sz w:val="20"/>
                <w:szCs w:val="20"/>
              </w:rPr>
              <w:t xml:space="preserve">Klervi </w:t>
            </w:r>
            <w:proofErr w:type="spellStart"/>
            <w:r w:rsidR="00977A3E">
              <w:rPr>
                <w:rFonts w:ascii="Verdana" w:hAnsi="Verdana"/>
                <w:i/>
                <w:iCs/>
                <w:sz w:val="20"/>
                <w:szCs w:val="20"/>
              </w:rPr>
              <w:t>Congard</w:t>
            </w:r>
            <w:proofErr w:type="spellEnd"/>
            <w:r w:rsidR="00977A3E">
              <w:rPr>
                <w:rFonts w:ascii="Verdana" w:hAnsi="Verdana"/>
                <w:i/>
                <w:iCs/>
                <w:sz w:val="20"/>
                <w:szCs w:val="20"/>
              </w:rPr>
              <w:t>, GRH</w:t>
            </w:r>
          </w:p>
        </w:tc>
        <w:tc>
          <w:tcPr>
            <w:tcW w:w="1837" w:type="dxa"/>
          </w:tcPr>
          <w:p w14:paraId="5AC1AFAB" w14:textId="5475E2B3" w:rsidR="00EC22CC" w:rsidRPr="002A0933" w:rsidRDefault="00585186" w:rsidP="00854EEA">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5BDE0884" w:rsidR="00A90305" w:rsidRDefault="00A90305" w:rsidP="00A90305">
            <w:pPr>
              <w:rPr>
                <w:rFonts w:ascii="Verdana" w:hAnsi="Verdana"/>
                <w:sz w:val="20"/>
                <w:szCs w:val="20"/>
              </w:rPr>
            </w:pPr>
            <w:r>
              <w:rPr>
                <w:rFonts w:ascii="Verdana" w:hAnsi="Verdana"/>
                <w:i/>
                <w:iCs/>
                <w:sz w:val="20"/>
                <w:szCs w:val="20"/>
              </w:rPr>
              <w:t xml:space="preserve">Version du </w:t>
            </w:r>
            <w:r w:rsidR="006609B8">
              <w:rPr>
                <w:rFonts w:ascii="Verdana" w:hAnsi="Verdana"/>
                <w:i/>
                <w:iCs/>
                <w:sz w:val="20"/>
                <w:szCs w:val="20"/>
              </w:rPr>
              <w:t>06 novembre</w:t>
            </w:r>
            <w:r w:rsidR="00977A3E">
              <w:rPr>
                <w:rFonts w:ascii="Verdana" w:hAnsi="Verdana"/>
                <w:i/>
                <w:iCs/>
                <w:sz w:val="20"/>
                <w:szCs w:val="20"/>
              </w:rPr>
              <w:t xml:space="preserve"> 2024</w:t>
            </w:r>
          </w:p>
        </w:tc>
      </w:tr>
    </w:tbl>
    <w:p w14:paraId="1611BCC4" w14:textId="77777777" w:rsidR="00854EEA" w:rsidRDefault="00854EEA" w:rsidP="00816DAC">
      <w:pPr>
        <w:pStyle w:val="Paragraphe"/>
      </w:pPr>
      <w:bookmarkStart w:id="0" w:name="_Hlk24535240"/>
    </w:p>
    <w:p w14:paraId="678F0DFC" w14:textId="05D9F3D7" w:rsidR="00854EEA" w:rsidRPr="0008468B" w:rsidRDefault="00C35ED7" w:rsidP="00A70123">
      <w:pPr>
        <w:pStyle w:val="Titrepartie"/>
      </w:pPr>
      <w:r>
        <w:t xml:space="preserve">Etats des lieux </w:t>
      </w:r>
      <w:r w:rsidR="00C567C5">
        <w:t>au 30 octobre 2024</w:t>
      </w:r>
    </w:p>
    <w:p w14:paraId="0F3EF4FD" w14:textId="34D69566" w:rsidR="008A1133" w:rsidRDefault="008A1133" w:rsidP="008A1133">
      <w:pPr>
        <w:spacing w:after="0" w:line="240" w:lineRule="auto"/>
        <w:jc w:val="both"/>
        <w:rPr>
          <w:rFonts w:ascii="Verdana" w:hAnsi="Verdana"/>
          <w:sz w:val="20"/>
          <w:szCs w:val="20"/>
        </w:rPr>
      </w:pPr>
      <w:r>
        <w:rPr>
          <w:rFonts w:ascii="Verdana" w:hAnsi="Verdana"/>
          <w:sz w:val="20"/>
          <w:szCs w:val="20"/>
        </w:rPr>
        <w:t>L’année 202</w:t>
      </w:r>
      <w:r w:rsidR="005B3350">
        <w:rPr>
          <w:rFonts w:ascii="Verdana" w:hAnsi="Verdana"/>
          <w:sz w:val="20"/>
          <w:szCs w:val="20"/>
        </w:rPr>
        <w:t>4</w:t>
      </w:r>
      <w:r>
        <w:rPr>
          <w:rFonts w:ascii="Verdana" w:hAnsi="Verdana"/>
          <w:sz w:val="20"/>
          <w:szCs w:val="20"/>
        </w:rPr>
        <w:t xml:space="preserve"> a été marquée par </w:t>
      </w:r>
      <w:r w:rsidR="00A94CBF">
        <w:rPr>
          <w:rFonts w:ascii="Verdana" w:hAnsi="Verdana"/>
          <w:sz w:val="20"/>
          <w:szCs w:val="20"/>
        </w:rPr>
        <w:t>la validation de 12 nouveaux postes</w:t>
      </w:r>
      <w:r w:rsidR="00C567C5">
        <w:rPr>
          <w:rFonts w:ascii="Verdana" w:hAnsi="Verdana"/>
          <w:sz w:val="20"/>
          <w:szCs w:val="20"/>
        </w:rPr>
        <w:t xml:space="preserve"> pour le </w:t>
      </w:r>
      <w:r w:rsidR="00F51750">
        <w:rPr>
          <w:rFonts w:ascii="Verdana" w:hAnsi="Verdana"/>
          <w:sz w:val="20"/>
          <w:szCs w:val="20"/>
        </w:rPr>
        <w:t xml:space="preserve">Secrétariat </w:t>
      </w:r>
      <w:r w:rsidR="00C567C5">
        <w:rPr>
          <w:rFonts w:ascii="Verdana" w:hAnsi="Verdana"/>
          <w:sz w:val="20"/>
          <w:szCs w:val="20"/>
        </w:rPr>
        <w:t>général</w:t>
      </w:r>
      <w:r w:rsidR="00F51750">
        <w:rPr>
          <w:rFonts w:ascii="Verdana" w:hAnsi="Verdana"/>
          <w:sz w:val="20"/>
          <w:szCs w:val="20"/>
        </w:rPr>
        <w:t xml:space="preserve"> (SG)</w:t>
      </w:r>
      <w:r w:rsidR="00F00C50">
        <w:rPr>
          <w:rFonts w:ascii="Verdana" w:hAnsi="Verdana"/>
          <w:sz w:val="20"/>
          <w:szCs w:val="20"/>
        </w:rPr>
        <w:t xml:space="preserve">, </w:t>
      </w:r>
      <w:r w:rsidR="00C567C5">
        <w:rPr>
          <w:rFonts w:ascii="Verdana" w:hAnsi="Verdana"/>
          <w:sz w:val="20"/>
          <w:szCs w:val="20"/>
        </w:rPr>
        <w:t>10 recrutements</w:t>
      </w:r>
      <w:r w:rsidR="00CA73A9">
        <w:rPr>
          <w:rFonts w:ascii="Verdana" w:hAnsi="Verdana"/>
          <w:sz w:val="20"/>
          <w:szCs w:val="20"/>
        </w:rPr>
        <w:t xml:space="preserve"> (dont 6 pour le SG et 4 pour les projets</w:t>
      </w:r>
      <w:r w:rsidR="00D324FA">
        <w:rPr>
          <w:rFonts w:ascii="Verdana" w:hAnsi="Verdana"/>
          <w:sz w:val="20"/>
          <w:szCs w:val="20"/>
        </w:rPr>
        <w:t>) et</w:t>
      </w:r>
      <w:r w:rsidR="00C567C5">
        <w:rPr>
          <w:rFonts w:ascii="Verdana" w:hAnsi="Verdana"/>
          <w:sz w:val="20"/>
          <w:szCs w:val="20"/>
        </w:rPr>
        <w:t xml:space="preserve"> </w:t>
      </w:r>
      <w:r w:rsidR="00F51750">
        <w:rPr>
          <w:rFonts w:ascii="Verdana" w:hAnsi="Verdana"/>
          <w:sz w:val="20"/>
          <w:szCs w:val="20"/>
        </w:rPr>
        <w:t xml:space="preserve">par </w:t>
      </w:r>
      <w:r>
        <w:rPr>
          <w:rFonts w:ascii="Verdana" w:hAnsi="Verdana"/>
          <w:sz w:val="20"/>
          <w:szCs w:val="20"/>
        </w:rPr>
        <w:t xml:space="preserve">l’arrivée </w:t>
      </w:r>
      <w:r w:rsidR="00A348E1">
        <w:rPr>
          <w:rFonts w:ascii="Verdana" w:hAnsi="Verdana"/>
          <w:sz w:val="20"/>
          <w:szCs w:val="20"/>
        </w:rPr>
        <w:t>de 25 nouveaux collègues</w:t>
      </w:r>
      <w:r>
        <w:rPr>
          <w:rFonts w:ascii="Verdana" w:hAnsi="Verdana"/>
          <w:sz w:val="20"/>
          <w:szCs w:val="20"/>
        </w:rPr>
        <w:t xml:space="preserve"> (agents de la COI, mises à disposition, </w:t>
      </w:r>
      <w:r w:rsidR="00F51750">
        <w:rPr>
          <w:rFonts w:ascii="Verdana" w:hAnsi="Verdana"/>
          <w:sz w:val="20"/>
          <w:szCs w:val="20"/>
        </w:rPr>
        <w:t>assistance technique (</w:t>
      </w:r>
      <w:r>
        <w:rPr>
          <w:rFonts w:ascii="Verdana" w:hAnsi="Verdana"/>
          <w:sz w:val="20"/>
          <w:szCs w:val="20"/>
        </w:rPr>
        <w:t>AT</w:t>
      </w:r>
      <w:r w:rsidR="00F51750">
        <w:rPr>
          <w:rFonts w:ascii="Verdana" w:hAnsi="Verdana"/>
          <w:sz w:val="20"/>
          <w:szCs w:val="20"/>
        </w:rPr>
        <w:t>)</w:t>
      </w:r>
      <w:r>
        <w:rPr>
          <w:rFonts w:ascii="Verdana" w:hAnsi="Verdana"/>
          <w:sz w:val="20"/>
          <w:szCs w:val="20"/>
        </w:rPr>
        <w:t xml:space="preserve"> et consultants) au bénéfice des projets et du </w:t>
      </w:r>
      <w:r w:rsidR="00F51750">
        <w:rPr>
          <w:rFonts w:ascii="Verdana" w:hAnsi="Verdana"/>
          <w:sz w:val="20"/>
          <w:szCs w:val="20"/>
        </w:rPr>
        <w:t xml:space="preserve">Secrétariat </w:t>
      </w:r>
      <w:r>
        <w:rPr>
          <w:rFonts w:ascii="Verdana" w:hAnsi="Verdana"/>
          <w:sz w:val="20"/>
          <w:szCs w:val="20"/>
        </w:rPr>
        <w:t xml:space="preserve">général de la COI. </w:t>
      </w:r>
      <w:r w:rsidRPr="0038373E">
        <w:rPr>
          <w:rFonts w:ascii="Verdana" w:hAnsi="Verdana"/>
          <w:b/>
          <w:bCs/>
          <w:sz w:val="20"/>
          <w:szCs w:val="20"/>
        </w:rPr>
        <w:t xml:space="preserve">(Voir tableau </w:t>
      </w:r>
      <w:r>
        <w:rPr>
          <w:rFonts w:ascii="Verdana" w:hAnsi="Verdana"/>
          <w:b/>
          <w:bCs/>
          <w:sz w:val="20"/>
          <w:szCs w:val="20"/>
        </w:rPr>
        <w:t>des arrivées et départ en Annexe 1)</w:t>
      </w:r>
      <w:r>
        <w:rPr>
          <w:rFonts w:ascii="Verdana" w:hAnsi="Verdana"/>
          <w:sz w:val="20"/>
          <w:szCs w:val="20"/>
        </w:rPr>
        <w:t xml:space="preserve"> </w:t>
      </w:r>
    </w:p>
    <w:p w14:paraId="7D4936F8" w14:textId="77777777" w:rsidR="008A1133" w:rsidRDefault="008A1133" w:rsidP="008A1133">
      <w:pPr>
        <w:spacing w:after="0" w:line="240" w:lineRule="auto"/>
        <w:jc w:val="both"/>
        <w:rPr>
          <w:rFonts w:ascii="Verdana" w:hAnsi="Verdana"/>
          <w:sz w:val="20"/>
          <w:szCs w:val="20"/>
        </w:rPr>
      </w:pPr>
    </w:p>
    <w:p w14:paraId="50F43FDF" w14:textId="3334CDC8" w:rsidR="00F51750" w:rsidRDefault="00F51750" w:rsidP="008A1133">
      <w:pPr>
        <w:spacing w:after="0" w:line="240" w:lineRule="auto"/>
        <w:jc w:val="both"/>
        <w:rPr>
          <w:rFonts w:ascii="Verdana" w:hAnsi="Verdana"/>
          <w:sz w:val="20"/>
          <w:szCs w:val="20"/>
        </w:rPr>
      </w:pPr>
      <w:r>
        <w:rPr>
          <w:rFonts w:ascii="Verdana" w:hAnsi="Verdana"/>
          <w:sz w:val="20"/>
          <w:szCs w:val="20"/>
        </w:rPr>
        <w:t>L</w:t>
      </w:r>
      <w:r w:rsidR="008A1133">
        <w:rPr>
          <w:rFonts w:ascii="Verdana" w:hAnsi="Verdana"/>
          <w:sz w:val="20"/>
          <w:szCs w:val="20"/>
        </w:rPr>
        <w:t xml:space="preserve">’effectif total </w:t>
      </w:r>
      <w:r>
        <w:rPr>
          <w:rFonts w:ascii="Verdana" w:hAnsi="Verdana"/>
          <w:sz w:val="20"/>
          <w:szCs w:val="20"/>
        </w:rPr>
        <w:t xml:space="preserve">du personnel est ainsi porté </w:t>
      </w:r>
      <w:r w:rsidR="008A1133">
        <w:rPr>
          <w:rFonts w:ascii="Verdana" w:hAnsi="Verdana"/>
          <w:sz w:val="20"/>
          <w:szCs w:val="20"/>
        </w:rPr>
        <w:t>à 11</w:t>
      </w:r>
      <w:r w:rsidR="00D324FA">
        <w:rPr>
          <w:rFonts w:ascii="Verdana" w:hAnsi="Verdana"/>
          <w:sz w:val="20"/>
          <w:szCs w:val="20"/>
        </w:rPr>
        <w:t>1</w:t>
      </w:r>
      <w:r w:rsidR="008A1133">
        <w:rPr>
          <w:rFonts w:ascii="Verdana" w:hAnsi="Verdana"/>
          <w:sz w:val="20"/>
          <w:szCs w:val="20"/>
        </w:rPr>
        <w:t xml:space="preserve"> personnes dont 7</w:t>
      </w:r>
      <w:r w:rsidR="00D324FA">
        <w:rPr>
          <w:rFonts w:ascii="Verdana" w:hAnsi="Verdana"/>
          <w:sz w:val="20"/>
          <w:szCs w:val="20"/>
        </w:rPr>
        <w:t>0</w:t>
      </w:r>
      <w:r w:rsidR="008A1133">
        <w:rPr>
          <w:rFonts w:ascii="Verdana" w:hAnsi="Verdana"/>
          <w:sz w:val="20"/>
          <w:szCs w:val="20"/>
        </w:rPr>
        <w:t xml:space="preserve"> travaillant sur les projets et 39 au Secrétariat, incluant </w:t>
      </w:r>
      <w:r w:rsidR="00D324FA">
        <w:rPr>
          <w:rFonts w:ascii="Verdana" w:hAnsi="Verdana"/>
          <w:sz w:val="20"/>
          <w:szCs w:val="20"/>
        </w:rPr>
        <w:t>1</w:t>
      </w:r>
      <w:r w:rsidR="008A1133">
        <w:rPr>
          <w:rFonts w:ascii="Verdana" w:hAnsi="Verdana"/>
          <w:sz w:val="20"/>
          <w:szCs w:val="20"/>
        </w:rPr>
        <w:t xml:space="preserve"> volontaire de solidarité internationale</w:t>
      </w:r>
      <w:r w:rsidR="00676D6F">
        <w:rPr>
          <w:rFonts w:ascii="Verdana" w:hAnsi="Verdana"/>
          <w:sz w:val="20"/>
          <w:szCs w:val="20"/>
        </w:rPr>
        <w:t xml:space="preserve">. </w:t>
      </w:r>
    </w:p>
    <w:p w14:paraId="7CCEB69C" w14:textId="24C950D5" w:rsidR="008A1133" w:rsidRDefault="00F51750" w:rsidP="008A1133">
      <w:pPr>
        <w:spacing w:after="0" w:line="240" w:lineRule="auto"/>
        <w:jc w:val="both"/>
        <w:rPr>
          <w:rFonts w:ascii="Verdana" w:hAnsi="Verdana"/>
          <w:sz w:val="20"/>
          <w:szCs w:val="20"/>
        </w:rPr>
      </w:pPr>
      <w:r w:rsidRPr="003F6645">
        <w:rPr>
          <w:rFonts w:ascii="Verdana" w:hAnsi="Verdana"/>
          <w:b/>
          <w:bCs/>
          <w:sz w:val="20"/>
          <w:szCs w:val="20"/>
        </w:rPr>
        <w:t>R</w:t>
      </w:r>
      <w:r w:rsidR="00676D6F" w:rsidRPr="003F6645">
        <w:rPr>
          <w:rFonts w:ascii="Verdana" w:hAnsi="Verdana"/>
          <w:b/>
          <w:bCs/>
          <w:sz w:val="20"/>
          <w:szCs w:val="20"/>
        </w:rPr>
        <w:t>épartition du personnel</w:t>
      </w:r>
      <w:r w:rsidR="00676D6F">
        <w:rPr>
          <w:rFonts w:ascii="Verdana" w:hAnsi="Verdana"/>
          <w:sz w:val="20"/>
          <w:szCs w:val="20"/>
        </w:rPr>
        <w:t xml:space="preserve"> : </w:t>
      </w:r>
    </w:p>
    <w:p w14:paraId="16C83ECF" w14:textId="5BAA0C36" w:rsidR="00C02228" w:rsidRDefault="00433CD5" w:rsidP="008A1133">
      <w:pPr>
        <w:spacing w:after="0" w:line="240" w:lineRule="auto"/>
        <w:jc w:val="both"/>
        <w:rPr>
          <w:rFonts w:ascii="Verdana" w:hAnsi="Verdana"/>
          <w:noProof/>
          <w:sz w:val="20"/>
          <w:szCs w:val="20"/>
        </w:rPr>
      </w:pPr>
      <w:r w:rsidRPr="00433CD5">
        <w:rPr>
          <w:rFonts w:ascii="Verdana" w:hAnsi="Verdana"/>
          <w:noProof/>
          <w:sz w:val="20"/>
          <w:szCs w:val="20"/>
        </w:rPr>
        <w:drawing>
          <wp:anchor distT="0" distB="0" distL="114300" distR="114300" simplePos="0" relativeHeight="251658240" behindDoc="1" locked="0" layoutInCell="1" allowOverlap="1" wp14:anchorId="25A34956" wp14:editId="263086AF">
            <wp:simplePos x="0" y="0"/>
            <wp:positionH relativeFrom="column">
              <wp:posOffset>-166370</wp:posOffset>
            </wp:positionH>
            <wp:positionV relativeFrom="paragraph">
              <wp:posOffset>161925</wp:posOffset>
            </wp:positionV>
            <wp:extent cx="2562225" cy="2524125"/>
            <wp:effectExtent l="0" t="0" r="9525" b="9525"/>
            <wp:wrapNone/>
            <wp:docPr id="6634277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27716" name=""/>
                    <pic:cNvPicPr/>
                  </pic:nvPicPr>
                  <pic:blipFill>
                    <a:blip r:embed="rId7">
                      <a:extLst>
                        <a:ext uri="{28A0092B-C50C-407E-A947-70E740481C1C}">
                          <a14:useLocalDpi xmlns:a14="http://schemas.microsoft.com/office/drawing/2010/main" val="0"/>
                        </a:ext>
                      </a:extLst>
                    </a:blip>
                    <a:stretch>
                      <a:fillRect/>
                    </a:stretch>
                  </pic:blipFill>
                  <pic:spPr>
                    <a:xfrm>
                      <a:off x="0" y="0"/>
                      <a:ext cx="2562225" cy="2524125"/>
                    </a:xfrm>
                    <a:prstGeom prst="rect">
                      <a:avLst/>
                    </a:prstGeom>
                  </pic:spPr>
                </pic:pic>
              </a:graphicData>
            </a:graphic>
            <wp14:sizeRelH relativeFrom="page">
              <wp14:pctWidth>0</wp14:pctWidth>
            </wp14:sizeRelH>
            <wp14:sizeRelV relativeFrom="page">
              <wp14:pctHeight>0</wp14:pctHeight>
            </wp14:sizeRelV>
          </wp:anchor>
        </w:drawing>
      </w:r>
    </w:p>
    <w:tbl>
      <w:tblPr>
        <w:tblW w:w="5235" w:type="dxa"/>
        <w:jc w:val="right"/>
        <w:tblLook w:val="04A0" w:firstRow="1" w:lastRow="0" w:firstColumn="1" w:lastColumn="0" w:noHBand="0" w:noVBand="1"/>
      </w:tblPr>
      <w:tblGrid>
        <w:gridCol w:w="1285"/>
        <w:gridCol w:w="822"/>
        <w:gridCol w:w="904"/>
        <w:gridCol w:w="1458"/>
        <w:gridCol w:w="783"/>
      </w:tblGrid>
      <w:tr w:rsidR="00D324FA" w:rsidRPr="00084E2B" w14:paraId="6B8A5874" w14:textId="77777777" w:rsidTr="00CE7347">
        <w:trPr>
          <w:trHeight w:val="300"/>
          <w:jc w:val="right"/>
        </w:trPr>
        <w:tc>
          <w:tcPr>
            <w:tcW w:w="1285" w:type="dxa"/>
            <w:tcBorders>
              <w:top w:val="single" w:sz="8" w:space="0" w:color="auto"/>
              <w:left w:val="single" w:sz="8" w:space="0" w:color="auto"/>
              <w:bottom w:val="single" w:sz="4" w:space="0" w:color="auto"/>
              <w:right w:val="single" w:sz="4" w:space="0" w:color="auto"/>
            </w:tcBorders>
            <w:shd w:val="clear" w:color="auto" w:fill="8496B0" w:themeFill="text2" w:themeFillTint="99"/>
            <w:vAlign w:val="center"/>
            <w:hideMark/>
          </w:tcPr>
          <w:p w14:paraId="02654117" w14:textId="77777777" w:rsidR="00E80F6E" w:rsidRPr="00084E2B" w:rsidRDefault="00E80F6E" w:rsidP="002C5DEC">
            <w:pPr>
              <w:spacing w:after="0" w:line="240" w:lineRule="auto"/>
              <w:jc w:val="center"/>
              <w:rPr>
                <w:rFonts w:ascii="Verdana" w:eastAsia="Times New Roman" w:hAnsi="Verdana" w:cs="Calibri"/>
                <w:b/>
                <w:bCs/>
                <w:color w:val="000000"/>
                <w:sz w:val="20"/>
                <w:szCs w:val="20"/>
              </w:rPr>
            </w:pPr>
            <w:r w:rsidRPr="00084E2B">
              <w:rPr>
                <w:rFonts w:ascii="Verdana" w:eastAsia="Times New Roman" w:hAnsi="Verdana" w:cs="Calibri"/>
                <w:b/>
                <w:bCs/>
                <w:color w:val="000000"/>
                <w:sz w:val="20"/>
                <w:szCs w:val="20"/>
              </w:rPr>
              <w:t>TYPE DE CONTRAT</w:t>
            </w:r>
          </w:p>
        </w:tc>
        <w:tc>
          <w:tcPr>
            <w:tcW w:w="822" w:type="dxa"/>
            <w:tcBorders>
              <w:top w:val="single" w:sz="8" w:space="0" w:color="auto"/>
              <w:left w:val="nil"/>
              <w:bottom w:val="single" w:sz="4" w:space="0" w:color="auto"/>
              <w:right w:val="single" w:sz="4" w:space="0" w:color="auto"/>
            </w:tcBorders>
            <w:shd w:val="clear" w:color="auto" w:fill="8496B0" w:themeFill="text2" w:themeFillTint="99"/>
            <w:vAlign w:val="center"/>
          </w:tcPr>
          <w:p w14:paraId="017EB1D4" w14:textId="77777777" w:rsidR="00E80F6E" w:rsidRPr="00084E2B" w:rsidRDefault="00E80F6E" w:rsidP="002C5DEC">
            <w:pPr>
              <w:spacing w:after="0" w:line="240" w:lineRule="auto"/>
              <w:jc w:val="center"/>
              <w:rPr>
                <w:rFonts w:ascii="Verdana" w:eastAsia="Times New Roman" w:hAnsi="Verdana" w:cs="Calibri"/>
                <w:b/>
                <w:bCs/>
                <w:color w:val="000000"/>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478B468" w14:textId="77777777" w:rsidR="00E80F6E" w:rsidRDefault="00E80F6E" w:rsidP="002C5DEC">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rPr>
              <w:t>Projet</w:t>
            </w:r>
          </w:p>
        </w:tc>
        <w:tc>
          <w:tcPr>
            <w:tcW w:w="1458" w:type="dxa"/>
            <w:tcBorders>
              <w:top w:val="single" w:sz="8" w:space="0" w:color="auto"/>
              <w:left w:val="single" w:sz="4" w:space="0" w:color="auto"/>
              <w:bottom w:val="single" w:sz="4" w:space="0" w:color="auto"/>
              <w:right w:val="single" w:sz="4" w:space="0" w:color="auto"/>
            </w:tcBorders>
            <w:shd w:val="clear" w:color="auto" w:fill="C5E0B3" w:themeFill="accent6" w:themeFillTint="66"/>
          </w:tcPr>
          <w:p w14:paraId="55ADF8ED" w14:textId="77777777" w:rsidR="00E80F6E" w:rsidRDefault="00E80F6E" w:rsidP="002C5DEC">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rPr>
              <w:t>Secrétariat</w:t>
            </w:r>
          </w:p>
        </w:tc>
        <w:tc>
          <w:tcPr>
            <w:tcW w:w="766" w:type="dxa"/>
            <w:tcBorders>
              <w:top w:val="single" w:sz="8"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E339290" w14:textId="77777777" w:rsidR="00E80F6E" w:rsidRPr="00084E2B" w:rsidRDefault="00E80F6E" w:rsidP="002C5DEC">
            <w:pPr>
              <w:spacing w:after="0" w:line="240" w:lineRule="auto"/>
              <w:jc w:val="center"/>
              <w:rPr>
                <w:rFonts w:ascii="Verdana" w:eastAsia="Times New Roman" w:hAnsi="Verdana" w:cs="Calibri"/>
                <w:b/>
                <w:bCs/>
                <w:color w:val="000000"/>
                <w:sz w:val="20"/>
                <w:szCs w:val="20"/>
              </w:rPr>
            </w:pPr>
            <w:r>
              <w:rPr>
                <w:rFonts w:ascii="Verdana" w:eastAsia="Times New Roman" w:hAnsi="Verdana" w:cs="Calibri"/>
                <w:b/>
                <w:bCs/>
                <w:color w:val="000000"/>
                <w:sz w:val="20"/>
                <w:szCs w:val="20"/>
              </w:rPr>
              <w:t>Total</w:t>
            </w:r>
          </w:p>
        </w:tc>
      </w:tr>
      <w:tr w:rsidR="00D324FA" w:rsidRPr="00C0416F" w14:paraId="5592CA16" w14:textId="77777777" w:rsidTr="00CE7347">
        <w:trPr>
          <w:trHeight w:val="300"/>
          <w:jc w:val="right"/>
        </w:trPr>
        <w:tc>
          <w:tcPr>
            <w:tcW w:w="1285" w:type="dxa"/>
            <w:vMerge w:val="restart"/>
            <w:tcBorders>
              <w:top w:val="single" w:sz="8" w:space="0" w:color="auto"/>
              <w:left w:val="single" w:sz="8" w:space="0" w:color="auto"/>
              <w:right w:val="single" w:sz="4" w:space="0" w:color="auto"/>
            </w:tcBorders>
            <w:shd w:val="clear" w:color="auto" w:fill="auto"/>
            <w:vAlign w:val="center"/>
          </w:tcPr>
          <w:p w14:paraId="3570588C" w14:textId="77777777" w:rsidR="00E80F6E" w:rsidRPr="00084E2B" w:rsidRDefault="00E80F6E" w:rsidP="002C5DEC">
            <w:pPr>
              <w:spacing w:after="0" w:line="240" w:lineRule="auto"/>
              <w:rPr>
                <w:rFonts w:ascii="Verdana" w:eastAsia="Times New Roman" w:hAnsi="Verdana" w:cs="Calibri"/>
                <w:b/>
                <w:bCs/>
                <w:color w:val="000000"/>
                <w:sz w:val="20"/>
                <w:szCs w:val="20"/>
              </w:rPr>
            </w:pPr>
            <w:r w:rsidRPr="00570EFF">
              <w:rPr>
                <w:rFonts w:ascii="Verdana" w:hAnsi="Verdana" w:cs="Calibri"/>
                <w:color w:val="000000"/>
                <w:sz w:val="20"/>
                <w:szCs w:val="20"/>
              </w:rPr>
              <w:t>Contrat COI employés</w:t>
            </w:r>
          </w:p>
        </w:tc>
        <w:tc>
          <w:tcPr>
            <w:tcW w:w="822" w:type="dxa"/>
            <w:tcBorders>
              <w:top w:val="single" w:sz="8" w:space="0" w:color="auto"/>
              <w:left w:val="nil"/>
              <w:bottom w:val="single" w:sz="4" w:space="0" w:color="auto"/>
              <w:right w:val="single" w:sz="4" w:space="0" w:color="auto"/>
            </w:tcBorders>
            <w:shd w:val="clear" w:color="auto" w:fill="auto"/>
            <w:vAlign w:val="center"/>
          </w:tcPr>
          <w:p w14:paraId="3201B6D2" w14:textId="77777777" w:rsidR="00E80F6E" w:rsidRPr="00C0416F"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SG</w:t>
            </w:r>
          </w:p>
        </w:tc>
        <w:tc>
          <w:tcPr>
            <w:tcW w:w="904" w:type="dxa"/>
            <w:tcBorders>
              <w:top w:val="single" w:sz="4" w:space="0" w:color="auto"/>
              <w:left w:val="single" w:sz="4" w:space="0" w:color="auto"/>
              <w:bottom w:val="single" w:sz="4" w:space="0" w:color="auto"/>
              <w:right w:val="single" w:sz="4" w:space="0" w:color="auto"/>
            </w:tcBorders>
          </w:tcPr>
          <w:p w14:paraId="06CF6677"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0</w:t>
            </w:r>
          </w:p>
        </w:tc>
        <w:tc>
          <w:tcPr>
            <w:tcW w:w="1458" w:type="dxa"/>
            <w:tcBorders>
              <w:top w:val="single" w:sz="4" w:space="0" w:color="auto"/>
              <w:left w:val="single" w:sz="4" w:space="0" w:color="auto"/>
              <w:bottom w:val="single" w:sz="4" w:space="0" w:color="auto"/>
              <w:right w:val="single" w:sz="4" w:space="0" w:color="auto"/>
            </w:tcBorders>
          </w:tcPr>
          <w:p w14:paraId="5D9AA457"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1</w:t>
            </w:r>
          </w:p>
        </w:tc>
        <w:tc>
          <w:tcPr>
            <w:tcW w:w="7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109F97E4" w14:textId="77777777" w:rsidR="00E80F6E" w:rsidRPr="00C0416F"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1</w:t>
            </w:r>
          </w:p>
        </w:tc>
      </w:tr>
      <w:tr w:rsidR="00D324FA" w:rsidRPr="00570EFF" w14:paraId="60B0F3BD" w14:textId="77777777" w:rsidTr="00CE7347">
        <w:trPr>
          <w:trHeight w:val="300"/>
          <w:jc w:val="right"/>
        </w:trPr>
        <w:tc>
          <w:tcPr>
            <w:tcW w:w="1285" w:type="dxa"/>
            <w:vMerge/>
            <w:tcBorders>
              <w:left w:val="single" w:sz="8" w:space="0" w:color="auto"/>
              <w:right w:val="single" w:sz="4" w:space="0" w:color="auto"/>
            </w:tcBorders>
            <w:shd w:val="clear" w:color="auto" w:fill="auto"/>
            <w:vAlign w:val="center"/>
          </w:tcPr>
          <w:p w14:paraId="7B5F9A09" w14:textId="77777777" w:rsidR="00E80F6E" w:rsidRPr="00570EFF" w:rsidRDefault="00E80F6E" w:rsidP="002C5DEC">
            <w:pPr>
              <w:spacing w:after="0" w:line="240" w:lineRule="auto"/>
              <w:rPr>
                <w:rFonts w:ascii="Verdana" w:hAnsi="Verdana" w:cs="Calibri"/>
                <w:color w:val="000000"/>
                <w:sz w:val="20"/>
                <w:szCs w:val="20"/>
              </w:rPr>
            </w:pPr>
          </w:p>
        </w:tc>
        <w:tc>
          <w:tcPr>
            <w:tcW w:w="822" w:type="dxa"/>
            <w:tcBorders>
              <w:top w:val="single" w:sz="4" w:space="0" w:color="auto"/>
              <w:left w:val="nil"/>
              <w:bottom w:val="single" w:sz="4" w:space="0" w:color="auto"/>
              <w:right w:val="single" w:sz="4" w:space="0" w:color="auto"/>
            </w:tcBorders>
          </w:tcPr>
          <w:p w14:paraId="1DA548A1" w14:textId="77777777" w:rsidR="00E80F6E" w:rsidRPr="00570EFF"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CP</w:t>
            </w:r>
          </w:p>
        </w:tc>
        <w:tc>
          <w:tcPr>
            <w:tcW w:w="904" w:type="dxa"/>
            <w:tcBorders>
              <w:top w:val="single" w:sz="4" w:space="0" w:color="auto"/>
              <w:left w:val="single" w:sz="4" w:space="0" w:color="auto"/>
              <w:bottom w:val="single" w:sz="4" w:space="0" w:color="auto"/>
              <w:right w:val="single" w:sz="4" w:space="0" w:color="auto"/>
            </w:tcBorders>
          </w:tcPr>
          <w:p w14:paraId="68DFF79E"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4</w:t>
            </w:r>
          </w:p>
        </w:tc>
        <w:tc>
          <w:tcPr>
            <w:tcW w:w="1458" w:type="dxa"/>
            <w:tcBorders>
              <w:top w:val="single" w:sz="4" w:space="0" w:color="auto"/>
              <w:left w:val="single" w:sz="4" w:space="0" w:color="auto"/>
              <w:bottom w:val="single" w:sz="4" w:space="0" w:color="auto"/>
              <w:right w:val="single" w:sz="4" w:space="0" w:color="auto"/>
            </w:tcBorders>
          </w:tcPr>
          <w:p w14:paraId="732B4BE7"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9</w:t>
            </w:r>
          </w:p>
        </w:tc>
        <w:tc>
          <w:tcPr>
            <w:tcW w:w="7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5F0BBF26" w14:textId="77777777" w:rsidR="00E80F6E" w:rsidRPr="00570EFF"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13</w:t>
            </w:r>
          </w:p>
        </w:tc>
      </w:tr>
      <w:tr w:rsidR="00D324FA" w:rsidRPr="00570EFF" w14:paraId="79CF2AF4" w14:textId="77777777" w:rsidTr="00CE7347">
        <w:trPr>
          <w:trHeight w:val="300"/>
          <w:jc w:val="right"/>
        </w:trPr>
        <w:tc>
          <w:tcPr>
            <w:tcW w:w="1285" w:type="dxa"/>
            <w:vMerge/>
            <w:tcBorders>
              <w:left w:val="single" w:sz="8" w:space="0" w:color="auto"/>
              <w:right w:val="single" w:sz="4" w:space="0" w:color="auto"/>
            </w:tcBorders>
            <w:shd w:val="clear" w:color="auto" w:fill="auto"/>
          </w:tcPr>
          <w:p w14:paraId="7F8378D1" w14:textId="77777777" w:rsidR="00E80F6E" w:rsidRPr="00570EFF" w:rsidRDefault="00E80F6E" w:rsidP="002C5DEC">
            <w:pPr>
              <w:spacing w:after="0" w:line="240" w:lineRule="auto"/>
              <w:rPr>
                <w:rFonts w:ascii="Verdana" w:hAnsi="Verdana" w:cs="Calibri"/>
                <w:color w:val="000000"/>
                <w:sz w:val="20"/>
                <w:szCs w:val="20"/>
              </w:rPr>
            </w:pPr>
          </w:p>
        </w:tc>
        <w:tc>
          <w:tcPr>
            <w:tcW w:w="822" w:type="dxa"/>
            <w:tcBorders>
              <w:top w:val="single" w:sz="4" w:space="0" w:color="auto"/>
              <w:left w:val="nil"/>
              <w:bottom w:val="single" w:sz="4" w:space="0" w:color="auto"/>
              <w:right w:val="single" w:sz="4" w:space="0" w:color="auto"/>
            </w:tcBorders>
          </w:tcPr>
          <w:p w14:paraId="71BEDDFD" w14:textId="77777777" w:rsidR="00E80F6E" w:rsidRPr="00570EFF"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CI</w:t>
            </w:r>
          </w:p>
        </w:tc>
        <w:tc>
          <w:tcPr>
            <w:tcW w:w="904" w:type="dxa"/>
            <w:tcBorders>
              <w:top w:val="single" w:sz="4" w:space="0" w:color="auto"/>
              <w:left w:val="single" w:sz="4" w:space="0" w:color="auto"/>
              <w:bottom w:val="single" w:sz="4" w:space="0" w:color="auto"/>
              <w:right w:val="single" w:sz="4" w:space="0" w:color="auto"/>
            </w:tcBorders>
          </w:tcPr>
          <w:p w14:paraId="42571AB0"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25</w:t>
            </w:r>
          </w:p>
        </w:tc>
        <w:tc>
          <w:tcPr>
            <w:tcW w:w="1458" w:type="dxa"/>
            <w:tcBorders>
              <w:top w:val="single" w:sz="4" w:space="0" w:color="auto"/>
              <w:left w:val="single" w:sz="4" w:space="0" w:color="auto"/>
              <w:bottom w:val="single" w:sz="4" w:space="0" w:color="auto"/>
              <w:right w:val="single" w:sz="4" w:space="0" w:color="auto"/>
            </w:tcBorders>
          </w:tcPr>
          <w:p w14:paraId="22A79B72"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11</w:t>
            </w:r>
          </w:p>
        </w:tc>
        <w:tc>
          <w:tcPr>
            <w:tcW w:w="7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13031F29" w14:textId="77777777" w:rsidR="00E80F6E" w:rsidRPr="00570EFF"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36</w:t>
            </w:r>
          </w:p>
        </w:tc>
      </w:tr>
      <w:tr w:rsidR="00D324FA" w:rsidRPr="00570EFF" w14:paraId="51C2B363" w14:textId="77777777" w:rsidTr="00CE7347">
        <w:trPr>
          <w:trHeight w:val="300"/>
          <w:jc w:val="right"/>
        </w:trPr>
        <w:tc>
          <w:tcPr>
            <w:tcW w:w="1285" w:type="dxa"/>
            <w:vMerge/>
            <w:tcBorders>
              <w:left w:val="single" w:sz="8" w:space="0" w:color="auto"/>
              <w:bottom w:val="single" w:sz="4" w:space="0" w:color="auto"/>
              <w:right w:val="single" w:sz="4" w:space="0" w:color="auto"/>
            </w:tcBorders>
            <w:shd w:val="clear" w:color="auto" w:fill="auto"/>
            <w:hideMark/>
          </w:tcPr>
          <w:p w14:paraId="1BAFC249" w14:textId="77777777" w:rsidR="00E80F6E" w:rsidRPr="00570EFF" w:rsidRDefault="00E80F6E" w:rsidP="002C5DEC">
            <w:pPr>
              <w:spacing w:after="0" w:line="240" w:lineRule="auto"/>
              <w:rPr>
                <w:rFonts w:ascii="Verdana" w:eastAsia="Times New Roman" w:hAnsi="Verdana" w:cs="Calibri"/>
                <w:color w:val="000000"/>
                <w:sz w:val="20"/>
                <w:szCs w:val="20"/>
              </w:rPr>
            </w:pPr>
          </w:p>
        </w:tc>
        <w:tc>
          <w:tcPr>
            <w:tcW w:w="822" w:type="dxa"/>
            <w:tcBorders>
              <w:top w:val="single" w:sz="4" w:space="0" w:color="auto"/>
              <w:left w:val="nil"/>
              <w:bottom w:val="single" w:sz="4" w:space="0" w:color="auto"/>
              <w:right w:val="single" w:sz="4" w:space="0" w:color="auto"/>
            </w:tcBorders>
          </w:tcPr>
          <w:p w14:paraId="40BD36DF" w14:textId="77777777" w:rsidR="00E80F6E" w:rsidRPr="00570EFF"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PB/PA</w:t>
            </w:r>
          </w:p>
        </w:tc>
        <w:tc>
          <w:tcPr>
            <w:tcW w:w="904" w:type="dxa"/>
            <w:tcBorders>
              <w:top w:val="single" w:sz="4" w:space="0" w:color="auto"/>
              <w:left w:val="single" w:sz="4" w:space="0" w:color="auto"/>
              <w:bottom w:val="single" w:sz="4" w:space="0" w:color="auto"/>
              <w:right w:val="single" w:sz="4" w:space="0" w:color="auto"/>
            </w:tcBorders>
          </w:tcPr>
          <w:p w14:paraId="35EEE660"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5</w:t>
            </w:r>
          </w:p>
        </w:tc>
        <w:tc>
          <w:tcPr>
            <w:tcW w:w="1458" w:type="dxa"/>
            <w:tcBorders>
              <w:top w:val="single" w:sz="4" w:space="0" w:color="auto"/>
              <w:left w:val="single" w:sz="4" w:space="0" w:color="auto"/>
              <w:bottom w:val="single" w:sz="4" w:space="0" w:color="auto"/>
              <w:right w:val="single" w:sz="4" w:space="0" w:color="auto"/>
            </w:tcBorders>
          </w:tcPr>
          <w:p w14:paraId="2908B0CA"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11</w:t>
            </w:r>
          </w:p>
        </w:tc>
        <w:tc>
          <w:tcPr>
            <w:tcW w:w="7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D730CE6" w14:textId="77777777" w:rsidR="00E80F6E" w:rsidRPr="00570EFF" w:rsidRDefault="00E80F6E" w:rsidP="002C5DEC">
            <w:pPr>
              <w:spacing w:after="0" w:line="240" w:lineRule="auto"/>
              <w:jc w:val="center"/>
              <w:rPr>
                <w:rFonts w:ascii="Verdana" w:eastAsia="Times New Roman" w:hAnsi="Verdana" w:cs="Calibri"/>
                <w:color w:val="000000"/>
                <w:sz w:val="20"/>
                <w:szCs w:val="20"/>
              </w:rPr>
            </w:pPr>
            <w:r>
              <w:rPr>
                <w:rFonts w:ascii="Verdana" w:hAnsi="Verdana" w:cs="Calibri"/>
                <w:color w:val="000000"/>
                <w:sz w:val="20"/>
                <w:szCs w:val="20"/>
              </w:rPr>
              <w:t>16</w:t>
            </w:r>
          </w:p>
        </w:tc>
      </w:tr>
      <w:tr w:rsidR="00D324FA" w:rsidRPr="00570EFF" w14:paraId="25879007" w14:textId="77777777" w:rsidTr="00CE7347">
        <w:trPr>
          <w:trHeight w:val="300"/>
          <w:jc w:val="right"/>
        </w:trPr>
        <w:tc>
          <w:tcPr>
            <w:tcW w:w="21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68C305" w14:textId="77777777" w:rsidR="00E80F6E" w:rsidRPr="00570EFF" w:rsidRDefault="00E80F6E" w:rsidP="002C5DEC">
            <w:pPr>
              <w:spacing w:after="0" w:line="240" w:lineRule="auto"/>
              <w:jc w:val="center"/>
              <w:rPr>
                <w:rFonts w:ascii="Verdana" w:hAnsi="Verdana" w:cs="Calibri"/>
                <w:color w:val="000000"/>
                <w:sz w:val="20"/>
                <w:szCs w:val="20"/>
              </w:rPr>
            </w:pPr>
            <w:r w:rsidRPr="00570EFF">
              <w:rPr>
                <w:rFonts w:ascii="Verdana" w:hAnsi="Verdana" w:cs="Calibri"/>
                <w:color w:val="000000"/>
                <w:sz w:val="20"/>
                <w:szCs w:val="20"/>
              </w:rPr>
              <w:t>Consultants en contrat COI</w:t>
            </w:r>
          </w:p>
        </w:tc>
        <w:tc>
          <w:tcPr>
            <w:tcW w:w="904" w:type="dxa"/>
            <w:tcBorders>
              <w:top w:val="single" w:sz="4" w:space="0" w:color="auto"/>
              <w:left w:val="nil"/>
              <w:bottom w:val="single" w:sz="4" w:space="0" w:color="auto"/>
              <w:right w:val="single" w:sz="4" w:space="0" w:color="auto"/>
            </w:tcBorders>
          </w:tcPr>
          <w:p w14:paraId="0F0E596E"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4</w:t>
            </w:r>
          </w:p>
        </w:tc>
        <w:tc>
          <w:tcPr>
            <w:tcW w:w="1458" w:type="dxa"/>
            <w:tcBorders>
              <w:top w:val="single" w:sz="4" w:space="0" w:color="auto"/>
              <w:left w:val="single" w:sz="4" w:space="0" w:color="auto"/>
              <w:bottom w:val="single" w:sz="4" w:space="0" w:color="auto"/>
              <w:right w:val="single" w:sz="4" w:space="0" w:color="auto"/>
            </w:tcBorders>
          </w:tcPr>
          <w:p w14:paraId="348996CC"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1</w:t>
            </w:r>
          </w:p>
        </w:tc>
        <w:tc>
          <w:tcPr>
            <w:tcW w:w="7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1D6ACEAD" w14:textId="77777777" w:rsidR="00E80F6E" w:rsidRPr="00570EFF" w:rsidRDefault="00E80F6E" w:rsidP="002C5DEC">
            <w:pPr>
              <w:spacing w:after="0" w:line="240" w:lineRule="auto"/>
              <w:jc w:val="center"/>
              <w:rPr>
                <w:rFonts w:ascii="Verdana" w:eastAsia="Times New Roman" w:hAnsi="Verdana" w:cs="Calibri"/>
                <w:color w:val="000000"/>
                <w:sz w:val="20"/>
                <w:szCs w:val="20"/>
              </w:rPr>
            </w:pPr>
            <w:r>
              <w:rPr>
                <w:rFonts w:ascii="Verdana" w:hAnsi="Verdana" w:cs="Calibri"/>
                <w:color w:val="000000"/>
                <w:sz w:val="20"/>
                <w:szCs w:val="20"/>
              </w:rPr>
              <w:t>5</w:t>
            </w:r>
          </w:p>
        </w:tc>
      </w:tr>
      <w:tr w:rsidR="00D324FA" w:rsidRPr="00570EFF" w14:paraId="1719F8A1" w14:textId="77777777" w:rsidTr="00CE7347">
        <w:trPr>
          <w:trHeight w:val="315"/>
          <w:jc w:val="right"/>
        </w:trPr>
        <w:tc>
          <w:tcPr>
            <w:tcW w:w="21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AD1377" w14:textId="77777777" w:rsidR="00E80F6E" w:rsidRPr="00570EFF" w:rsidRDefault="00E80F6E" w:rsidP="002C5DEC">
            <w:pPr>
              <w:spacing w:after="0" w:line="240" w:lineRule="auto"/>
              <w:jc w:val="center"/>
              <w:rPr>
                <w:rFonts w:ascii="Verdana" w:hAnsi="Verdana" w:cs="Calibri"/>
                <w:color w:val="000000"/>
                <w:sz w:val="20"/>
                <w:szCs w:val="20"/>
              </w:rPr>
            </w:pPr>
            <w:r w:rsidRPr="00570EFF">
              <w:rPr>
                <w:rFonts w:ascii="Verdana" w:hAnsi="Verdana" w:cs="Calibri"/>
                <w:color w:val="000000"/>
                <w:sz w:val="20"/>
                <w:szCs w:val="20"/>
              </w:rPr>
              <w:t>Assistant Technique</w:t>
            </w:r>
          </w:p>
        </w:tc>
        <w:tc>
          <w:tcPr>
            <w:tcW w:w="904" w:type="dxa"/>
            <w:tcBorders>
              <w:top w:val="single" w:sz="4" w:space="0" w:color="auto"/>
              <w:left w:val="nil"/>
              <w:bottom w:val="single" w:sz="4" w:space="0" w:color="auto"/>
              <w:right w:val="single" w:sz="4" w:space="0" w:color="auto"/>
            </w:tcBorders>
          </w:tcPr>
          <w:p w14:paraId="76D09B89"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29</w:t>
            </w:r>
          </w:p>
        </w:tc>
        <w:tc>
          <w:tcPr>
            <w:tcW w:w="1458" w:type="dxa"/>
            <w:tcBorders>
              <w:top w:val="single" w:sz="4" w:space="0" w:color="auto"/>
              <w:left w:val="single" w:sz="4" w:space="0" w:color="auto"/>
              <w:bottom w:val="single" w:sz="4" w:space="0" w:color="auto"/>
              <w:right w:val="single" w:sz="4" w:space="0" w:color="auto"/>
            </w:tcBorders>
          </w:tcPr>
          <w:p w14:paraId="3BEBD8C5"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1</w:t>
            </w:r>
          </w:p>
        </w:tc>
        <w:tc>
          <w:tcPr>
            <w:tcW w:w="7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1E7DD19" w14:textId="77777777" w:rsidR="00E80F6E" w:rsidRPr="00570EFF" w:rsidRDefault="00E80F6E" w:rsidP="002C5DEC">
            <w:pPr>
              <w:spacing w:after="0" w:line="240" w:lineRule="auto"/>
              <w:jc w:val="center"/>
              <w:rPr>
                <w:rFonts w:ascii="Verdana" w:eastAsia="Times New Roman" w:hAnsi="Verdana" w:cs="Calibri"/>
                <w:color w:val="000000"/>
                <w:sz w:val="20"/>
                <w:szCs w:val="20"/>
              </w:rPr>
            </w:pPr>
            <w:r w:rsidRPr="00570EFF">
              <w:rPr>
                <w:rFonts w:ascii="Verdana" w:hAnsi="Verdana" w:cs="Calibri"/>
                <w:color w:val="000000"/>
                <w:sz w:val="20"/>
                <w:szCs w:val="20"/>
              </w:rPr>
              <w:t>30</w:t>
            </w:r>
          </w:p>
        </w:tc>
      </w:tr>
      <w:tr w:rsidR="00D324FA" w:rsidRPr="00570EFF" w14:paraId="6DAC9D23" w14:textId="77777777" w:rsidTr="00CE7347">
        <w:trPr>
          <w:trHeight w:val="315"/>
          <w:jc w:val="right"/>
        </w:trPr>
        <w:tc>
          <w:tcPr>
            <w:tcW w:w="2107" w:type="dxa"/>
            <w:gridSpan w:val="2"/>
            <w:tcBorders>
              <w:top w:val="single" w:sz="4" w:space="0" w:color="auto"/>
              <w:left w:val="single" w:sz="4" w:space="0" w:color="auto"/>
              <w:bottom w:val="single" w:sz="4" w:space="0" w:color="auto"/>
              <w:right w:val="single" w:sz="4" w:space="0" w:color="auto"/>
            </w:tcBorders>
            <w:shd w:val="clear" w:color="auto" w:fill="auto"/>
          </w:tcPr>
          <w:p w14:paraId="5A63E538" w14:textId="77777777" w:rsidR="00E80F6E" w:rsidRPr="00570EFF" w:rsidRDefault="00E80F6E" w:rsidP="002C5DEC">
            <w:pPr>
              <w:spacing w:after="0" w:line="240" w:lineRule="auto"/>
              <w:jc w:val="center"/>
              <w:rPr>
                <w:rFonts w:ascii="Verdana" w:hAnsi="Verdana" w:cs="Calibri"/>
                <w:color w:val="000000"/>
                <w:sz w:val="20"/>
                <w:szCs w:val="20"/>
              </w:rPr>
            </w:pPr>
            <w:r w:rsidRPr="00570EFF">
              <w:rPr>
                <w:rFonts w:ascii="Verdana" w:hAnsi="Verdana" w:cs="Calibri"/>
                <w:color w:val="000000"/>
                <w:sz w:val="20"/>
                <w:szCs w:val="20"/>
              </w:rPr>
              <w:t>Mise à disposition</w:t>
            </w:r>
          </w:p>
        </w:tc>
        <w:tc>
          <w:tcPr>
            <w:tcW w:w="904" w:type="dxa"/>
            <w:tcBorders>
              <w:top w:val="single" w:sz="4" w:space="0" w:color="auto"/>
              <w:left w:val="nil"/>
              <w:bottom w:val="single" w:sz="4" w:space="0" w:color="auto"/>
              <w:right w:val="single" w:sz="4" w:space="0" w:color="auto"/>
            </w:tcBorders>
          </w:tcPr>
          <w:p w14:paraId="455D800B"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3</w:t>
            </w:r>
          </w:p>
        </w:tc>
        <w:tc>
          <w:tcPr>
            <w:tcW w:w="1458" w:type="dxa"/>
            <w:tcBorders>
              <w:top w:val="single" w:sz="4" w:space="0" w:color="auto"/>
              <w:left w:val="single" w:sz="4" w:space="0" w:color="auto"/>
              <w:bottom w:val="single" w:sz="4" w:space="0" w:color="auto"/>
              <w:right w:val="single" w:sz="4" w:space="0" w:color="auto"/>
            </w:tcBorders>
          </w:tcPr>
          <w:p w14:paraId="2F05F2A6"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6</w:t>
            </w:r>
          </w:p>
        </w:tc>
        <w:tc>
          <w:tcPr>
            <w:tcW w:w="7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123A9D2E" w14:textId="77777777" w:rsidR="00E80F6E" w:rsidRPr="00570EFF" w:rsidRDefault="00E80F6E" w:rsidP="002C5DEC">
            <w:pPr>
              <w:spacing w:after="0" w:line="240" w:lineRule="auto"/>
              <w:jc w:val="center"/>
              <w:rPr>
                <w:rFonts w:ascii="Verdana" w:eastAsia="Times New Roman" w:hAnsi="Verdana" w:cs="Calibri"/>
                <w:color w:val="000000"/>
                <w:sz w:val="20"/>
                <w:szCs w:val="20"/>
              </w:rPr>
            </w:pPr>
            <w:r>
              <w:rPr>
                <w:rFonts w:ascii="Verdana" w:hAnsi="Verdana" w:cs="Calibri"/>
                <w:color w:val="000000"/>
                <w:sz w:val="20"/>
                <w:szCs w:val="20"/>
              </w:rPr>
              <w:t>9</w:t>
            </w:r>
          </w:p>
        </w:tc>
      </w:tr>
      <w:tr w:rsidR="00D324FA" w14:paraId="259A517F" w14:textId="77777777" w:rsidTr="00CE7347">
        <w:trPr>
          <w:trHeight w:val="315"/>
          <w:jc w:val="right"/>
        </w:trPr>
        <w:tc>
          <w:tcPr>
            <w:tcW w:w="2107" w:type="dxa"/>
            <w:gridSpan w:val="2"/>
            <w:tcBorders>
              <w:top w:val="single" w:sz="4" w:space="0" w:color="auto"/>
              <w:left w:val="single" w:sz="4" w:space="0" w:color="auto"/>
              <w:bottom w:val="single" w:sz="4" w:space="0" w:color="auto"/>
              <w:right w:val="single" w:sz="4" w:space="0" w:color="auto"/>
            </w:tcBorders>
            <w:shd w:val="clear" w:color="auto" w:fill="auto"/>
          </w:tcPr>
          <w:p w14:paraId="12154719" w14:textId="77777777" w:rsidR="00E80F6E" w:rsidRPr="00570EFF"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VSI</w:t>
            </w:r>
          </w:p>
        </w:tc>
        <w:tc>
          <w:tcPr>
            <w:tcW w:w="904" w:type="dxa"/>
            <w:tcBorders>
              <w:top w:val="single" w:sz="4" w:space="0" w:color="auto"/>
              <w:left w:val="nil"/>
              <w:bottom w:val="single" w:sz="4" w:space="0" w:color="auto"/>
              <w:right w:val="single" w:sz="4" w:space="0" w:color="auto"/>
            </w:tcBorders>
          </w:tcPr>
          <w:p w14:paraId="55553577"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0</w:t>
            </w:r>
          </w:p>
        </w:tc>
        <w:tc>
          <w:tcPr>
            <w:tcW w:w="1458" w:type="dxa"/>
            <w:tcBorders>
              <w:top w:val="single" w:sz="4" w:space="0" w:color="auto"/>
              <w:left w:val="single" w:sz="4" w:space="0" w:color="auto"/>
              <w:bottom w:val="single" w:sz="4" w:space="0" w:color="auto"/>
              <w:right w:val="single" w:sz="4" w:space="0" w:color="auto"/>
            </w:tcBorders>
          </w:tcPr>
          <w:p w14:paraId="40F0F697"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1</w:t>
            </w:r>
          </w:p>
        </w:tc>
        <w:tc>
          <w:tcPr>
            <w:tcW w:w="7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7730C8F5" w14:textId="77777777" w:rsidR="00E80F6E" w:rsidRDefault="00E80F6E" w:rsidP="002C5DEC">
            <w:pPr>
              <w:spacing w:after="0" w:line="240" w:lineRule="auto"/>
              <w:jc w:val="center"/>
              <w:rPr>
                <w:rFonts w:ascii="Verdana" w:hAnsi="Verdana" w:cs="Calibri"/>
                <w:color w:val="000000"/>
                <w:sz w:val="20"/>
                <w:szCs w:val="20"/>
              </w:rPr>
            </w:pPr>
            <w:r>
              <w:rPr>
                <w:rFonts w:ascii="Verdana" w:hAnsi="Verdana" w:cs="Calibri"/>
                <w:color w:val="000000"/>
                <w:sz w:val="20"/>
                <w:szCs w:val="20"/>
              </w:rPr>
              <w:t>1</w:t>
            </w:r>
          </w:p>
        </w:tc>
      </w:tr>
      <w:tr w:rsidR="00D324FA" w:rsidRPr="007D201A" w14:paraId="751D3131" w14:textId="77777777" w:rsidTr="00CE7347">
        <w:trPr>
          <w:trHeight w:val="315"/>
          <w:jc w:val="right"/>
        </w:trPr>
        <w:tc>
          <w:tcPr>
            <w:tcW w:w="210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353D98" w14:textId="77777777" w:rsidR="00E80F6E" w:rsidRPr="00CE7347" w:rsidRDefault="00E80F6E" w:rsidP="002C5DEC">
            <w:pPr>
              <w:spacing w:after="0" w:line="240" w:lineRule="auto"/>
              <w:jc w:val="center"/>
              <w:rPr>
                <w:rFonts w:ascii="Verdana" w:hAnsi="Verdana" w:cs="Calibri"/>
                <w:b/>
                <w:bCs/>
                <w:color w:val="000000"/>
                <w:sz w:val="20"/>
                <w:szCs w:val="20"/>
              </w:rPr>
            </w:pPr>
            <w:r w:rsidRPr="00CE7347">
              <w:rPr>
                <w:rFonts w:ascii="Verdana" w:hAnsi="Verdana" w:cs="Calibri"/>
                <w:b/>
                <w:bCs/>
                <w:color w:val="000000"/>
                <w:sz w:val="20"/>
                <w:szCs w:val="20"/>
              </w:rPr>
              <w:t>TOTAL des effectifs</w:t>
            </w:r>
          </w:p>
        </w:tc>
        <w:tc>
          <w:tcPr>
            <w:tcW w:w="90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188BC80" w14:textId="77777777" w:rsidR="00E80F6E" w:rsidRDefault="00E80F6E" w:rsidP="002C5DEC">
            <w:pPr>
              <w:spacing w:after="0" w:line="240" w:lineRule="auto"/>
              <w:jc w:val="center"/>
              <w:rPr>
                <w:rFonts w:ascii="Verdana" w:hAnsi="Verdana" w:cs="Calibri"/>
                <w:b/>
                <w:bCs/>
                <w:color w:val="000000"/>
                <w:sz w:val="24"/>
                <w:szCs w:val="24"/>
              </w:rPr>
            </w:pPr>
            <w:r>
              <w:rPr>
                <w:rFonts w:ascii="Verdana" w:hAnsi="Verdana" w:cs="Calibri"/>
                <w:b/>
                <w:bCs/>
                <w:color w:val="000000"/>
                <w:sz w:val="24"/>
                <w:szCs w:val="24"/>
              </w:rPr>
              <w:t>70</w:t>
            </w: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B42A87" w14:textId="77777777" w:rsidR="00E80F6E" w:rsidRDefault="00E80F6E" w:rsidP="002C5DEC">
            <w:pPr>
              <w:spacing w:after="0" w:line="240" w:lineRule="auto"/>
              <w:jc w:val="center"/>
              <w:rPr>
                <w:rFonts w:ascii="Verdana" w:hAnsi="Verdana" w:cs="Calibri"/>
                <w:b/>
                <w:bCs/>
                <w:color w:val="000000"/>
                <w:sz w:val="24"/>
                <w:szCs w:val="24"/>
              </w:rPr>
            </w:pPr>
            <w:r>
              <w:rPr>
                <w:rFonts w:ascii="Verdana" w:hAnsi="Verdana" w:cs="Calibri"/>
                <w:b/>
                <w:bCs/>
                <w:color w:val="000000"/>
                <w:sz w:val="24"/>
                <w:szCs w:val="24"/>
              </w:rPr>
              <w:t>41</w:t>
            </w:r>
          </w:p>
        </w:tc>
        <w:tc>
          <w:tcPr>
            <w:tcW w:w="7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BD06771" w14:textId="77777777" w:rsidR="00E80F6E" w:rsidRPr="007D201A" w:rsidRDefault="00E80F6E" w:rsidP="002C5DEC">
            <w:pPr>
              <w:spacing w:after="0" w:line="240" w:lineRule="auto"/>
              <w:jc w:val="center"/>
              <w:rPr>
                <w:rFonts w:ascii="Verdana" w:hAnsi="Verdana" w:cs="Calibri"/>
                <w:b/>
                <w:bCs/>
                <w:color w:val="000000"/>
                <w:sz w:val="24"/>
                <w:szCs w:val="24"/>
              </w:rPr>
            </w:pPr>
            <w:r>
              <w:rPr>
                <w:rFonts w:ascii="Verdana" w:hAnsi="Verdana" w:cs="Calibri"/>
                <w:b/>
                <w:bCs/>
                <w:color w:val="000000"/>
                <w:sz w:val="24"/>
                <w:szCs w:val="24"/>
              </w:rPr>
              <w:t>111</w:t>
            </w:r>
          </w:p>
        </w:tc>
      </w:tr>
    </w:tbl>
    <w:p w14:paraId="69EB26F0" w14:textId="77777777" w:rsidR="00ED1185" w:rsidRDefault="00ED1185" w:rsidP="008A1133">
      <w:pPr>
        <w:spacing w:after="0" w:line="240" w:lineRule="auto"/>
        <w:jc w:val="both"/>
        <w:rPr>
          <w:rFonts w:ascii="Verdana" w:hAnsi="Verdana"/>
          <w:noProof/>
          <w:sz w:val="20"/>
          <w:szCs w:val="20"/>
        </w:rPr>
      </w:pPr>
    </w:p>
    <w:p w14:paraId="0B070925" w14:textId="77777777" w:rsidR="008A1133" w:rsidRDefault="008A1133" w:rsidP="008A1133">
      <w:pPr>
        <w:spacing w:after="0" w:line="240" w:lineRule="auto"/>
        <w:jc w:val="both"/>
        <w:rPr>
          <w:rFonts w:ascii="Verdana" w:hAnsi="Verdana"/>
          <w:sz w:val="20"/>
          <w:szCs w:val="20"/>
        </w:rPr>
      </w:pPr>
    </w:p>
    <w:p w14:paraId="27F680EC" w14:textId="4E0201B1" w:rsidR="008A1133" w:rsidRDefault="00F51750" w:rsidP="008A1133">
      <w:pPr>
        <w:spacing w:after="0" w:line="240" w:lineRule="auto"/>
        <w:jc w:val="both"/>
        <w:rPr>
          <w:rFonts w:ascii="Verdana" w:hAnsi="Verdana"/>
          <w:sz w:val="20"/>
          <w:szCs w:val="20"/>
        </w:rPr>
      </w:pPr>
      <w:r w:rsidRPr="003F6645">
        <w:rPr>
          <w:rFonts w:ascii="Verdana" w:hAnsi="Verdana"/>
          <w:b/>
          <w:bCs/>
          <w:sz w:val="20"/>
          <w:szCs w:val="20"/>
        </w:rPr>
        <w:t>Répartition géographique des</w:t>
      </w:r>
      <w:r w:rsidR="008A1133" w:rsidRPr="003F6645">
        <w:rPr>
          <w:rFonts w:ascii="Verdana" w:hAnsi="Verdana"/>
          <w:b/>
          <w:bCs/>
          <w:sz w:val="20"/>
          <w:szCs w:val="20"/>
        </w:rPr>
        <w:t xml:space="preserve"> cadres professionnels et intermédiaires à recrutement régional</w:t>
      </w:r>
      <w:r w:rsidR="008A1133">
        <w:rPr>
          <w:rFonts w:ascii="Verdana" w:hAnsi="Verdana"/>
          <w:sz w:val="20"/>
          <w:szCs w:val="20"/>
        </w:rPr>
        <w:t> :</w:t>
      </w:r>
    </w:p>
    <w:p w14:paraId="36BCA538" w14:textId="77777777" w:rsidR="008A1133" w:rsidRDefault="008A1133" w:rsidP="008A1133">
      <w:pPr>
        <w:pStyle w:val="Paragraphedeliste"/>
        <w:numPr>
          <w:ilvl w:val="0"/>
          <w:numId w:val="10"/>
        </w:numPr>
        <w:spacing w:after="0" w:line="240" w:lineRule="auto"/>
        <w:jc w:val="both"/>
        <w:rPr>
          <w:rFonts w:ascii="Verdana" w:hAnsi="Verdana"/>
          <w:sz w:val="20"/>
          <w:szCs w:val="20"/>
        </w:rPr>
      </w:pPr>
      <w:r>
        <w:rPr>
          <w:rFonts w:ascii="Verdana" w:hAnsi="Verdana"/>
          <w:sz w:val="20"/>
          <w:szCs w:val="20"/>
        </w:rPr>
        <w:t>43</w:t>
      </w:r>
      <w:r w:rsidRPr="00DA3A4F">
        <w:rPr>
          <w:rFonts w:ascii="Verdana" w:hAnsi="Verdana"/>
          <w:sz w:val="20"/>
          <w:szCs w:val="20"/>
        </w:rPr>
        <w:t xml:space="preserve"> % d’agents de nationalité malgache, </w:t>
      </w:r>
    </w:p>
    <w:p w14:paraId="7E1B13C1" w14:textId="6C8AD836" w:rsidR="008A1133" w:rsidRDefault="008A1133" w:rsidP="008A1133">
      <w:pPr>
        <w:pStyle w:val="Paragraphedeliste"/>
        <w:numPr>
          <w:ilvl w:val="0"/>
          <w:numId w:val="10"/>
        </w:numPr>
        <w:spacing w:after="0" w:line="240" w:lineRule="auto"/>
        <w:jc w:val="both"/>
        <w:rPr>
          <w:rFonts w:ascii="Verdana" w:hAnsi="Verdana"/>
          <w:sz w:val="20"/>
          <w:szCs w:val="20"/>
        </w:rPr>
      </w:pPr>
      <w:r>
        <w:rPr>
          <w:rFonts w:ascii="Verdana" w:hAnsi="Verdana"/>
          <w:sz w:val="20"/>
          <w:szCs w:val="20"/>
        </w:rPr>
        <w:t>2</w:t>
      </w:r>
      <w:r w:rsidR="00515A1D">
        <w:rPr>
          <w:rFonts w:ascii="Verdana" w:hAnsi="Verdana"/>
          <w:sz w:val="20"/>
          <w:szCs w:val="20"/>
        </w:rPr>
        <w:t>7</w:t>
      </w:r>
      <w:r w:rsidRPr="00DA3A4F">
        <w:rPr>
          <w:rFonts w:ascii="Verdana" w:hAnsi="Verdana"/>
          <w:sz w:val="20"/>
          <w:szCs w:val="20"/>
        </w:rPr>
        <w:t xml:space="preserve"> % de nationalité mauricienne, </w:t>
      </w:r>
    </w:p>
    <w:p w14:paraId="6FD1DF14" w14:textId="61802394" w:rsidR="008A1133" w:rsidRDefault="008A1133" w:rsidP="008A1133">
      <w:pPr>
        <w:pStyle w:val="Paragraphedeliste"/>
        <w:numPr>
          <w:ilvl w:val="0"/>
          <w:numId w:val="10"/>
        </w:numPr>
        <w:spacing w:after="0" w:line="240" w:lineRule="auto"/>
        <w:jc w:val="both"/>
        <w:rPr>
          <w:rFonts w:ascii="Verdana" w:hAnsi="Verdana"/>
          <w:sz w:val="20"/>
          <w:szCs w:val="20"/>
        </w:rPr>
      </w:pPr>
      <w:r>
        <w:rPr>
          <w:rFonts w:ascii="Verdana" w:hAnsi="Verdana"/>
          <w:sz w:val="20"/>
          <w:szCs w:val="20"/>
        </w:rPr>
        <w:t>1</w:t>
      </w:r>
      <w:r w:rsidR="00587A32">
        <w:rPr>
          <w:rFonts w:ascii="Verdana" w:hAnsi="Verdana"/>
          <w:sz w:val="20"/>
          <w:szCs w:val="20"/>
        </w:rPr>
        <w:t>2</w:t>
      </w:r>
      <w:r>
        <w:rPr>
          <w:rFonts w:ascii="Verdana" w:hAnsi="Verdana"/>
          <w:sz w:val="20"/>
          <w:szCs w:val="20"/>
        </w:rPr>
        <w:t xml:space="preserve"> </w:t>
      </w:r>
      <w:r w:rsidRPr="00DA3A4F">
        <w:rPr>
          <w:rFonts w:ascii="Verdana" w:hAnsi="Verdana"/>
          <w:sz w:val="20"/>
          <w:szCs w:val="20"/>
        </w:rPr>
        <w:t xml:space="preserve">% de nationalité </w:t>
      </w:r>
      <w:r>
        <w:rPr>
          <w:rFonts w:ascii="Verdana" w:hAnsi="Verdana"/>
          <w:sz w:val="20"/>
          <w:szCs w:val="20"/>
        </w:rPr>
        <w:t>française</w:t>
      </w:r>
      <w:r w:rsidRPr="00DA3A4F">
        <w:rPr>
          <w:rFonts w:ascii="Verdana" w:hAnsi="Verdana"/>
          <w:sz w:val="20"/>
          <w:szCs w:val="20"/>
        </w:rPr>
        <w:t>,</w:t>
      </w:r>
    </w:p>
    <w:p w14:paraId="6167E7CB" w14:textId="4D2A5706" w:rsidR="008A1133" w:rsidRPr="00587A32" w:rsidRDefault="008A1133" w:rsidP="00587A32">
      <w:pPr>
        <w:pStyle w:val="Paragraphedeliste"/>
        <w:numPr>
          <w:ilvl w:val="0"/>
          <w:numId w:val="10"/>
        </w:numPr>
        <w:spacing w:after="0" w:line="240" w:lineRule="auto"/>
        <w:jc w:val="both"/>
        <w:rPr>
          <w:rFonts w:ascii="Verdana" w:hAnsi="Verdana"/>
          <w:sz w:val="20"/>
          <w:szCs w:val="20"/>
        </w:rPr>
      </w:pPr>
      <w:r>
        <w:rPr>
          <w:rFonts w:ascii="Verdana" w:hAnsi="Verdana"/>
          <w:sz w:val="20"/>
          <w:szCs w:val="20"/>
        </w:rPr>
        <w:t>1</w:t>
      </w:r>
      <w:r w:rsidR="00587A32">
        <w:rPr>
          <w:rFonts w:ascii="Verdana" w:hAnsi="Verdana"/>
          <w:sz w:val="20"/>
          <w:szCs w:val="20"/>
        </w:rPr>
        <w:t>4</w:t>
      </w:r>
      <w:r w:rsidRPr="00587A32">
        <w:rPr>
          <w:rFonts w:ascii="Verdana" w:hAnsi="Verdana"/>
          <w:sz w:val="20"/>
          <w:szCs w:val="20"/>
        </w:rPr>
        <w:t xml:space="preserve"> % de nationalité comorienne, </w:t>
      </w:r>
    </w:p>
    <w:p w14:paraId="6A343561" w14:textId="542712C2" w:rsidR="008A1133" w:rsidRPr="00587A32" w:rsidRDefault="00587A32" w:rsidP="00587A32">
      <w:pPr>
        <w:pStyle w:val="Paragraphedeliste"/>
        <w:numPr>
          <w:ilvl w:val="0"/>
          <w:numId w:val="10"/>
        </w:numPr>
        <w:spacing w:after="0" w:line="240" w:lineRule="auto"/>
        <w:jc w:val="both"/>
        <w:rPr>
          <w:rFonts w:ascii="Verdana" w:hAnsi="Verdana"/>
          <w:sz w:val="20"/>
          <w:szCs w:val="20"/>
        </w:rPr>
      </w:pPr>
      <w:r>
        <w:rPr>
          <w:rFonts w:ascii="Verdana" w:hAnsi="Verdana"/>
          <w:sz w:val="20"/>
          <w:szCs w:val="20"/>
        </w:rPr>
        <w:t xml:space="preserve">4 </w:t>
      </w:r>
      <w:r w:rsidR="008A1133" w:rsidRPr="00587A32">
        <w:rPr>
          <w:rFonts w:ascii="Verdana" w:hAnsi="Verdana"/>
          <w:sz w:val="20"/>
          <w:szCs w:val="20"/>
        </w:rPr>
        <w:t xml:space="preserve">% de nationalité seychelloise. </w:t>
      </w:r>
    </w:p>
    <w:p w14:paraId="6FF0B3E2" w14:textId="77777777" w:rsidR="008A1133" w:rsidRDefault="008A1133" w:rsidP="008A1133">
      <w:pPr>
        <w:spacing w:after="0" w:line="240" w:lineRule="auto"/>
        <w:jc w:val="both"/>
        <w:rPr>
          <w:rFonts w:ascii="Verdana" w:hAnsi="Verdana"/>
          <w:sz w:val="20"/>
          <w:szCs w:val="20"/>
        </w:rPr>
      </w:pPr>
    </w:p>
    <w:p w14:paraId="0031E9A7" w14:textId="32470237" w:rsidR="008A1133" w:rsidRDefault="008A1133" w:rsidP="008A1133">
      <w:pPr>
        <w:spacing w:after="0" w:line="240" w:lineRule="auto"/>
        <w:jc w:val="both"/>
        <w:rPr>
          <w:rFonts w:ascii="Verdana" w:hAnsi="Verdana"/>
          <w:sz w:val="20"/>
          <w:szCs w:val="20"/>
        </w:rPr>
      </w:pPr>
      <w:r w:rsidRPr="00284246">
        <w:rPr>
          <w:rFonts w:ascii="Verdana" w:hAnsi="Verdana"/>
          <w:sz w:val="20"/>
          <w:szCs w:val="20"/>
        </w:rPr>
        <w:t xml:space="preserve">Le pourcentage </w:t>
      </w:r>
      <w:r>
        <w:rPr>
          <w:rFonts w:ascii="Verdana" w:hAnsi="Verdana"/>
          <w:sz w:val="20"/>
          <w:szCs w:val="20"/>
        </w:rPr>
        <w:t>de femmes</w:t>
      </w:r>
      <w:r w:rsidRPr="00284246">
        <w:rPr>
          <w:rFonts w:ascii="Verdana" w:hAnsi="Verdana"/>
          <w:sz w:val="20"/>
          <w:szCs w:val="20"/>
        </w:rPr>
        <w:t xml:space="preserve"> parmi l’effectif </w:t>
      </w:r>
      <w:r>
        <w:rPr>
          <w:rFonts w:ascii="Verdana" w:hAnsi="Verdana"/>
          <w:sz w:val="20"/>
          <w:szCs w:val="20"/>
        </w:rPr>
        <w:t xml:space="preserve">total </w:t>
      </w:r>
      <w:r w:rsidRPr="00284246">
        <w:rPr>
          <w:rFonts w:ascii="Verdana" w:hAnsi="Verdana"/>
          <w:sz w:val="20"/>
          <w:szCs w:val="20"/>
        </w:rPr>
        <w:t>est de 4</w:t>
      </w:r>
      <w:r w:rsidR="001B3A8D">
        <w:rPr>
          <w:rFonts w:ascii="Verdana" w:hAnsi="Verdana"/>
          <w:sz w:val="20"/>
          <w:szCs w:val="20"/>
        </w:rPr>
        <w:t>4</w:t>
      </w:r>
      <w:r w:rsidRPr="00284246">
        <w:rPr>
          <w:rFonts w:ascii="Verdana" w:hAnsi="Verdana"/>
          <w:sz w:val="20"/>
          <w:szCs w:val="20"/>
        </w:rPr>
        <w:t xml:space="preserve"> % (</w:t>
      </w:r>
      <w:r w:rsidRPr="00284246">
        <w:rPr>
          <w:rFonts w:ascii="Verdana" w:hAnsi="Verdana"/>
          <w:b/>
          <w:bCs/>
          <w:sz w:val="20"/>
          <w:szCs w:val="20"/>
        </w:rPr>
        <w:t xml:space="preserve">Cf.  </w:t>
      </w:r>
      <w:bookmarkStart w:id="1" w:name="_Hlk120897431"/>
      <w:r w:rsidRPr="00284246">
        <w:rPr>
          <w:rFonts w:ascii="Verdana" w:hAnsi="Verdana"/>
          <w:b/>
          <w:bCs/>
          <w:sz w:val="20"/>
          <w:szCs w:val="20"/>
        </w:rPr>
        <w:t>Distribution du personnel par catégorie</w:t>
      </w:r>
      <w:bookmarkEnd w:id="1"/>
      <w:r w:rsidRPr="00284246">
        <w:rPr>
          <w:rFonts w:ascii="Verdana" w:hAnsi="Verdana"/>
          <w:b/>
          <w:bCs/>
          <w:sz w:val="20"/>
          <w:szCs w:val="20"/>
        </w:rPr>
        <w:t>-Annexe 2)</w:t>
      </w:r>
      <w:r w:rsidRPr="00284246">
        <w:rPr>
          <w:rFonts w:ascii="Verdana" w:hAnsi="Verdana"/>
          <w:sz w:val="20"/>
          <w:szCs w:val="20"/>
        </w:rPr>
        <w:t xml:space="preserve">   </w:t>
      </w:r>
    </w:p>
    <w:p w14:paraId="7B48C252" w14:textId="77777777" w:rsidR="008A1133" w:rsidRDefault="008A1133" w:rsidP="008A1133">
      <w:pPr>
        <w:spacing w:after="0" w:line="240" w:lineRule="auto"/>
        <w:jc w:val="both"/>
        <w:rPr>
          <w:rFonts w:ascii="Verdana" w:hAnsi="Verdana"/>
          <w:sz w:val="20"/>
          <w:szCs w:val="20"/>
        </w:rPr>
      </w:pPr>
    </w:p>
    <w:p w14:paraId="6BEE7FEE" w14:textId="77777777" w:rsidR="001B3A8D" w:rsidRPr="00284246" w:rsidRDefault="001B3A8D" w:rsidP="008A1133">
      <w:pPr>
        <w:spacing w:after="0" w:line="240" w:lineRule="auto"/>
        <w:jc w:val="both"/>
        <w:rPr>
          <w:rFonts w:ascii="Verdana" w:hAnsi="Verdana"/>
          <w:sz w:val="20"/>
          <w:szCs w:val="20"/>
        </w:rPr>
      </w:pPr>
    </w:p>
    <w:p w14:paraId="68009DDB" w14:textId="716290F9" w:rsidR="0008468B" w:rsidRDefault="00955BB3" w:rsidP="00A70123">
      <w:pPr>
        <w:pStyle w:val="Titrepartie"/>
      </w:pPr>
      <w:r w:rsidRPr="0008468B">
        <w:t>Etat d’avancement</w:t>
      </w:r>
      <w:r w:rsidR="00F71F8D">
        <w:t xml:space="preserve"> : </w:t>
      </w:r>
    </w:p>
    <w:p w14:paraId="2F0EA46C" w14:textId="77777777" w:rsidR="00F71F8D" w:rsidRPr="0008468B" w:rsidRDefault="00F71F8D" w:rsidP="00F71F8D">
      <w:pPr>
        <w:pStyle w:val="Titrepartie"/>
        <w:numPr>
          <w:ilvl w:val="0"/>
          <w:numId w:val="0"/>
        </w:numPr>
        <w:ind w:left="720"/>
      </w:pPr>
    </w:p>
    <w:p w14:paraId="1F40636E" w14:textId="2717A124" w:rsidR="00B571FA" w:rsidRDefault="00B571FA" w:rsidP="00B571FA">
      <w:pPr>
        <w:pStyle w:val="Sous-partie2"/>
      </w:pPr>
      <w:r>
        <w:t>Prise de fonction d</w:t>
      </w:r>
      <w:r w:rsidR="00623E75">
        <w:t xml:space="preserve">u </w:t>
      </w:r>
      <w:r w:rsidR="00946CCD">
        <w:t xml:space="preserve">nouveau </w:t>
      </w:r>
      <w:r w:rsidR="00F51750">
        <w:t xml:space="preserve">Secrétaire </w:t>
      </w:r>
      <w:r w:rsidR="00623E75">
        <w:t xml:space="preserve">général </w:t>
      </w:r>
    </w:p>
    <w:p w14:paraId="0D703B70" w14:textId="06DC6869" w:rsidR="00676D6F" w:rsidRDefault="00676D6F" w:rsidP="00676D6F">
      <w:pPr>
        <w:pStyle w:val="Paragraphe"/>
      </w:pPr>
      <w:r>
        <w:t>À la suite de</w:t>
      </w:r>
      <w:r w:rsidR="009845C1">
        <w:t xml:space="preserve"> sa nomination </w:t>
      </w:r>
      <w:r>
        <w:t>par le C</w:t>
      </w:r>
      <w:r w:rsidR="009845C1">
        <w:t xml:space="preserve">onseil extraordinaire du 15 juillet 2024, </w:t>
      </w:r>
      <w:r w:rsidR="00F51750">
        <w:t xml:space="preserve">le </w:t>
      </w:r>
      <w:r w:rsidR="00A81BFE">
        <w:t>nouveau</w:t>
      </w:r>
      <w:r w:rsidR="00623E75">
        <w:t xml:space="preserve"> </w:t>
      </w:r>
      <w:r w:rsidR="00F51750">
        <w:t xml:space="preserve">Secrétaire </w:t>
      </w:r>
      <w:r w:rsidR="00623E75">
        <w:t>général M.</w:t>
      </w:r>
      <w:r w:rsidR="00A2450B" w:rsidRPr="00A2450B">
        <w:t xml:space="preserve"> Edgard RAZAFINDRAVAHY </w:t>
      </w:r>
      <w:r w:rsidR="00F20BBD">
        <w:t>a pris ses fonctions le 2 septembre 2024.</w:t>
      </w:r>
      <w:r w:rsidRPr="00676D6F">
        <w:t xml:space="preserve"> </w:t>
      </w:r>
      <w:r>
        <w:t>La cérémonie d’investiture a été organisée le lundi 30 septembre 2024 à Flic en Flac, Maurice.</w:t>
      </w:r>
      <w:r w:rsidR="00055ACC">
        <w:t xml:space="preserve"> </w:t>
      </w:r>
    </w:p>
    <w:p w14:paraId="740624E9" w14:textId="77777777" w:rsidR="00623E75" w:rsidRDefault="00623E75" w:rsidP="00623E75">
      <w:pPr>
        <w:pStyle w:val="Sous-partie2"/>
        <w:numPr>
          <w:ilvl w:val="0"/>
          <w:numId w:val="0"/>
        </w:numPr>
        <w:ind w:left="1080"/>
      </w:pPr>
    </w:p>
    <w:p w14:paraId="48AB0783" w14:textId="56C5F33A" w:rsidR="00426673" w:rsidRPr="00426673" w:rsidRDefault="00B571FA" w:rsidP="00236E50">
      <w:pPr>
        <w:pStyle w:val="Sous-partie2"/>
      </w:pPr>
      <w:r>
        <w:t xml:space="preserve">Renforcement de la COI en ressources </w:t>
      </w:r>
      <w:r w:rsidR="005B3353">
        <w:t>humaines -</w:t>
      </w:r>
      <w:r w:rsidR="00236E50">
        <w:t xml:space="preserve"> </w:t>
      </w:r>
      <w:r w:rsidR="00F71F8D">
        <w:t xml:space="preserve">Recrutement des 12 postes approuvés </w:t>
      </w:r>
      <w:r w:rsidR="00155011">
        <w:t>le 12 avril 2024 par procédure écrite</w:t>
      </w:r>
    </w:p>
    <w:p w14:paraId="0BEBBB31" w14:textId="7850492C" w:rsidR="002C56ED" w:rsidRDefault="003D7611" w:rsidP="002C56ED">
      <w:pPr>
        <w:pStyle w:val="Paragraphe"/>
      </w:pPr>
      <w:r w:rsidRPr="003D7611">
        <w:rPr>
          <w:noProof/>
        </w:rPr>
        <w:drawing>
          <wp:anchor distT="0" distB="0" distL="114300" distR="114300" simplePos="0" relativeHeight="251659264" behindDoc="1" locked="0" layoutInCell="1" allowOverlap="1" wp14:anchorId="6010EF50" wp14:editId="11CA9E35">
            <wp:simplePos x="0" y="0"/>
            <wp:positionH relativeFrom="margin">
              <wp:posOffset>-575945</wp:posOffset>
            </wp:positionH>
            <wp:positionV relativeFrom="paragraph">
              <wp:posOffset>590550</wp:posOffset>
            </wp:positionV>
            <wp:extent cx="6959600" cy="2705100"/>
            <wp:effectExtent l="0" t="0" r="0" b="0"/>
            <wp:wrapTight wrapText="bothSides">
              <wp:wrapPolygon edited="0">
                <wp:start x="0" y="0"/>
                <wp:lineTo x="0" y="21448"/>
                <wp:lineTo x="21521" y="21448"/>
                <wp:lineTo x="21521" y="19470"/>
                <wp:lineTo x="18033" y="19470"/>
                <wp:lineTo x="21521" y="18558"/>
                <wp:lineTo x="21521" y="12777"/>
                <wp:lineTo x="18506" y="12169"/>
                <wp:lineTo x="21521" y="11865"/>
                <wp:lineTo x="21521" y="10344"/>
                <wp:lineTo x="18506" y="9735"/>
                <wp:lineTo x="21521" y="9431"/>
                <wp:lineTo x="21521" y="8062"/>
                <wp:lineTo x="20989" y="7301"/>
                <wp:lineTo x="21462" y="7301"/>
                <wp:lineTo x="21521" y="6997"/>
                <wp:lineTo x="21521" y="0"/>
                <wp:lineTo x="0" y="0"/>
              </wp:wrapPolygon>
            </wp:wrapTight>
            <wp:docPr id="17663369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600"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1F87">
        <w:t xml:space="preserve">Les recrutements des nouveaux postes </w:t>
      </w:r>
      <w:r w:rsidR="00BD2DEA">
        <w:t xml:space="preserve">progressent </w:t>
      </w:r>
      <w:r w:rsidR="00761F87">
        <w:t xml:space="preserve">bien, la troisième vague </w:t>
      </w:r>
      <w:r w:rsidR="00023F49">
        <w:t>est en cours</w:t>
      </w:r>
      <w:r w:rsidR="00E324EC">
        <w:t xml:space="preserve"> avec </w:t>
      </w:r>
      <w:r w:rsidR="00023F49">
        <w:t>pour objectif de finaliser</w:t>
      </w:r>
      <w:r w:rsidR="001D6D52">
        <w:t xml:space="preserve"> tous les recrutements </w:t>
      </w:r>
      <w:r w:rsidR="00B13158">
        <w:t>d’ici la fin 2024</w:t>
      </w:r>
      <w:r w:rsidR="00023F49">
        <w:t>, en vue d’</w:t>
      </w:r>
      <w:r w:rsidR="00B13158">
        <w:t xml:space="preserve">une prise de poste </w:t>
      </w:r>
      <w:r w:rsidR="00023F49">
        <w:t xml:space="preserve">des derniers candidats </w:t>
      </w:r>
      <w:r w:rsidR="00763270">
        <w:t>début</w:t>
      </w:r>
      <w:r w:rsidR="00023F49">
        <w:t xml:space="preserve"> </w:t>
      </w:r>
      <w:r w:rsidR="00B13158">
        <w:t>2025.</w:t>
      </w:r>
    </w:p>
    <w:p w14:paraId="413678F0" w14:textId="04EF05A5" w:rsidR="00B2572E" w:rsidRDefault="00F51750" w:rsidP="00B2572E">
      <w:pPr>
        <w:pStyle w:val="Paragraphe"/>
        <w:rPr>
          <w:shd w:val="clear" w:color="auto" w:fill="FFFFFF"/>
        </w:rPr>
      </w:pPr>
      <w:r>
        <w:rPr>
          <w:shd w:val="clear" w:color="auto" w:fill="FFFFFF"/>
        </w:rPr>
        <w:t xml:space="preserve">Par </w:t>
      </w:r>
      <w:r w:rsidR="00B2572E">
        <w:rPr>
          <w:shd w:val="clear" w:color="auto" w:fill="FFFFFF"/>
        </w:rPr>
        <w:t>ordre chronologique :</w:t>
      </w:r>
    </w:p>
    <w:p w14:paraId="1F342213" w14:textId="60B83C51" w:rsidR="00E324EC" w:rsidRDefault="00F33FDB" w:rsidP="00F33FDB">
      <w:pPr>
        <w:pStyle w:val="Paragraphe"/>
        <w:numPr>
          <w:ilvl w:val="0"/>
          <w:numId w:val="10"/>
        </w:numPr>
        <w:rPr>
          <w:shd w:val="clear" w:color="auto" w:fill="FFFFFF"/>
        </w:rPr>
      </w:pPr>
      <w:r w:rsidRPr="0073304B">
        <w:rPr>
          <w:shd w:val="clear" w:color="auto" w:fill="FFFFFF"/>
        </w:rPr>
        <w:t>M</w:t>
      </w:r>
      <w:r w:rsidR="0073304B" w:rsidRPr="0073304B">
        <w:rPr>
          <w:shd w:val="clear" w:color="auto" w:fill="FFFFFF"/>
        </w:rPr>
        <w:t>. EL-ANZIZE Ali Boana Hidi a donc pr</w:t>
      </w:r>
      <w:r w:rsidR="0073304B">
        <w:rPr>
          <w:shd w:val="clear" w:color="auto" w:fill="FFFFFF"/>
        </w:rPr>
        <w:t>is son poste</w:t>
      </w:r>
      <w:r w:rsidR="003202A9">
        <w:rPr>
          <w:shd w:val="clear" w:color="auto" w:fill="FFFFFF"/>
        </w:rPr>
        <w:t xml:space="preserve"> en tant </w:t>
      </w:r>
      <w:r w:rsidR="00B2572E">
        <w:rPr>
          <w:shd w:val="clear" w:color="auto" w:fill="FFFFFF"/>
        </w:rPr>
        <w:t>que</w:t>
      </w:r>
      <w:r w:rsidR="003202A9">
        <w:rPr>
          <w:shd w:val="clear" w:color="auto" w:fill="FFFFFF"/>
        </w:rPr>
        <w:t xml:space="preserve"> Spécialiste en Passation de Marchés</w:t>
      </w:r>
      <w:r w:rsidR="0073304B">
        <w:rPr>
          <w:shd w:val="clear" w:color="auto" w:fill="FFFFFF"/>
        </w:rPr>
        <w:t xml:space="preserve"> le </w:t>
      </w:r>
      <w:r w:rsidR="00B865DB">
        <w:rPr>
          <w:shd w:val="clear" w:color="auto" w:fill="FFFFFF"/>
        </w:rPr>
        <w:t xml:space="preserve">30 </w:t>
      </w:r>
      <w:r w:rsidR="00F51750">
        <w:rPr>
          <w:shd w:val="clear" w:color="auto" w:fill="FFFFFF"/>
        </w:rPr>
        <w:t xml:space="preserve">août </w:t>
      </w:r>
      <w:r w:rsidR="00B865DB">
        <w:rPr>
          <w:shd w:val="clear" w:color="auto" w:fill="FFFFFF"/>
        </w:rPr>
        <w:t>2024</w:t>
      </w:r>
      <w:r w:rsidR="00F51750">
        <w:rPr>
          <w:shd w:val="clear" w:color="auto" w:fill="FFFFFF"/>
        </w:rPr>
        <w:t> ;</w:t>
      </w:r>
      <w:r w:rsidR="00B865DB">
        <w:rPr>
          <w:shd w:val="clear" w:color="auto" w:fill="FFFFFF"/>
        </w:rPr>
        <w:t xml:space="preserve"> </w:t>
      </w:r>
    </w:p>
    <w:p w14:paraId="1177CE57" w14:textId="16EEE42B" w:rsidR="0073304B" w:rsidRDefault="0073304B" w:rsidP="00F33FDB">
      <w:pPr>
        <w:pStyle w:val="Paragraphe"/>
        <w:numPr>
          <w:ilvl w:val="0"/>
          <w:numId w:val="10"/>
        </w:numPr>
        <w:rPr>
          <w:shd w:val="clear" w:color="auto" w:fill="FFFFFF"/>
        </w:rPr>
      </w:pPr>
      <w:r>
        <w:rPr>
          <w:shd w:val="clear" w:color="auto" w:fill="FFFFFF"/>
        </w:rPr>
        <w:t xml:space="preserve">Mme </w:t>
      </w:r>
      <w:r w:rsidR="00AF4AE2" w:rsidRPr="00AF4AE2">
        <w:rPr>
          <w:shd w:val="clear" w:color="auto" w:fill="FFFFFF"/>
        </w:rPr>
        <w:t>APPASAMY-KISTNASAMY Kaleivani</w:t>
      </w:r>
      <w:r w:rsidR="00B865DB">
        <w:rPr>
          <w:shd w:val="clear" w:color="auto" w:fill="FFFFFF"/>
        </w:rPr>
        <w:t xml:space="preserve"> a pris son </w:t>
      </w:r>
      <w:r w:rsidR="00B2572E">
        <w:rPr>
          <w:shd w:val="clear" w:color="auto" w:fill="FFFFFF"/>
        </w:rPr>
        <w:t>poste</w:t>
      </w:r>
      <w:r w:rsidR="00AD4CCE">
        <w:rPr>
          <w:shd w:val="clear" w:color="auto" w:fill="FFFFFF"/>
        </w:rPr>
        <w:t xml:space="preserve"> en tant qu’Assistante en Ressources Humaines le 02 </w:t>
      </w:r>
      <w:r w:rsidR="00F51750">
        <w:rPr>
          <w:shd w:val="clear" w:color="auto" w:fill="FFFFFF"/>
        </w:rPr>
        <w:t xml:space="preserve">août </w:t>
      </w:r>
      <w:r w:rsidR="00333481">
        <w:rPr>
          <w:shd w:val="clear" w:color="auto" w:fill="FFFFFF"/>
        </w:rPr>
        <w:t>2024</w:t>
      </w:r>
      <w:r w:rsidR="00F51750">
        <w:rPr>
          <w:shd w:val="clear" w:color="auto" w:fill="FFFFFF"/>
        </w:rPr>
        <w:t> ;</w:t>
      </w:r>
    </w:p>
    <w:p w14:paraId="03A5BE53" w14:textId="26755885" w:rsidR="00AF4AE2" w:rsidRPr="00333481" w:rsidRDefault="00F51750" w:rsidP="00F33FDB">
      <w:pPr>
        <w:pStyle w:val="Paragraphe"/>
        <w:numPr>
          <w:ilvl w:val="0"/>
          <w:numId w:val="10"/>
        </w:numPr>
        <w:rPr>
          <w:shd w:val="clear" w:color="auto" w:fill="FFFFFF"/>
        </w:rPr>
      </w:pPr>
      <w:r>
        <w:rPr>
          <w:shd w:val="clear" w:color="auto" w:fill="FFFFFF"/>
        </w:rPr>
        <w:t xml:space="preserve">M. </w:t>
      </w:r>
      <w:r w:rsidR="00AF4AE2" w:rsidRPr="00333481">
        <w:rPr>
          <w:shd w:val="clear" w:color="auto" w:fill="FFFFFF"/>
        </w:rPr>
        <w:t xml:space="preserve">SAHABUN Muhammad Ziyaad Islam </w:t>
      </w:r>
      <w:r w:rsidR="00333481" w:rsidRPr="00333481">
        <w:rPr>
          <w:shd w:val="clear" w:color="auto" w:fill="FFFFFF"/>
        </w:rPr>
        <w:t>a pr</w:t>
      </w:r>
      <w:r w:rsidR="00333481">
        <w:rPr>
          <w:shd w:val="clear" w:color="auto" w:fill="FFFFFF"/>
        </w:rPr>
        <w:t xml:space="preserve">is son poste en tant que </w:t>
      </w:r>
      <w:r w:rsidR="00B2572E">
        <w:rPr>
          <w:shd w:val="clear" w:color="auto" w:fill="FFFFFF"/>
        </w:rPr>
        <w:t>spécialiste</w:t>
      </w:r>
      <w:r w:rsidR="00333481">
        <w:rPr>
          <w:shd w:val="clear" w:color="auto" w:fill="FFFFFF"/>
        </w:rPr>
        <w:t xml:space="preserve"> en gestion des risques et conformité le 09 septembre 2024</w:t>
      </w:r>
      <w:r>
        <w:rPr>
          <w:shd w:val="clear" w:color="auto" w:fill="FFFFFF"/>
        </w:rPr>
        <w:t> ;</w:t>
      </w:r>
    </w:p>
    <w:p w14:paraId="1BE8ED42" w14:textId="077DCD48" w:rsidR="00AF4AE2" w:rsidRPr="00333481" w:rsidRDefault="00F51750" w:rsidP="00F33FDB">
      <w:pPr>
        <w:pStyle w:val="Paragraphe"/>
        <w:numPr>
          <w:ilvl w:val="0"/>
          <w:numId w:val="10"/>
        </w:numPr>
        <w:rPr>
          <w:shd w:val="clear" w:color="auto" w:fill="FFFFFF"/>
        </w:rPr>
      </w:pPr>
      <w:r>
        <w:rPr>
          <w:shd w:val="clear" w:color="auto" w:fill="FFFFFF"/>
        </w:rPr>
        <w:t xml:space="preserve">Mme </w:t>
      </w:r>
      <w:r w:rsidR="00AF4AE2" w:rsidRPr="00333481">
        <w:rPr>
          <w:shd w:val="clear" w:color="auto" w:fill="FFFFFF"/>
        </w:rPr>
        <w:t>RANDIMBIARIMANANA Sandaniaina Louisa</w:t>
      </w:r>
      <w:r w:rsidR="00333481" w:rsidRPr="00333481">
        <w:rPr>
          <w:shd w:val="clear" w:color="auto" w:fill="FFFFFF"/>
        </w:rPr>
        <w:t xml:space="preserve"> a pris son </w:t>
      </w:r>
      <w:r>
        <w:rPr>
          <w:shd w:val="clear" w:color="auto" w:fill="FFFFFF"/>
        </w:rPr>
        <w:t xml:space="preserve">poste </w:t>
      </w:r>
      <w:r w:rsidR="00333481" w:rsidRPr="00333481">
        <w:rPr>
          <w:shd w:val="clear" w:color="auto" w:fill="FFFFFF"/>
        </w:rPr>
        <w:t>en tant que responsable de la gestion administrative et</w:t>
      </w:r>
      <w:r w:rsidR="00333481">
        <w:rPr>
          <w:shd w:val="clear" w:color="auto" w:fill="FFFFFF"/>
        </w:rPr>
        <w:t xml:space="preserve"> logistique le 28 septembre 2024</w:t>
      </w:r>
      <w:r>
        <w:rPr>
          <w:shd w:val="clear" w:color="auto" w:fill="FFFFFF"/>
        </w:rPr>
        <w:t> ;</w:t>
      </w:r>
    </w:p>
    <w:p w14:paraId="46367C4D" w14:textId="7181159C" w:rsidR="00AF4AE2" w:rsidRDefault="00F51750" w:rsidP="00F33FDB">
      <w:pPr>
        <w:pStyle w:val="Paragraphe"/>
        <w:numPr>
          <w:ilvl w:val="0"/>
          <w:numId w:val="10"/>
        </w:numPr>
        <w:rPr>
          <w:shd w:val="clear" w:color="auto" w:fill="FFFFFF"/>
        </w:rPr>
      </w:pPr>
      <w:r>
        <w:rPr>
          <w:shd w:val="clear" w:color="auto" w:fill="FFFFFF"/>
        </w:rPr>
        <w:t xml:space="preserve">Mme </w:t>
      </w:r>
      <w:r w:rsidR="003202A9" w:rsidRPr="003202A9">
        <w:rPr>
          <w:shd w:val="clear" w:color="auto" w:fill="FFFFFF"/>
        </w:rPr>
        <w:t>ANDRIAMAHEFAZAFY Aina Liselle</w:t>
      </w:r>
      <w:r w:rsidR="00333481">
        <w:rPr>
          <w:shd w:val="clear" w:color="auto" w:fill="FFFFFF"/>
        </w:rPr>
        <w:t xml:space="preserve"> a pris son poste en tant S</w:t>
      </w:r>
      <w:r w:rsidR="00B2572E">
        <w:rPr>
          <w:shd w:val="clear" w:color="auto" w:fill="FFFFFF"/>
        </w:rPr>
        <w:t>pécialiste en planification, suivi, évaluation et rapports le 28 septembre 2024</w:t>
      </w:r>
      <w:r w:rsidR="00236E50">
        <w:rPr>
          <w:shd w:val="clear" w:color="auto" w:fill="FFFFFF"/>
        </w:rPr>
        <w:t>.</w:t>
      </w:r>
    </w:p>
    <w:p w14:paraId="1B4687B8" w14:textId="117F8FDE" w:rsidR="00EC36F7" w:rsidRDefault="00EC36F7" w:rsidP="00E831DE">
      <w:pPr>
        <w:pStyle w:val="Paragraphe"/>
        <w:rPr>
          <w:shd w:val="clear" w:color="auto" w:fill="FFFFFF"/>
        </w:rPr>
      </w:pPr>
      <w:r>
        <w:rPr>
          <w:shd w:val="clear" w:color="auto" w:fill="FFFFFF"/>
        </w:rPr>
        <w:t>Autres recrutements :</w:t>
      </w:r>
    </w:p>
    <w:p w14:paraId="2E1600A6" w14:textId="349E2B61" w:rsidR="00E831DE" w:rsidRDefault="00E831DE" w:rsidP="003F6645">
      <w:pPr>
        <w:pStyle w:val="Paragraphe"/>
        <w:numPr>
          <w:ilvl w:val="0"/>
          <w:numId w:val="10"/>
        </w:numPr>
        <w:rPr>
          <w:shd w:val="clear" w:color="auto" w:fill="FFFFFF"/>
        </w:rPr>
      </w:pPr>
      <w:r>
        <w:rPr>
          <w:shd w:val="clear" w:color="auto" w:fill="FFFFFF"/>
        </w:rPr>
        <w:t xml:space="preserve">Mme </w:t>
      </w:r>
      <w:r w:rsidR="00E344E0" w:rsidRPr="00E344E0">
        <w:rPr>
          <w:shd w:val="clear" w:color="auto" w:fill="FFFFFF"/>
        </w:rPr>
        <w:t xml:space="preserve">Stella Nancy RATEFISAONINA </w:t>
      </w:r>
      <w:r w:rsidR="00EC36F7">
        <w:rPr>
          <w:shd w:val="clear" w:color="auto" w:fill="FFFFFF"/>
        </w:rPr>
        <w:t>a pris son poste</w:t>
      </w:r>
      <w:r w:rsidR="00E344E0">
        <w:rPr>
          <w:shd w:val="clear" w:color="auto" w:fill="FFFFFF"/>
        </w:rPr>
        <w:t xml:space="preserve"> le </w:t>
      </w:r>
      <w:r w:rsidR="00FC30F8">
        <w:rPr>
          <w:shd w:val="clear" w:color="auto" w:fill="FFFFFF"/>
        </w:rPr>
        <w:t>9 septembre 2024 en tant que Spécialiste en Passation de Marchés</w:t>
      </w:r>
      <w:r w:rsidR="00F26658">
        <w:rPr>
          <w:shd w:val="clear" w:color="auto" w:fill="FFFFFF"/>
        </w:rPr>
        <w:t xml:space="preserve">, poste vacant suite à la sélection de </w:t>
      </w:r>
      <w:r w:rsidR="00EC36F7">
        <w:rPr>
          <w:shd w:val="clear" w:color="auto" w:fill="FFFFFF"/>
        </w:rPr>
        <w:t xml:space="preserve">M. </w:t>
      </w:r>
      <w:r w:rsidR="007210EC" w:rsidRPr="007210EC">
        <w:rPr>
          <w:shd w:val="clear" w:color="auto" w:fill="FFFFFF"/>
        </w:rPr>
        <w:t>Pascal Rakoto RAMANANTSALAMA</w:t>
      </w:r>
      <w:r w:rsidR="007210EC">
        <w:rPr>
          <w:shd w:val="clear" w:color="auto" w:fill="FFFFFF"/>
        </w:rPr>
        <w:t xml:space="preserve"> </w:t>
      </w:r>
      <w:r w:rsidR="005B3353">
        <w:rPr>
          <w:shd w:val="clear" w:color="auto" w:fill="FFFFFF"/>
        </w:rPr>
        <w:t>sur le projet SWIOFISH 5.</w:t>
      </w:r>
    </w:p>
    <w:p w14:paraId="25DB4163" w14:textId="77777777" w:rsidR="00676D6F" w:rsidRPr="007210EC" w:rsidRDefault="00676D6F" w:rsidP="00E831DE">
      <w:pPr>
        <w:pStyle w:val="Paragraphe"/>
        <w:rPr>
          <w:shd w:val="clear" w:color="auto" w:fill="FFFFFF"/>
        </w:rPr>
      </w:pPr>
    </w:p>
    <w:p w14:paraId="54854EB5" w14:textId="4AAFC25A" w:rsidR="002C56ED" w:rsidRPr="00A76B07" w:rsidRDefault="00763270" w:rsidP="00A76B07">
      <w:pPr>
        <w:pStyle w:val="Sous-partie2"/>
      </w:pPr>
      <w:r>
        <w:t xml:space="preserve">Révision des statuts du personnel </w:t>
      </w:r>
    </w:p>
    <w:p w14:paraId="7DEC371B" w14:textId="77777777" w:rsidR="00EC36F7" w:rsidRDefault="007B1C8A" w:rsidP="007B1C8A">
      <w:pPr>
        <w:pStyle w:val="Paragraphe"/>
      </w:pPr>
      <w:r>
        <w:t xml:space="preserve">Approuvé par le 28e Conseil des ministres de la COI en janvier 2013, le statut du personnel est venu combler un vide dans la gestion d’une organisation en croissance. </w:t>
      </w:r>
    </w:p>
    <w:p w14:paraId="23D01FDE" w14:textId="77777777" w:rsidR="00EC36F7" w:rsidRDefault="007B1C8A" w:rsidP="007B1C8A">
      <w:pPr>
        <w:pStyle w:val="Paragraphe"/>
      </w:pPr>
      <w:r>
        <w:t xml:space="preserve">Depuis son entrée en vigueur, il a joué un rôle prépondérant de repère au service d’une gestion transparente des diverses questions reliées aux besoins </w:t>
      </w:r>
      <w:r w:rsidR="00EC36F7">
        <w:t xml:space="preserve">en ressources humaines </w:t>
      </w:r>
      <w:r>
        <w:t xml:space="preserve">de la COI et au travail de ses agents, notamment pour les conditions de travail, la couverture sociale, les processus de recrutement, le classement des postes. </w:t>
      </w:r>
    </w:p>
    <w:p w14:paraId="633D1BB7" w14:textId="60587F14" w:rsidR="007B1C8A" w:rsidRDefault="007B1C8A" w:rsidP="007B1C8A">
      <w:pPr>
        <w:pStyle w:val="Paragraphe"/>
      </w:pPr>
      <w:r>
        <w:lastRenderedPageBreak/>
        <w:t xml:space="preserve">Toutefois, il avait été agréé que ce document serait régulièrement revu pour continuer de répondre aux besoins évolutifs de </w:t>
      </w:r>
      <w:r w:rsidR="00EC36F7">
        <w:t xml:space="preserve">l’Organisation </w:t>
      </w:r>
      <w:r>
        <w:t xml:space="preserve">et de ses agents. Certaines modifications ont </w:t>
      </w:r>
      <w:r w:rsidR="00EC36F7">
        <w:t xml:space="preserve">ainsi </w:t>
      </w:r>
      <w:r>
        <w:t xml:space="preserve">été apportées lors du 29e Conseil en avril 2014 et au 30e Conseil en mai 2015. </w:t>
      </w:r>
      <w:r w:rsidR="00EC36F7">
        <w:t>Néanmoins</w:t>
      </w:r>
      <w:r>
        <w:t xml:space="preserve">, la proposition de révision du statut du personnel dans sa globalité, prévue pour le 31e Conseil de février 2016 ne s’est pas faite faute d’un préavis suffisant lors de la soumission des documents et d’un manque de temps lors du Comité des OPL. La démarche du SG-COI de proposer aux Etats membres une procédure écrite en juin 2016 ne fut pas non plus concluante. Les textes proposés furent de nouveau soumis à l’attention du 32e Conseil en mars 2017. Il fut décidé lors de ce Conseil d’évaluer l’impact </w:t>
      </w:r>
      <w:r w:rsidR="00EC36F7">
        <w:t xml:space="preserve">budgétaire </w:t>
      </w:r>
      <w:r>
        <w:t xml:space="preserve">des modifications proposées. </w:t>
      </w:r>
    </w:p>
    <w:p w14:paraId="54A8188C" w14:textId="77777777" w:rsidR="00EC36F7" w:rsidRDefault="007B1C8A" w:rsidP="007B1C8A">
      <w:pPr>
        <w:pStyle w:val="Paragraphe"/>
      </w:pPr>
      <w:r>
        <w:t xml:space="preserve">La pandémie de COVID-19 au début de 2020 a conduit à un report des discussions sur la révision des textes et des conditions d’emploi (salaires et bénéfices). </w:t>
      </w:r>
    </w:p>
    <w:p w14:paraId="3A5D250E" w14:textId="3E0FFC55" w:rsidR="007B1C8A" w:rsidRDefault="007B1C8A" w:rsidP="007B1C8A">
      <w:pPr>
        <w:pStyle w:val="Paragraphe"/>
      </w:pPr>
      <w:r>
        <w:t xml:space="preserve">En outre, il convient de tenir compte des avancées sur le plan de la modernisation </w:t>
      </w:r>
      <w:r w:rsidR="00EC36F7">
        <w:t xml:space="preserve">organisationnelle </w:t>
      </w:r>
      <w:r>
        <w:t>de la COI.</w:t>
      </w:r>
    </w:p>
    <w:p w14:paraId="5998B14B" w14:textId="77777777" w:rsidR="007B1C8A" w:rsidRPr="001E6C82" w:rsidRDefault="007B1C8A" w:rsidP="007B1C8A">
      <w:pPr>
        <w:pStyle w:val="Paragraphe"/>
      </w:pPr>
      <w:r w:rsidRPr="001E6C82">
        <w:t>Le 36e Conseil des ministres du 23 février 2022 « </w:t>
      </w:r>
      <w:r w:rsidRPr="003F6645">
        <w:rPr>
          <w:i/>
          <w:iCs/>
        </w:rPr>
        <w:t>donne mandat au secrétariat général à poursuivre l’exercice de refonte du statut du personnel en cours en vue d’une soumission aux prochaines instances, pour approbation, d’un statut révisé intégrant un règlement du personnel, un manuel de procédures RH et une politique salariale</w:t>
      </w:r>
      <w:r w:rsidRPr="001E6C82">
        <w:t xml:space="preserve"> » </w:t>
      </w:r>
    </w:p>
    <w:p w14:paraId="7306B43A" w14:textId="2A152A58" w:rsidR="007B1C8A" w:rsidRDefault="003376D1" w:rsidP="002C56ED">
      <w:pPr>
        <w:pStyle w:val="Paragraphe"/>
      </w:pPr>
      <w:r>
        <w:t>L</w:t>
      </w:r>
      <w:r w:rsidR="0018498A">
        <w:t xml:space="preserve">a décision </w:t>
      </w:r>
      <w:r w:rsidR="00DA2EE0">
        <w:t>18</w:t>
      </w:r>
      <w:r>
        <w:t xml:space="preserve"> du</w:t>
      </w:r>
      <w:r w:rsidR="00F37BB2">
        <w:t xml:space="preserve"> </w:t>
      </w:r>
      <w:r w:rsidR="00DE5263">
        <w:t>comité des OPL</w:t>
      </w:r>
      <w:r w:rsidR="00F37BB2">
        <w:t xml:space="preserve"> d</w:t>
      </w:r>
      <w:r>
        <w:t xml:space="preserve">’avril-mai </w:t>
      </w:r>
      <w:r w:rsidR="00F37BB2">
        <w:t xml:space="preserve"> </w:t>
      </w:r>
      <w:r w:rsidR="00A948D4">
        <w:t>2024 a</w:t>
      </w:r>
      <w:r>
        <w:t>,</w:t>
      </w:r>
      <w:r w:rsidR="00A948D4">
        <w:t xml:space="preserve"> de nouveau</w:t>
      </w:r>
      <w:r>
        <w:t>,</w:t>
      </w:r>
      <w:r w:rsidR="00A948D4">
        <w:t xml:space="preserve"> encouragé le </w:t>
      </w:r>
      <w:r w:rsidR="00676D6F">
        <w:t>S</w:t>
      </w:r>
      <w:r w:rsidR="00AC3CC8">
        <w:t>ecrétariat général à pou</w:t>
      </w:r>
      <w:r w:rsidR="00A71AA1">
        <w:t>rsuivre la révision des statuts du personnel pour une soumission d’un texte révisé aux prochaines instances.</w:t>
      </w:r>
      <w:r w:rsidR="00DE5263">
        <w:t xml:space="preserve"> </w:t>
      </w:r>
    </w:p>
    <w:p w14:paraId="75BF3D47" w14:textId="14573AD0" w:rsidR="00FA07F3" w:rsidRDefault="00F92844" w:rsidP="002C56ED">
      <w:pPr>
        <w:pStyle w:val="Paragraphe"/>
      </w:pPr>
      <w:r>
        <w:t xml:space="preserve">La proposition de nouveau statut du </w:t>
      </w:r>
      <w:r w:rsidRPr="00D2497D">
        <w:t>personnel</w:t>
      </w:r>
      <w:r w:rsidR="00D2497D" w:rsidRPr="00D2497D">
        <w:rPr>
          <w:b/>
          <w:bCs/>
        </w:rPr>
        <w:t xml:space="preserve"> en </w:t>
      </w:r>
      <w:r w:rsidR="00FA07F3" w:rsidRPr="00D2497D">
        <w:rPr>
          <w:b/>
          <w:bCs/>
        </w:rPr>
        <w:t xml:space="preserve">Annexe </w:t>
      </w:r>
      <w:r w:rsidR="00E61F54" w:rsidRPr="00D2497D">
        <w:rPr>
          <w:b/>
          <w:bCs/>
        </w:rPr>
        <w:t>3</w:t>
      </w:r>
      <w:r w:rsidR="00D2497D" w:rsidRPr="00D2497D">
        <w:rPr>
          <w:b/>
          <w:bCs/>
        </w:rPr>
        <w:t xml:space="preserve"> </w:t>
      </w:r>
      <w:r w:rsidRPr="00D2497D">
        <w:t>a été finalisé</w:t>
      </w:r>
      <w:r w:rsidR="00D77712" w:rsidRPr="00D2497D">
        <w:t>e</w:t>
      </w:r>
      <w:r>
        <w:t xml:space="preserve"> par le </w:t>
      </w:r>
      <w:r w:rsidR="00F34A73">
        <w:t>S</w:t>
      </w:r>
      <w:r>
        <w:t>ecré</w:t>
      </w:r>
      <w:r w:rsidR="00DD43DD">
        <w:t>tariat général à travers un processus participatif</w:t>
      </w:r>
      <w:r w:rsidR="00F34A73">
        <w:t>, favorisant l’inclusion et la transparence.</w:t>
      </w:r>
      <w:r w:rsidR="00DD43DD">
        <w:t xml:space="preserve"> </w:t>
      </w:r>
      <w:r w:rsidR="00F34A73">
        <w:t>A cette fin</w:t>
      </w:r>
      <w:r w:rsidR="00360B33">
        <w:t>, u</w:t>
      </w:r>
      <w:r w:rsidR="00DD43DD">
        <w:t xml:space="preserve">n dossier électronique partagé </w:t>
      </w:r>
      <w:r w:rsidR="00360B33">
        <w:t xml:space="preserve">entre le service des Ressources Humaines, le comité du personnel et le comité de direction a été </w:t>
      </w:r>
      <w:r w:rsidR="00CF4ED9">
        <w:t>mis en place</w:t>
      </w:r>
      <w:r w:rsidR="00360B33">
        <w:t>. Ce dossier</w:t>
      </w:r>
      <w:r w:rsidR="00DD43DD">
        <w:t xml:space="preserve"> </w:t>
      </w:r>
      <w:r w:rsidR="00E77CDC">
        <w:t>contient</w:t>
      </w:r>
      <w:r w:rsidR="00DD43DD">
        <w:t xml:space="preserve"> les </w:t>
      </w:r>
      <w:r w:rsidR="00360B33">
        <w:t xml:space="preserve">propositions </w:t>
      </w:r>
      <w:r w:rsidR="00E77CDC">
        <w:t>de</w:t>
      </w:r>
      <w:r w:rsidR="00030009">
        <w:t xml:space="preserve"> </w:t>
      </w:r>
      <w:r w:rsidR="00ED30E8">
        <w:t>statut du</w:t>
      </w:r>
      <w:r w:rsidR="00DD43DD">
        <w:t xml:space="preserve"> personnel </w:t>
      </w:r>
      <w:r w:rsidR="00E77CDC">
        <w:t>ainsi que les</w:t>
      </w:r>
      <w:r w:rsidR="00DD43DD">
        <w:t xml:space="preserve"> directives</w:t>
      </w:r>
      <w:r w:rsidR="00030009">
        <w:t xml:space="preserve"> d’application</w:t>
      </w:r>
      <w:r w:rsidR="00E77CDC">
        <w:t xml:space="preserve"> correspondantes</w:t>
      </w:r>
      <w:r w:rsidR="00030009">
        <w:t xml:space="preserve">. </w:t>
      </w:r>
      <w:r w:rsidR="00E77CDC">
        <w:t>En complément</w:t>
      </w:r>
      <w:r w:rsidR="00ED30E8">
        <w:t>,</w:t>
      </w:r>
      <w:r w:rsidR="00030009">
        <w:t xml:space="preserve"> t</w:t>
      </w:r>
      <w:r w:rsidR="004A2698">
        <w:t xml:space="preserve">rois réunions </w:t>
      </w:r>
      <w:r w:rsidR="00030009">
        <w:t xml:space="preserve">en présentiel </w:t>
      </w:r>
      <w:r w:rsidR="00ED30E8">
        <w:t xml:space="preserve">ont été organisées </w:t>
      </w:r>
      <w:r w:rsidR="004A2698">
        <w:t xml:space="preserve">avec le comité du personnel </w:t>
      </w:r>
      <w:r w:rsidR="00ED30E8">
        <w:t>et trois autres</w:t>
      </w:r>
      <w:r w:rsidR="004A2698">
        <w:t xml:space="preserve"> </w:t>
      </w:r>
      <w:r w:rsidR="00607EBF">
        <w:t xml:space="preserve">réunions </w:t>
      </w:r>
      <w:r w:rsidR="004A2698">
        <w:t xml:space="preserve">avec </w:t>
      </w:r>
      <w:r w:rsidR="00523ECE">
        <w:t xml:space="preserve">le comité de direction </w:t>
      </w:r>
      <w:r w:rsidR="003F4C68">
        <w:t xml:space="preserve">pour </w:t>
      </w:r>
      <w:r w:rsidR="00B44F01">
        <w:t>examiner en détail les</w:t>
      </w:r>
      <w:r w:rsidR="003F4C68">
        <w:t xml:space="preserve"> propositions, </w:t>
      </w:r>
      <w:r w:rsidR="00B44F01">
        <w:t xml:space="preserve">échanger sur les </w:t>
      </w:r>
      <w:r w:rsidR="003F4C68">
        <w:t xml:space="preserve">commentaires, </w:t>
      </w:r>
      <w:r w:rsidR="00B44F01">
        <w:t>et aborder les éventuel</w:t>
      </w:r>
      <w:r w:rsidR="00FA07F3">
        <w:t>s points de divergence. Un tableau récapitulatif des changements proposés</w:t>
      </w:r>
      <w:r w:rsidR="00272D9E">
        <w:t>,</w:t>
      </w:r>
      <w:r w:rsidR="00FA07F3">
        <w:t xml:space="preserve"> divis</w:t>
      </w:r>
      <w:r w:rsidR="00272D9E">
        <w:t xml:space="preserve">é </w:t>
      </w:r>
      <w:r w:rsidR="00FA07F3">
        <w:t>en deux sections (</w:t>
      </w:r>
      <w:r w:rsidR="00FA1E3E">
        <w:t>avec et sans</w:t>
      </w:r>
      <w:r w:rsidR="00FA07F3">
        <w:t xml:space="preserve"> implications financières)</w:t>
      </w:r>
      <w:r w:rsidR="00FA1E3E">
        <w:t xml:space="preserve">, est joint </w:t>
      </w:r>
      <w:r w:rsidR="00FA1E3E" w:rsidRPr="00D2497D">
        <w:t>en</w:t>
      </w:r>
      <w:r w:rsidR="00A71718" w:rsidRPr="00D2497D">
        <w:t xml:space="preserve"> </w:t>
      </w:r>
      <w:r w:rsidR="00A71718" w:rsidRPr="00D2497D">
        <w:rPr>
          <w:b/>
          <w:bCs/>
        </w:rPr>
        <w:t xml:space="preserve">Annexe </w:t>
      </w:r>
      <w:r w:rsidR="00E61F54" w:rsidRPr="00D2497D">
        <w:rPr>
          <w:b/>
          <w:bCs/>
        </w:rPr>
        <w:t>4</w:t>
      </w:r>
      <w:r w:rsidR="00FA07F3" w:rsidRPr="00D2497D">
        <w:t>.</w:t>
      </w:r>
    </w:p>
    <w:p w14:paraId="379530B4" w14:textId="09062EF7" w:rsidR="001127CD" w:rsidRDefault="001729B2" w:rsidP="002C56ED">
      <w:pPr>
        <w:pStyle w:val="Paragraphe"/>
      </w:pPr>
      <w:r>
        <w:t xml:space="preserve">Le </w:t>
      </w:r>
      <w:r w:rsidR="00676D6F">
        <w:t>S</w:t>
      </w:r>
      <w:r>
        <w:t xml:space="preserve">ecrétariat général propose le processus de révision et validation suivant : </w:t>
      </w:r>
    </w:p>
    <w:p w14:paraId="66E853D4" w14:textId="4D4467A9" w:rsidR="001729B2" w:rsidRDefault="00D109F0" w:rsidP="001729B2">
      <w:pPr>
        <w:pStyle w:val="Paragraphe"/>
        <w:numPr>
          <w:ilvl w:val="0"/>
          <w:numId w:val="10"/>
        </w:numPr>
      </w:pPr>
      <w:r>
        <w:t xml:space="preserve">Une </w:t>
      </w:r>
      <w:r w:rsidR="00DF05A1">
        <w:t>version électronique éditable des statuts du personnel sera transmise aux Officiers permanents de liaiso</w:t>
      </w:r>
      <w:r w:rsidR="003376D1">
        <w:t>n</w:t>
      </w:r>
      <w:r w:rsidR="00DF05A1">
        <w:t xml:space="preserve"> avant la fin de l’année 2024 </w:t>
      </w:r>
      <w:r w:rsidR="001729B2">
        <w:t xml:space="preserve">pour commentaires des </w:t>
      </w:r>
      <w:r w:rsidR="005E65F4">
        <w:t xml:space="preserve">Etats membres d’ici le </w:t>
      </w:r>
      <w:r w:rsidR="005E65F4" w:rsidRPr="005E65F4">
        <w:rPr>
          <w:b/>
          <w:bCs/>
        </w:rPr>
        <w:t>31 janvier 2025</w:t>
      </w:r>
      <w:r w:rsidR="005E65F4">
        <w:t>.</w:t>
      </w:r>
      <w:r w:rsidR="00DF05A1">
        <w:t xml:space="preserve"> </w:t>
      </w:r>
    </w:p>
    <w:p w14:paraId="25DB016F" w14:textId="5449A57F" w:rsidR="0042455B" w:rsidRDefault="005D5B1B" w:rsidP="005D5B1B">
      <w:pPr>
        <w:pStyle w:val="Paragraphe"/>
        <w:numPr>
          <w:ilvl w:val="0"/>
          <w:numId w:val="10"/>
        </w:numPr>
      </w:pPr>
      <w:r>
        <w:t xml:space="preserve">Les commentaires et suggestions seront compilés et transmises aux Etats membres en </w:t>
      </w:r>
      <w:r w:rsidR="005C5AB0">
        <w:t>vue d’une</w:t>
      </w:r>
      <w:r w:rsidR="00DF05A1">
        <w:t xml:space="preserve"> </w:t>
      </w:r>
      <w:r w:rsidR="00D109F0">
        <w:t>présentation du statut du personnel</w:t>
      </w:r>
      <w:r>
        <w:t xml:space="preserve"> </w:t>
      </w:r>
      <w:r w:rsidR="00D109F0">
        <w:t xml:space="preserve">au cours </w:t>
      </w:r>
      <w:r w:rsidR="00636697">
        <w:t>du premier trimestre 2025</w:t>
      </w:r>
      <w:r w:rsidR="005E65F4">
        <w:t xml:space="preserve">, </w:t>
      </w:r>
      <w:r w:rsidR="0042455B">
        <w:t>possiblement dans la deuxième quin</w:t>
      </w:r>
      <w:r>
        <w:t xml:space="preserve">zaine de </w:t>
      </w:r>
      <w:r w:rsidR="00636697">
        <w:t xml:space="preserve">février </w:t>
      </w:r>
      <w:r w:rsidR="005C5AB0">
        <w:t>en fonction des agendas de chacun.</w:t>
      </w:r>
    </w:p>
    <w:p w14:paraId="7AAD0D5F" w14:textId="370CE6C5" w:rsidR="005C5AB0" w:rsidRDefault="005C5AB0" w:rsidP="005D5B1B">
      <w:pPr>
        <w:pStyle w:val="Paragraphe"/>
        <w:numPr>
          <w:ilvl w:val="0"/>
          <w:numId w:val="10"/>
        </w:numPr>
      </w:pPr>
      <w:r>
        <w:t xml:space="preserve">Une version finalisée </w:t>
      </w:r>
      <w:r w:rsidR="0036287B">
        <w:t>sera présentée au premier COPL 2025</w:t>
      </w:r>
      <w:r w:rsidR="002242D3">
        <w:t xml:space="preserve"> pour une validation durant la session ordinaire du </w:t>
      </w:r>
      <w:r w:rsidR="009C7E92">
        <w:t>39</w:t>
      </w:r>
      <w:r w:rsidR="009C7E92" w:rsidRPr="009C7E92">
        <w:rPr>
          <w:vertAlign w:val="superscript"/>
        </w:rPr>
        <w:t>e</w:t>
      </w:r>
      <w:r w:rsidR="009C7E92">
        <w:t xml:space="preserve"> </w:t>
      </w:r>
      <w:r w:rsidR="002242D3">
        <w:t xml:space="preserve">Conseil </w:t>
      </w:r>
      <w:r w:rsidR="009C7E92">
        <w:t>des ministre</w:t>
      </w:r>
      <w:r w:rsidR="001E592A">
        <w:t>s.</w:t>
      </w:r>
    </w:p>
    <w:p w14:paraId="4494DF59" w14:textId="393909ED" w:rsidR="00A469FE" w:rsidRDefault="00A469FE" w:rsidP="005D5B1B">
      <w:pPr>
        <w:pStyle w:val="Paragraphe"/>
        <w:numPr>
          <w:ilvl w:val="0"/>
          <w:numId w:val="10"/>
        </w:numPr>
      </w:pPr>
      <w:r>
        <w:t>Un comité budgétaire pourra être exceptionnellement convoqué</w:t>
      </w:r>
      <w:r w:rsidR="00C1575A">
        <w:t xml:space="preserve"> en amont des instances prochaines pour évaluer les implications financières des modifications.</w:t>
      </w:r>
    </w:p>
    <w:p w14:paraId="5C87D8BD" w14:textId="77777777" w:rsidR="0042442D" w:rsidRDefault="0042442D" w:rsidP="002C56ED">
      <w:pPr>
        <w:pStyle w:val="Paragraphe"/>
      </w:pPr>
    </w:p>
    <w:p w14:paraId="372DB6C1" w14:textId="77777777" w:rsidR="003F6645" w:rsidRDefault="003F6645" w:rsidP="002C56ED">
      <w:pPr>
        <w:pStyle w:val="Paragraphe"/>
      </w:pPr>
    </w:p>
    <w:p w14:paraId="1D3C4A92" w14:textId="4E366C2F" w:rsidR="00156EE3" w:rsidRDefault="00156EE3" w:rsidP="00763270">
      <w:pPr>
        <w:pStyle w:val="Sous-partie2"/>
      </w:pPr>
      <w:r>
        <w:lastRenderedPageBreak/>
        <w:t xml:space="preserve">Révision de l’accord de siège </w:t>
      </w:r>
    </w:p>
    <w:p w14:paraId="611D2DF4" w14:textId="33388172" w:rsidR="000D72DA" w:rsidRDefault="000D72DA" w:rsidP="000D72DA">
      <w:pPr>
        <w:pStyle w:val="Paragraphe"/>
      </w:pPr>
      <w:r>
        <w:t xml:space="preserve">La révision des statuts du personnel de la COI a mis en lumière plusieurs questions concernant le statut de fonctionnaire international des employés de la </w:t>
      </w:r>
      <w:proofErr w:type="spellStart"/>
      <w:r>
        <w:t>COI</w:t>
      </w:r>
      <w:r w:rsidR="003376D1">
        <w:t>par</w:t>
      </w:r>
      <w:proofErr w:type="spellEnd"/>
      <w:r w:rsidR="003376D1">
        <w:t xml:space="preserve"> référence</w:t>
      </w:r>
      <w:r>
        <w:t xml:space="preserve"> </w:t>
      </w:r>
      <w:r w:rsidR="003376D1">
        <w:t xml:space="preserve">aux </w:t>
      </w:r>
      <w:r>
        <w:t xml:space="preserve">standards internationaux et </w:t>
      </w:r>
      <w:r w:rsidR="003376D1">
        <w:t xml:space="preserve">au </w:t>
      </w:r>
      <w:r>
        <w:t>cadre juridique des différents types de personnel au sein de l'organisation. Certaines de ces questions sont étroitement liées à l'accord de siège.</w:t>
      </w:r>
    </w:p>
    <w:p w14:paraId="012F676E" w14:textId="01D0012F" w:rsidR="0082083E" w:rsidRPr="0065177D" w:rsidRDefault="000D72DA" w:rsidP="0056546F">
      <w:pPr>
        <w:pStyle w:val="Paragraphe"/>
      </w:pPr>
      <w:r>
        <w:t xml:space="preserve">À </w:t>
      </w:r>
      <w:r w:rsidR="003376D1">
        <w:t>ce titre,</w:t>
      </w:r>
      <w:r>
        <w:t xml:space="preserve"> la décision 3</w:t>
      </w:r>
      <w:r w:rsidR="003376D1">
        <w:t xml:space="preserve"> (a)</w:t>
      </w:r>
      <w:r>
        <w:t xml:space="preserve"> du Comité extraordinaire de l'OPL des 29-30 septembre 2017, </w:t>
      </w:r>
      <w:r w:rsidR="003376D1">
        <w:t>énonce : « </w:t>
      </w:r>
      <w:r w:rsidR="003376D1" w:rsidRPr="003F6645">
        <w:rPr>
          <w:i/>
          <w:iCs/>
        </w:rPr>
        <w:t>le Comité des OPL</w:t>
      </w:r>
      <w:r w:rsidR="0082083E" w:rsidRPr="008D6A3D">
        <w:rPr>
          <w:i/>
          <w:iCs/>
        </w:rPr>
        <w:t xml:space="preserve"> prend note de la décision de Maurice de ne pas modifier l’Accord de siège et de l’exercice en cours d’harmonisation de l’ensemble des accords gouvernant les entités régionales et internationales ayant leur siège à Maurice </w:t>
      </w:r>
      <w:r w:rsidR="00A23319">
        <w:rPr>
          <w:i/>
          <w:iCs/>
        </w:rPr>
        <w:t> »</w:t>
      </w:r>
    </w:p>
    <w:p w14:paraId="3D8E278F" w14:textId="62C8A267" w:rsidR="0042442D" w:rsidRPr="00491281" w:rsidRDefault="00A23319" w:rsidP="00AF02AA">
      <w:pPr>
        <w:pStyle w:val="Paragraphe"/>
      </w:pPr>
      <w:r>
        <w:t xml:space="preserve">Néanmoins, </w:t>
      </w:r>
      <w:r w:rsidR="008909B5">
        <w:t>tenant compte</w:t>
      </w:r>
      <w:r w:rsidR="00055ACC">
        <w:t xml:space="preserve"> des</w:t>
      </w:r>
      <w:r w:rsidR="00491281" w:rsidRPr="00491281">
        <w:t xml:space="preserve"> efforts de modernisation de la COI</w:t>
      </w:r>
      <w:r w:rsidR="00C91A58">
        <w:t xml:space="preserve"> </w:t>
      </w:r>
      <w:r w:rsidR="00AF02AA">
        <w:t>ainsi qu</w:t>
      </w:r>
      <w:r w:rsidR="00055ACC">
        <w:t>e des</w:t>
      </w:r>
      <w:r w:rsidR="00C91A58">
        <w:t xml:space="preserve"> évolutions</w:t>
      </w:r>
      <w:r w:rsidR="00491281" w:rsidRPr="00491281">
        <w:t xml:space="preserve"> significative</w:t>
      </w:r>
      <w:r w:rsidR="00C91A58">
        <w:t>s observées</w:t>
      </w:r>
      <w:r w:rsidR="00491281" w:rsidRPr="00491281">
        <w:t xml:space="preserve"> depuis l'établissement de l’accord de siège en 1989</w:t>
      </w:r>
      <w:r w:rsidR="00AF02AA">
        <w:t>, le Secrétariat général</w:t>
      </w:r>
      <w:r w:rsidR="00491281" w:rsidRPr="00491281">
        <w:t xml:space="preserve"> </w:t>
      </w:r>
      <w:r w:rsidR="00AF02AA">
        <w:t xml:space="preserve">aimerait proposer </w:t>
      </w:r>
      <w:r w:rsidR="00055ACC">
        <w:t>qu’</w:t>
      </w:r>
      <w:r w:rsidR="00AF02AA">
        <w:t xml:space="preserve">une actualisation de </w:t>
      </w:r>
      <w:r w:rsidR="00491281" w:rsidRPr="00491281">
        <w:t>l'accord de siège</w:t>
      </w:r>
      <w:r w:rsidR="008909B5">
        <w:t xml:space="preserve"> soit envisagée en vue </w:t>
      </w:r>
      <w:proofErr w:type="spellStart"/>
      <w:r w:rsidR="008909B5">
        <w:t>derefléter</w:t>
      </w:r>
      <w:proofErr w:type="spellEnd"/>
      <w:r w:rsidR="008909B5">
        <w:t xml:space="preserve"> au</w:t>
      </w:r>
      <w:r w:rsidR="00491281" w:rsidRPr="00491281">
        <w:t xml:space="preserve"> mieux les réalités actuelles du Secrétariat général</w:t>
      </w:r>
      <w:r w:rsidR="008909B5">
        <w:t>.</w:t>
      </w:r>
      <w:r w:rsidR="00491281" w:rsidRPr="00491281">
        <w:t>.</w:t>
      </w:r>
    </w:p>
    <w:p w14:paraId="03F743AF" w14:textId="3B4606B4" w:rsidR="00763270" w:rsidRPr="00A76B07" w:rsidRDefault="00763270" w:rsidP="00763270">
      <w:pPr>
        <w:pStyle w:val="Sous-partie2"/>
      </w:pPr>
      <w:r>
        <w:t xml:space="preserve">Cadre de mise à disposition </w:t>
      </w:r>
      <w:r w:rsidR="00EA259F">
        <w:t>d’experts et de personnels auprès du secrétariat général de la COI.</w:t>
      </w:r>
    </w:p>
    <w:p w14:paraId="07B5C6A3" w14:textId="531D57C9" w:rsidR="003F6645" w:rsidRDefault="00676D6F" w:rsidP="00F81965">
      <w:pPr>
        <w:jc w:val="both"/>
        <w:rPr>
          <w:rFonts w:ascii="Verdana" w:hAnsi="Verdana" w:cs="Calibri"/>
          <w:sz w:val="20"/>
          <w:szCs w:val="20"/>
        </w:rPr>
      </w:pPr>
      <w:r w:rsidRPr="00FE642F">
        <w:rPr>
          <w:rFonts w:ascii="Verdana" w:hAnsi="Verdana" w:cs="Calibri"/>
          <w:sz w:val="20"/>
          <w:szCs w:val="20"/>
        </w:rPr>
        <w:t>Pour donner suite à</w:t>
      </w:r>
      <w:r w:rsidR="00201AE9" w:rsidRPr="00FE642F">
        <w:rPr>
          <w:rFonts w:ascii="Verdana" w:hAnsi="Verdana" w:cs="Calibri"/>
          <w:sz w:val="20"/>
          <w:szCs w:val="20"/>
        </w:rPr>
        <w:t xml:space="preserve"> la d</w:t>
      </w:r>
      <w:r w:rsidR="00FE642F" w:rsidRPr="00FE642F">
        <w:rPr>
          <w:rFonts w:ascii="Verdana" w:hAnsi="Verdana" w:cs="Calibri"/>
          <w:sz w:val="20"/>
          <w:szCs w:val="20"/>
        </w:rPr>
        <w:t xml:space="preserve">écision 19 du </w:t>
      </w:r>
      <w:r w:rsidR="00A97494">
        <w:rPr>
          <w:rFonts w:ascii="Verdana" w:hAnsi="Verdana" w:cs="Calibri"/>
          <w:sz w:val="20"/>
          <w:szCs w:val="20"/>
        </w:rPr>
        <w:t xml:space="preserve">premier COPL de 2024, qui encourageait le </w:t>
      </w:r>
      <w:r>
        <w:rPr>
          <w:rFonts w:ascii="Verdana" w:hAnsi="Verdana" w:cs="Calibri"/>
          <w:sz w:val="20"/>
          <w:szCs w:val="20"/>
        </w:rPr>
        <w:t>S</w:t>
      </w:r>
      <w:r w:rsidR="00A97494">
        <w:rPr>
          <w:rFonts w:ascii="Verdana" w:hAnsi="Verdana" w:cs="Calibri"/>
          <w:sz w:val="20"/>
          <w:szCs w:val="20"/>
        </w:rPr>
        <w:t xml:space="preserve">ecrétariat général </w:t>
      </w:r>
      <w:r w:rsidR="00746020">
        <w:rPr>
          <w:rFonts w:ascii="Verdana" w:hAnsi="Verdana" w:cs="Calibri"/>
          <w:sz w:val="20"/>
          <w:szCs w:val="20"/>
        </w:rPr>
        <w:t>à transmettre aux Etats membres pour sa finalisation</w:t>
      </w:r>
      <w:r w:rsidR="008909B5">
        <w:rPr>
          <w:rFonts w:ascii="Verdana" w:hAnsi="Verdana" w:cs="Calibri"/>
          <w:sz w:val="20"/>
          <w:szCs w:val="20"/>
        </w:rPr>
        <w:t>,</w:t>
      </w:r>
      <w:r w:rsidR="00746020">
        <w:rPr>
          <w:rFonts w:ascii="Verdana" w:hAnsi="Verdana" w:cs="Calibri"/>
          <w:sz w:val="20"/>
          <w:szCs w:val="20"/>
        </w:rPr>
        <w:t xml:space="preserve"> puis approbation par les instances</w:t>
      </w:r>
      <w:r w:rsidR="008909B5">
        <w:rPr>
          <w:rFonts w:ascii="Verdana" w:hAnsi="Verdana" w:cs="Calibri"/>
          <w:sz w:val="20"/>
          <w:szCs w:val="20"/>
        </w:rPr>
        <w:t>,</w:t>
      </w:r>
      <w:r w:rsidR="00746020">
        <w:rPr>
          <w:rFonts w:ascii="Verdana" w:hAnsi="Verdana" w:cs="Calibri"/>
          <w:sz w:val="20"/>
          <w:szCs w:val="20"/>
        </w:rPr>
        <w:t xml:space="preserve"> </w:t>
      </w:r>
      <w:r w:rsidR="008909B5">
        <w:rPr>
          <w:rFonts w:ascii="Verdana" w:hAnsi="Verdana" w:cs="Calibri"/>
          <w:sz w:val="20"/>
          <w:szCs w:val="20"/>
        </w:rPr>
        <w:t xml:space="preserve">le </w:t>
      </w:r>
      <w:r w:rsidR="006250DE">
        <w:rPr>
          <w:rFonts w:ascii="Verdana" w:hAnsi="Verdana" w:cs="Calibri"/>
          <w:sz w:val="20"/>
          <w:szCs w:val="20"/>
        </w:rPr>
        <w:t xml:space="preserve">cadre pour la mise à disposition de personnel au sein du </w:t>
      </w:r>
      <w:r w:rsidR="00C91A58">
        <w:rPr>
          <w:rFonts w:ascii="Verdana" w:hAnsi="Verdana" w:cs="Calibri"/>
          <w:sz w:val="20"/>
          <w:szCs w:val="20"/>
        </w:rPr>
        <w:t xml:space="preserve">Secrétariat </w:t>
      </w:r>
      <w:r w:rsidR="004167CA">
        <w:rPr>
          <w:rFonts w:ascii="Verdana" w:hAnsi="Verdana" w:cs="Calibri"/>
          <w:sz w:val="20"/>
          <w:szCs w:val="20"/>
        </w:rPr>
        <w:t xml:space="preserve">général de la COI, vous trouverez ci-joint, </w:t>
      </w:r>
      <w:r w:rsidR="004167CA" w:rsidRPr="00783B45">
        <w:rPr>
          <w:rFonts w:ascii="Verdana" w:hAnsi="Verdana" w:cs="Calibri"/>
          <w:sz w:val="20"/>
          <w:szCs w:val="20"/>
        </w:rPr>
        <w:t xml:space="preserve">en </w:t>
      </w:r>
      <w:r w:rsidR="00783B45" w:rsidRPr="00783B45">
        <w:rPr>
          <w:rFonts w:ascii="Verdana" w:hAnsi="Verdana" w:cs="Calibri"/>
          <w:b/>
          <w:bCs/>
          <w:sz w:val="20"/>
          <w:szCs w:val="20"/>
        </w:rPr>
        <w:t>A</w:t>
      </w:r>
      <w:r w:rsidR="004167CA" w:rsidRPr="00783B45">
        <w:rPr>
          <w:rFonts w:ascii="Verdana" w:hAnsi="Verdana" w:cs="Calibri"/>
          <w:b/>
          <w:bCs/>
          <w:sz w:val="20"/>
          <w:szCs w:val="20"/>
        </w:rPr>
        <w:t xml:space="preserve">nnexe </w:t>
      </w:r>
      <w:r w:rsidR="00783B45" w:rsidRPr="00783B45">
        <w:rPr>
          <w:rFonts w:ascii="Verdana" w:hAnsi="Verdana" w:cs="Calibri"/>
          <w:b/>
          <w:bCs/>
          <w:sz w:val="20"/>
          <w:szCs w:val="20"/>
        </w:rPr>
        <w:t>5</w:t>
      </w:r>
      <w:r w:rsidR="00F81965" w:rsidRPr="00783B45">
        <w:rPr>
          <w:rFonts w:ascii="Verdana" w:hAnsi="Verdana" w:cs="Calibri"/>
          <w:b/>
          <w:bCs/>
          <w:sz w:val="20"/>
          <w:szCs w:val="20"/>
        </w:rPr>
        <w:t>,</w:t>
      </w:r>
      <w:r w:rsidR="00F81965">
        <w:rPr>
          <w:rFonts w:ascii="Verdana" w:hAnsi="Verdana" w:cs="Calibri"/>
          <w:b/>
          <w:bCs/>
          <w:sz w:val="20"/>
          <w:szCs w:val="20"/>
        </w:rPr>
        <w:t xml:space="preserve"> </w:t>
      </w:r>
      <w:r w:rsidR="00F81965" w:rsidRPr="00F81965">
        <w:rPr>
          <w:rFonts w:ascii="Verdana" w:hAnsi="Verdana" w:cs="Calibri"/>
          <w:sz w:val="20"/>
          <w:szCs w:val="20"/>
        </w:rPr>
        <w:t>une proposition pour vos commentaires</w:t>
      </w:r>
      <w:r w:rsidR="008909B5">
        <w:rPr>
          <w:rFonts w:ascii="Verdana" w:hAnsi="Verdana" w:cs="Calibri"/>
          <w:sz w:val="20"/>
          <w:szCs w:val="20"/>
        </w:rPr>
        <w:t xml:space="preserve"> et approbation, le cas échéant</w:t>
      </w:r>
      <w:r w:rsidR="00F81965">
        <w:rPr>
          <w:rFonts w:ascii="Verdana" w:hAnsi="Verdana" w:cs="Calibri"/>
          <w:sz w:val="20"/>
          <w:szCs w:val="20"/>
        </w:rPr>
        <w:t>.</w:t>
      </w:r>
    </w:p>
    <w:p w14:paraId="2EB5F268" w14:textId="77777777" w:rsidR="003F6645" w:rsidRDefault="003F6645" w:rsidP="00F81965">
      <w:pPr>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05F1F967" w14:textId="20D253B9" w:rsidR="0008468B" w:rsidRPr="004F5C4B" w:rsidRDefault="0008468B" w:rsidP="00FE285D">
      <w:pPr>
        <w:pStyle w:val="Paragraphe"/>
      </w:pPr>
      <w:r w:rsidRPr="004F5C4B">
        <w:t>Le Comité des OPL</w:t>
      </w:r>
      <w:r w:rsidR="00A76B07">
        <w:t> :</w:t>
      </w:r>
    </w:p>
    <w:p w14:paraId="35CE41B9" w14:textId="14AB81D2" w:rsidR="00A142C7" w:rsidRDefault="00A142C7" w:rsidP="00A76B07">
      <w:pPr>
        <w:pStyle w:val="Paragraphe"/>
        <w:numPr>
          <w:ilvl w:val="0"/>
          <w:numId w:val="6"/>
        </w:numPr>
      </w:pPr>
      <w:r>
        <w:t xml:space="preserve">Félicite le </w:t>
      </w:r>
      <w:r w:rsidR="00676D6F">
        <w:t>S</w:t>
      </w:r>
      <w:r>
        <w:t xml:space="preserve">ecrétariat général pour l’organisation de la cérémonie d’investiture </w:t>
      </w:r>
      <w:r w:rsidR="000A6422">
        <w:t>ainsi que le</w:t>
      </w:r>
      <w:r>
        <w:t xml:space="preserve"> </w:t>
      </w:r>
      <w:r w:rsidR="00676D6F">
        <w:t>S</w:t>
      </w:r>
      <w:r>
        <w:t>ecrétaire général pour sa prise de fonction</w:t>
      </w:r>
      <w:r w:rsidR="00676D6F">
        <w:t> ;</w:t>
      </w:r>
    </w:p>
    <w:p w14:paraId="1928F4CC" w14:textId="1FF03F37" w:rsidR="008E70AB" w:rsidRDefault="008E70AB" w:rsidP="00A76B07">
      <w:pPr>
        <w:pStyle w:val="Paragraphe"/>
        <w:numPr>
          <w:ilvl w:val="0"/>
          <w:numId w:val="6"/>
        </w:numPr>
      </w:pPr>
      <w:r>
        <w:t xml:space="preserve">Félicite le </w:t>
      </w:r>
      <w:r w:rsidR="00676D6F">
        <w:t>S</w:t>
      </w:r>
      <w:r>
        <w:t>ecrétariat général pour ces efforts dans le renforcement du personnel</w:t>
      </w:r>
      <w:r w:rsidR="00676D6F">
        <w:t> ;</w:t>
      </w:r>
    </w:p>
    <w:p w14:paraId="6CAB83D8" w14:textId="5899D87C" w:rsidR="005B7D30" w:rsidRDefault="00480D04" w:rsidP="00A76B07">
      <w:pPr>
        <w:pStyle w:val="Paragraphe"/>
        <w:numPr>
          <w:ilvl w:val="0"/>
          <w:numId w:val="6"/>
        </w:numPr>
      </w:pPr>
      <w:r>
        <w:t xml:space="preserve">Prends note de l’avancée de la révision des statuts du personnel et </w:t>
      </w:r>
      <w:r w:rsidR="00760405">
        <w:t xml:space="preserve">approuve le processus et </w:t>
      </w:r>
      <w:r w:rsidR="008909B5">
        <w:t xml:space="preserve">le </w:t>
      </w:r>
      <w:r w:rsidR="00760405">
        <w:t>chronogramme proposé</w:t>
      </w:r>
      <w:r w:rsidR="00676D6F">
        <w:t>s</w:t>
      </w:r>
      <w:r w:rsidR="00760405">
        <w:t xml:space="preserve"> </w:t>
      </w:r>
      <w:r w:rsidR="006A772F">
        <w:t xml:space="preserve">en vue </w:t>
      </w:r>
      <w:r w:rsidR="00ED3D2A">
        <w:t xml:space="preserve">de leur </w:t>
      </w:r>
      <w:r w:rsidR="006A772F">
        <w:t xml:space="preserve">validation </w:t>
      </w:r>
      <w:r w:rsidR="00ED3D2A">
        <w:t xml:space="preserve">lors des </w:t>
      </w:r>
      <w:r w:rsidR="006A772F">
        <w:t>prochaines instances</w:t>
      </w:r>
      <w:r w:rsidR="00676D6F">
        <w:t> ;</w:t>
      </w:r>
    </w:p>
    <w:p w14:paraId="5D871EB5" w14:textId="5EB5DE1F" w:rsidR="00547C67" w:rsidRDefault="00547C67" w:rsidP="00A76B07">
      <w:pPr>
        <w:pStyle w:val="Paragraphe"/>
        <w:numPr>
          <w:ilvl w:val="0"/>
          <w:numId w:val="6"/>
        </w:numPr>
      </w:pPr>
      <w:r>
        <w:t xml:space="preserve">Approuve le cadre de mise à disposition </w:t>
      </w:r>
      <w:r w:rsidR="005B7D30">
        <w:t xml:space="preserve">proposé par le </w:t>
      </w:r>
      <w:r w:rsidR="00676D6F">
        <w:t>S</w:t>
      </w:r>
      <w:r w:rsidR="005B7D30">
        <w:t>ecrétariat général</w:t>
      </w:r>
      <w:r w:rsidR="00676D6F">
        <w:t xml:space="preserve"> en vue de son application immédiate </w:t>
      </w:r>
      <w:r w:rsidR="00CE42B4">
        <w:t xml:space="preserve">pour les prochains déploiements </w:t>
      </w:r>
      <w:r w:rsidR="00676D6F">
        <w:t>;</w:t>
      </w:r>
    </w:p>
    <w:p w14:paraId="64432654" w14:textId="4E3919A2" w:rsidR="00AB0FFE" w:rsidRDefault="00214D5A" w:rsidP="00A76B07">
      <w:pPr>
        <w:pStyle w:val="Paragraphe"/>
        <w:numPr>
          <w:ilvl w:val="0"/>
          <w:numId w:val="6"/>
        </w:numPr>
      </w:pPr>
      <w:r>
        <w:t xml:space="preserve">Encourage le </w:t>
      </w:r>
      <w:r w:rsidR="00CE42B4">
        <w:t xml:space="preserve">Secrétariat </w:t>
      </w:r>
      <w:r>
        <w:t xml:space="preserve">général </w:t>
      </w:r>
      <w:r w:rsidR="00547C67">
        <w:t xml:space="preserve">à reprendre les discussions avec </w:t>
      </w:r>
      <w:r w:rsidR="008909B5">
        <w:t xml:space="preserve">la République de </w:t>
      </w:r>
      <w:r w:rsidR="00547C67">
        <w:t xml:space="preserve">Maurice concernant la </w:t>
      </w:r>
      <w:r w:rsidR="00AA74AB">
        <w:t>mise à jour</w:t>
      </w:r>
      <w:r w:rsidR="00547C67">
        <w:t xml:space="preserve"> de l’</w:t>
      </w:r>
      <w:r w:rsidR="00676D6F">
        <w:t>A</w:t>
      </w:r>
      <w:r w:rsidR="00547C67">
        <w:t>ccord de siège.</w:t>
      </w:r>
    </w:p>
    <w:p w14:paraId="7A905678" w14:textId="77777777" w:rsidR="00D05557" w:rsidRPr="00AB0FFE" w:rsidRDefault="00D05557" w:rsidP="00D05557">
      <w:pPr>
        <w:pStyle w:val="Paragraphe"/>
        <w:ind w:left="720"/>
      </w:pPr>
    </w:p>
    <w:bookmarkEnd w:id="0"/>
    <w:p w14:paraId="1D6F1669" w14:textId="72833CAD" w:rsidR="00417683" w:rsidRPr="0008468B" w:rsidRDefault="00417683" w:rsidP="00060CA0">
      <w:pPr>
        <w:pStyle w:val="Titrepartie"/>
      </w:pPr>
      <w:r w:rsidRPr="0008468B">
        <w:t>Annexe</w:t>
      </w:r>
      <w:r w:rsidR="008F173C" w:rsidRPr="0008468B">
        <w:t>s</w:t>
      </w:r>
      <w:r w:rsidRPr="0008468B">
        <w:t> :</w:t>
      </w:r>
    </w:p>
    <w:p w14:paraId="30A264E1" w14:textId="3DF3E5A6" w:rsidR="00206E8F" w:rsidRDefault="00206E8F" w:rsidP="000A23AA">
      <w:pPr>
        <w:pStyle w:val="Paragraphe"/>
        <w:numPr>
          <w:ilvl w:val="0"/>
          <w:numId w:val="13"/>
        </w:numPr>
      </w:pPr>
      <w:r>
        <w:t>Annexe 1 : Arrivée et départs 202</w:t>
      </w:r>
      <w:r w:rsidR="00B00115">
        <w:t xml:space="preserve">4 </w:t>
      </w:r>
    </w:p>
    <w:p w14:paraId="6104D458" w14:textId="77777777" w:rsidR="00206E8F" w:rsidRDefault="00206E8F" w:rsidP="000A23AA">
      <w:pPr>
        <w:pStyle w:val="Paragraphe"/>
        <w:numPr>
          <w:ilvl w:val="0"/>
          <w:numId w:val="13"/>
        </w:numPr>
      </w:pPr>
      <w:r>
        <w:t>Annexe 2 : Distribution du personnel par catégorie</w:t>
      </w:r>
    </w:p>
    <w:p w14:paraId="4115102C" w14:textId="1CDE6054" w:rsidR="00206E8F" w:rsidRDefault="00206E8F" w:rsidP="00B00115">
      <w:pPr>
        <w:pStyle w:val="Paragraphe"/>
        <w:numPr>
          <w:ilvl w:val="0"/>
          <w:numId w:val="13"/>
        </w:numPr>
      </w:pPr>
      <w:r>
        <w:t xml:space="preserve">Annexe 3 : </w:t>
      </w:r>
      <w:r w:rsidR="003A6631">
        <w:t>Proposition de statut du personnel 2025</w:t>
      </w:r>
    </w:p>
    <w:p w14:paraId="2DF94CB2" w14:textId="3AA4C476" w:rsidR="003A6631" w:rsidRDefault="003A6631" w:rsidP="00B00115">
      <w:pPr>
        <w:pStyle w:val="Paragraphe"/>
        <w:numPr>
          <w:ilvl w:val="0"/>
          <w:numId w:val="13"/>
        </w:numPr>
      </w:pPr>
      <w:r>
        <w:t xml:space="preserve">Annexe 4 : </w:t>
      </w:r>
      <w:r w:rsidR="00742398">
        <w:t>Tableau ré</w:t>
      </w:r>
      <w:r w:rsidR="0066387A">
        <w:t>capitulatif</w:t>
      </w:r>
      <w:r w:rsidR="00742398">
        <w:t xml:space="preserve"> des modifications apportées aux statuts</w:t>
      </w:r>
    </w:p>
    <w:p w14:paraId="4648F921" w14:textId="2FB5E453" w:rsidR="008F173C" w:rsidRPr="00620B90" w:rsidRDefault="005E14AB" w:rsidP="00B00F13">
      <w:pPr>
        <w:pStyle w:val="Paragraphe"/>
        <w:numPr>
          <w:ilvl w:val="0"/>
          <w:numId w:val="13"/>
        </w:numPr>
      </w:pPr>
      <w:r>
        <w:t xml:space="preserve">Annexe 5 : </w:t>
      </w:r>
      <w:r w:rsidR="005611F7">
        <w:t xml:space="preserve">Cadre de mise à disposition </w:t>
      </w:r>
    </w:p>
    <w:sectPr w:rsidR="008F173C" w:rsidRPr="00620B90" w:rsidSect="00676D6F">
      <w:headerReference w:type="default" r:id="rId9"/>
      <w:footerReference w:type="default" r:id="rId10"/>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21402" w14:textId="77777777" w:rsidR="00CD52EF" w:rsidRDefault="00CD52EF">
      <w:pPr>
        <w:spacing w:after="0" w:line="240" w:lineRule="auto"/>
      </w:pPr>
      <w:r>
        <w:separator/>
      </w:r>
    </w:p>
  </w:endnote>
  <w:endnote w:type="continuationSeparator" w:id="0">
    <w:p w14:paraId="3C8B7E33" w14:textId="77777777" w:rsidR="00CD52EF" w:rsidRDefault="00CD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BACC1" w14:textId="77777777" w:rsidR="00CD52EF" w:rsidRDefault="00CD52EF">
      <w:pPr>
        <w:spacing w:after="0" w:line="240" w:lineRule="auto"/>
      </w:pPr>
      <w:r>
        <w:separator/>
      </w:r>
    </w:p>
  </w:footnote>
  <w:footnote w:type="continuationSeparator" w:id="0">
    <w:p w14:paraId="174CDB4F" w14:textId="77777777" w:rsidR="00CD52EF" w:rsidRDefault="00CD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5274215C"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446407741" name="Image 144640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45ECE">
      <w:rPr>
        <w:rFonts w:ascii="Verdana" w:hAnsi="Verdana"/>
        <w:b/>
        <w:bCs/>
        <w:sz w:val="20"/>
        <w:szCs w:val="20"/>
      </w:rPr>
      <w:t>3.1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AE6FB7"/>
    <w:multiLevelType w:val="hybridMultilevel"/>
    <w:tmpl w:val="2578F1CC"/>
    <w:lvl w:ilvl="0" w:tplc="0234DA6C">
      <w:start w:val="2017"/>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E745D8"/>
    <w:multiLevelType w:val="multilevel"/>
    <w:tmpl w:val="C09A773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6857274">
    <w:abstractNumId w:val="4"/>
  </w:num>
  <w:num w:numId="2" w16cid:durableId="693463901">
    <w:abstractNumId w:val="9"/>
  </w:num>
  <w:num w:numId="3" w16cid:durableId="821701795">
    <w:abstractNumId w:val="2"/>
  </w:num>
  <w:num w:numId="4" w16cid:durableId="1419017904">
    <w:abstractNumId w:val="0"/>
  </w:num>
  <w:num w:numId="5" w16cid:durableId="1097139959">
    <w:abstractNumId w:val="7"/>
  </w:num>
  <w:num w:numId="6" w16cid:durableId="2071610087">
    <w:abstractNumId w:val="3"/>
  </w:num>
  <w:num w:numId="7" w16cid:durableId="2107577626">
    <w:abstractNumId w:val="5"/>
  </w:num>
  <w:num w:numId="8" w16cid:durableId="1778521923">
    <w:abstractNumId w:val="2"/>
    <w:lvlOverride w:ilvl="0">
      <w:startOverride w:val="1"/>
    </w:lvlOverride>
  </w:num>
  <w:num w:numId="9" w16cid:durableId="2010212023">
    <w:abstractNumId w:val="1"/>
  </w:num>
  <w:num w:numId="10" w16cid:durableId="1521746232">
    <w:abstractNumId w:val="6"/>
  </w:num>
  <w:num w:numId="11" w16cid:durableId="1190950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048064">
    <w:abstractNumId w:val="2"/>
  </w:num>
  <w:num w:numId="13" w16cid:durableId="607735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36D"/>
    <w:rsid w:val="00023F49"/>
    <w:rsid w:val="00030009"/>
    <w:rsid w:val="000373B2"/>
    <w:rsid w:val="00042CF5"/>
    <w:rsid w:val="00046928"/>
    <w:rsid w:val="00055ACC"/>
    <w:rsid w:val="00060CA0"/>
    <w:rsid w:val="00063A26"/>
    <w:rsid w:val="0008468B"/>
    <w:rsid w:val="000A23AA"/>
    <w:rsid w:val="000A468A"/>
    <w:rsid w:val="000A6422"/>
    <w:rsid w:val="000B0FBD"/>
    <w:rsid w:val="000D72DA"/>
    <w:rsid w:val="000F4728"/>
    <w:rsid w:val="00107D9D"/>
    <w:rsid w:val="001127CD"/>
    <w:rsid w:val="00136B62"/>
    <w:rsid w:val="0015294B"/>
    <w:rsid w:val="00155011"/>
    <w:rsid w:val="00156EE3"/>
    <w:rsid w:val="00171388"/>
    <w:rsid w:val="001729B2"/>
    <w:rsid w:val="0018252D"/>
    <w:rsid w:val="0018498A"/>
    <w:rsid w:val="001A56F1"/>
    <w:rsid w:val="001B3A8D"/>
    <w:rsid w:val="001B4738"/>
    <w:rsid w:val="001B71A4"/>
    <w:rsid w:val="001D6D52"/>
    <w:rsid w:val="001E592A"/>
    <w:rsid w:val="00201AE9"/>
    <w:rsid w:val="00206E8F"/>
    <w:rsid w:val="0021063C"/>
    <w:rsid w:val="00214D5A"/>
    <w:rsid w:val="0022240D"/>
    <w:rsid w:val="002242D3"/>
    <w:rsid w:val="00236E50"/>
    <w:rsid w:val="00254C08"/>
    <w:rsid w:val="002662B2"/>
    <w:rsid w:val="00272D9E"/>
    <w:rsid w:val="002A0933"/>
    <w:rsid w:val="002A096E"/>
    <w:rsid w:val="002B62D4"/>
    <w:rsid w:val="002C56ED"/>
    <w:rsid w:val="003202A9"/>
    <w:rsid w:val="00333481"/>
    <w:rsid w:val="003376D1"/>
    <w:rsid w:val="003604B9"/>
    <w:rsid w:val="00360B33"/>
    <w:rsid w:val="0036287B"/>
    <w:rsid w:val="003772FB"/>
    <w:rsid w:val="00380B24"/>
    <w:rsid w:val="00391152"/>
    <w:rsid w:val="003A3425"/>
    <w:rsid w:val="003A4ED0"/>
    <w:rsid w:val="003A6631"/>
    <w:rsid w:val="003B2ADC"/>
    <w:rsid w:val="003C2538"/>
    <w:rsid w:val="003D485F"/>
    <w:rsid w:val="003D5328"/>
    <w:rsid w:val="003D7611"/>
    <w:rsid w:val="003F4C68"/>
    <w:rsid w:val="003F6645"/>
    <w:rsid w:val="00407172"/>
    <w:rsid w:val="0041278C"/>
    <w:rsid w:val="004167CA"/>
    <w:rsid w:val="00417683"/>
    <w:rsid w:val="0042442D"/>
    <w:rsid w:val="0042455B"/>
    <w:rsid w:val="00426673"/>
    <w:rsid w:val="00433CD5"/>
    <w:rsid w:val="00442532"/>
    <w:rsid w:val="004607F7"/>
    <w:rsid w:val="00480D04"/>
    <w:rsid w:val="00491281"/>
    <w:rsid w:val="004A2698"/>
    <w:rsid w:val="004C74DF"/>
    <w:rsid w:val="004E5297"/>
    <w:rsid w:val="004F5C4B"/>
    <w:rsid w:val="00511F93"/>
    <w:rsid w:val="00513A6A"/>
    <w:rsid w:val="00515A1D"/>
    <w:rsid w:val="00523ECE"/>
    <w:rsid w:val="0053773D"/>
    <w:rsid w:val="00547C67"/>
    <w:rsid w:val="005611F7"/>
    <w:rsid w:val="005625CC"/>
    <w:rsid w:val="0056546F"/>
    <w:rsid w:val="00585186"/>
    <w:rsid w:val="00587A32"/>
    <w:rsid w:val="00597F09"/>
    <w:rsid w:val="005A3E13"/>
    <w:rsid w:val="005B3350"/>
    <w:rsid w:val="005B3353"/>
    <w:rsid w:val="005B7D30"/>
    <w:rsid w:val="005C5AB0"/>
    <w:rsid w:val="005D5B1B"/>
    <w:rsid w:val="005E14AB"/>
    <w:rsid w:val="005E65F4"/>
    <w:rsid w:val="005F0D98"/>
    <w:rsid w:val="005F4A14"/>
    <w:rsid w:val="006046C9"/>
    <w:rsid w:val="00607EBF"/>
    <w:rsid w:val="00620B90"/>
    <w:rsid w:val="00621943"/>
    <w:rsid w:val="00623E75"/>
    <w:rsid w:val="00624B5C"/>
    <w:rsid w:val="006250DE"/>
    <w:rsid w:val="006356AF"/>
    <w:rsid w:val="00636697"/>
    <w:rsid w:val="0065177D"/>
    <w:rsid w:val="006548BF"/>
    <w:rsid w:val="00660504"/>
    <w:rsid w:val="006609B8"/>
    <w:rsid w:val="0066387A"/>
    <w:rsid w:val="00676D6F"/>
    <w:rsid w:val="006A60DB"/>
    <w:rsid w:val="006A772F"/>
    <w:rsid w:val="006C0E5D"/>
    <w:rsid w:val="006E2D9E"/>
    <w:rsid w:val="006E3C85"/>
    <w:rsid w:val="006F74B4"/>
    <w:rsid w:val="007210EC"/>
    <w:rsid w:val="0073304B"/>
    <w:rsid w:val="00734D35"/>
    <w:rsid w:val="00736609"/>
    <w:rsid w:val="00742398"/>
    <w:rsid w:val="00745ECE"/>
    <w:rsid w:val="00746020"/>
    <w:rsid w:val="00760405"/>
    <w:rsid w:val="00761F87"/>
    <w:rsid w:val="00763270"/>
    <w:rsid w:val="00783B45"/>
    <w:rsid w:val="007B1C8A"/>
    <w:rsid w:val="007B245C"/>
    <w:rsid w:val="007C78FC"/>
    <w:rsid w:val="007E7EF3"/>
    <w:rsid w:val="00804D7A"/>
    <w:rsid w:val="00805FA4"/>
    <w:rsid w:val="00816DAC"/>
    <w:rsid w:val="0082083E"/>
    <w:rsid w:val="0083290E"/>
    <w:rsid w:val="00843FF2"/>
    <w:rsid w:val="008453AB"/>
    <w:rsid w:val="00854EEA"/>
    <w:rsid w:val="008551DA"/>
    <w:rsid w:val="00873171"/>
    <w:rsid w:val="008909B5"/>
    <w:rsid w:val="008A1133"/>
    <w:rsid w:val="008B1A22"/>
    <w:rsid w:val="008B1AAD"/>
    <w:rsid w:val="008D193F"/>
    <w:rsid w:val="008D6A3D"/>
    <w:rsid w:val="008E70AB"/>
    <w:rsid w:val="008F173C"/>
    <w:rsid w:val="00902F5E"/>
    <w:rsid w:val="009116DE"/>
    <w:rsid w:val="009328EA"/>
    <w:rsid w:val="00933A89"/>
    <w:rsid w:val="00946CCD"/>
    <w:rsid w:val="00955BB3"/>
    <w:rsid w:val="00960A70"/>
    <w:rsid w:val="00961DAA"/>
    <w:rsid w:val="00977A3E"/>
    <w:rsid w:val="009845C1"/>
    <w:rsid w:val="009A38AD"/>
    <w:rsid w:val="009C7E92"/>
    <w:rsid w:val="009D681B"/>
    <w:rsid w:val="009E030F"/>
    <w:rsid w:val="009F5CB0"/>
    <w:rsid w:val="00A142C7"/>
    <w:rsid w:val="00A148A1"/>
    <w:rsid w:val="00A23319"/>
    <w:rsid w:val="00A2450B"/>
    <w:rsid w:val="00A348E1"/>
    <w:rsid w:val="00A36C09"/>
    <w:rsid w:val="00A37C9F"/>
    <w:rsid w:val="00A45DF1"/>
    <w:rsid w:val="00A469FE"/>
    <w:rsid w:val="00A70123"/>
    <w:rsid w:val="00A71718"/>
    <w:rsid w:val="00A71AA1"/>
    <w:rsid w:val="00A76B07"/>
    <w:rsid w:val="00A81B98"/>
    <w:rsid w:val="00A81BFE"/>
    <w:rsid w:val="00A851BF"/>
    <w:rsid w:val="00A90305"/>
    <w:rsid w:val="00A948D4"/>
    <w:rsid w:val="00A94CBF"/>
    <w:rsid w:val="00A97494"/>
    <w:rsid w:val="00AA63A3"/>
    <w:rsid w:val="00AA74AB"/>
    <w:rsid w:val="00AB0FFE"/>
    <w:rsid w:val="00AB5EB7"/>
    <w:rsid w:val="00AC3CC8"/>
    <w:rsid w:val="00AD32F9"/>
    <w:rsid w:val="00AD4CCE"/>
    <w:rsid w:val="00AD4D97"/>
    <w:rsid w:val="00AE15C5"/>
    <w:rsid w:val="00AE2453"/>
    <w:rsid w:val="00AE4A93"/>
    <w:rsid w:val="00AF02AA"/>
    <w:rsid w:val="00AF4AE2"/>
    <w:rsid w:val="00B00115"/>
    <w:rsid w:val="00B05DFC"/>
    <w:rsid w:val="00B13158"/>
    <w:rsid w:val="00B22EC6"/>
    <w:rsid w:val="00B2572E"/>
    <w:rsid w:val="00B36EEA"/>
    <w:rsid w:val="00B40EC9"/>
    <w:rsid w:val="00B44F01"/>
    <w:rsid w:val="00B452CA"/>
    <w:rsid w:val="00B571FA"/>
    <w:rsid w:val="00B865DB"/>
    <w:rsid w:val="00BA4B55"/>
    <w:rsid w:val="00BD2DEA"/>
    <w:rsid w:val="00BF58A7"/>
    <w:rsid w:val="00C02228"/>
    <w:rsid w:val="00C11C9C"/>
    <w:rsid w:val="00C12C93"/>
    <w:rsid w:val="00C1575A"/>
    <w:rsid w:val="00C325F5"/>
    <w:rsid w:val="00C35ED7"/>
    <w:rsid w:val="00C3612B"/>
    <w:rsid w:val="00C43FB6"/>
    <w:rsid w:val="00C457E8"/>
    <w:rsid w:val="00C567C5"/>
    <w:rsid w:val="00C609B9"/>
    <w:rsid w:val="00C91A58"/>
    <w:rsid w:val="00CA73A9"/>
    <w:rsid w:val="00CD52EF"/>
    <w:rsid w:val="00CE2386"/>
    <w:rsid w:val="00CE42B4"/>
    <w:rsid w:val="00CE7347"/>
    <w:rsid w:val="00CF4ED9"/>
    <w:rsid w:val="00D05557"/>
    <w:rsid w:val="00D109F0"/>
    <w:rsid w:val="00D2497D"/>
    <w:rsid w:val="00D324FA"/>
    <w:rsid w:val="00D424FF"/>
    <w:rsid w:val="00D5308B"/>
    <w:rsid w:val="00D77712"/>
    <w:rsid w:val="00DA2EE0"/>
    <w:rsid w:val="00DA53DC"/>
    <w:rsid w:val="00DD43DD"/>
    <w:rsid w:val="00DE5263"/>
    <w:rsid w:val="00DF05A1"/>
    <w:rsid w:val="00E32408"/>
    <w:rsid w:val="00E324EC"/>
    <w:rsid w:val="00E344E0"/>
    <w:rsid w:val="00E61F54"/>
    <w:rsid w:val="00E77CDC"/>
    <w:rsid w:val="00E80F6E"/>
    <w:rsid w:val="00E831DE"/>
    <w:rsid w:val="00E845D4"/>
    <w:rsid w:val="00EA259F"/>
    <w:rsid w:val="00EB3DCF"/>
    <w:rsid w:val="00EC22CC"/>
    <w:rsid w:val="00EC36F7"/>
    <w:rsid w:val="00ED07C0"/>
    <w:rsid w:val="00ED1185"/>
    <w:rsid w:val="00ED30E8"/>
    <w:rsid w:val="00ED3D2A"/>
    <w:rsid w:val="00ED6B69"/>
    <w:rsid w:val="00EE34F4"/>
    <w:rsid w:val="00EF22A4"/>
    <w:rsid w:val="00EF37A4"/>
    <w:rsid w:val="00F00C50"/>
    <w:rsid w:val="00F14443"/>
    <w:rsid w:val="00F20BBD"/>
    <w:rsid w:val="00F26658"/>
    <w:rsid w:val="00F33FDB"/>
    <w:rsid w:val="00F34A73"/>
    <w:rsid w:val="00F37BB2"/>
    <w:rsid w:val="00F43983"/>
    <w:rsid w:val="00F51750"/>
    <w:rsid w:val="00F54EA0"/>
    <w:rsid w:val="00F71F8D"/>
    <w:rsid w:val="00F81965"/>
    <w:rsid w:val="00F92844"/>
    <w:rsid w:val="00F96EE9"/>
    <w:rsid w:val="00FA07F3"/>
    <w:rsid w:val="00FA1E3E"/>
    <w:rsid w:val="00FC30F8"/>
    <w:rsid w:val="00FE285D"/>
    <w:rsid w:val="00FE5DB0"/>
    <w:rsid w:val="00FE642F"/>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156EE3"/>
    <w:rPr>
      <w:color w:val="0563C1" w:themeColor="hyperlink"/>
      <w:u w:val="single"/>
    </w:rPr>
  </w:style>
  <w:style w:type="character" w:styleId="Mentionnonrsolue">
    <w:name w:val="Unresolved Mention"/>
    <w:basedOn w:val="Policepardfaut"/>
    <w:uiPriority w:val="99"/>
    <w:semiHidden/>
    <w:unhideWhenUsed/>
    <w:rsid w:val="00156EE3"/>
    <w:rPr>
      <w:color w:val="605E5C"/>
      <w:shd w:val="clear" w:color="auto" w:fill="E1DFDD"/>
    </w:rPr>
  </w:style>
  <w:style w:type="paragraph" w:styleId="NormalWeb">
    <w:name w:val="Normal (Web)"/>
    <w:basedOn w:val="Normal"/>
    <w:uiPriority w:val="99"/>
    <w:semiHidden/>
    <w:unhideWhenUsed/>
    <w:rsid w:val="000D72DA"/>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AE1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7802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3597965">
      <w:bodyDiv w:val="1"/>
      <w:marLeft w:val="0"/>
      <w:marRight w:val="0"/>
      <w:marTop w:val="0"/>
      <w:marBottom w:val="0"/>
      <w:divBdr>
        <w:top w:val="none" w:sz="0" w:space="0" w:color="auto"/>
        <w:left w:val="none" w:sz="0" w:space="0" w:color="auto"/>
        <w:bottom w:val="none" w:sz="0" w:space="0" w:color="auto"/>
        <w:right w:val="none" w:sz="0" w:space="0" w:color="auto"/>
      </w:divBdr>
    </w:div>
    <w:div w:id="702293248">
      <w:bodyDiv w:val="1"/>
      <w:marLeft w:val="0"/>
      <w:marRight w:val="0"/>
      <w:marTop w:val="0"/>
      <w:marBottom w:val="0"/>
      <w:divBdr>
        <w:top w:val="none" w:sz="0" w:space="0" w:color="auto"/>
        <w:left w:val="none" w:sz="0" w:space="0" w:color="auto"/>
        <w:bottom w:val="none" w:sz="0" w:space="0" w:color="auto"/>
        <w:right w:val="none" w:sz="0" w:space="0" w:color="auto"/>
      </w:divBdr>
    </w:div>
    <w:div w:id="1025015046">
      <w:bodyDiv w:val="1"/>
      <w:marLeft w:val="0"/>
      <w:marRight w:val="0"/>
      <w:marTop w:val="0"/>
      <w:marBottom w:val="0"/>
      <w:divBdr>
        <w:top w:val="none" w:sz="0" w:space="0" w:color="auto"/>
        <w:left w:val="none" w:sz="0" w:space="0" w:color="auto"/>
        <w:bottom w:val="none" w:sz="0" w:space="0" w:color="auto"/>
        <w:right w:val="none" w:sz="0" w:space="0" w:color="auto"/>
      </w:divBdr>
    </w:div>
    <w:div w:id="1406226210">
      <w:bodyDiv w:val="1"/>
      <w:marLeft w:val="0"/>
      <w:marRight w:val="0"/>
      <w:marTop w:val="0"/>
      <w:marBottom w:val="0"/>
      <w:divBdr>
        <w:top w:val="none" w:sz="0" w:space="0" w:color="auto"/>
        <w:left w:val="none" w:sz="0" w:space="0" w:color="auto"/>
        <w:bottom w:val="none" w:sz="0" w:space="0" w:color="auto"/>
        <w:right w:val="none" w:sz="0" w:space="0" w:color="auto"/>
      </w:divBdr>
    </w:div>
    <w:div w:id="1605839827">
      <w:bodyDiv w:val="1"/>
      <w:marLeft w:val="0"/>
      <w:marRight w:val="0"/>
      <w:marTop w:val="0"/>
      <w:marBottom w:val="0"/>
      <w:divBdr>
        <w:top w:val="none" w:sz="0" w:space="0" w:color="auto"/>
        <w:left w:val="none" w:sz="0" w:space="0" w:color="auto"/>
        <w:bottom w:val="none" w:sz="0" w:space="0" w:color="auto"/>
        <w:right w:val="none" w:sz="0" w:space="0" w:color="auto"/>
      </w:divBdr>
    </w:div>
    <w:div w:id="1629168666">
      <w:bodyDiv w:val="1"/>
      <w:marLeft w:val="0"/>
      <w:marRight w:val="0"/>
      <w:marTop w:val="0"/>
      <w:marBottom w:val="0"/>
      <w:divBdr>
        <w:top w:val="none" w:sz="0" w:space="0" w:color="auto"/>
        <w:left w:val="none" w:sz="0" w:space="0" w:color="auto"/>
        <w:bottom w:val="none" w:sz="0" w:space="0" w:color="auto"/>
        <w:right w:val="none" w:sz="0" w:space="0" w:color="auto"/>
      </w:divBdr>
    </w:div>
    <w:div w:id="1922442281">
      <w:bodyDiv w:val="1"/>
      <w:marLeft w:val="0"/>
      <w:marRight w:val="0"/>
      <w:marTop w:val="0"/>
      <w:marBottom w:val="0"/>
      <w:divBdr>
        <w:top w:val="none" w:sz="0" w:space="0" w:color="auto"/>
        <w:left w:val="none" w:sz="0" w:space="0" w:color="auto"/>
        <w:bottom w:val="none" w:sz="0" w:space="0" w:color="auto"/>
        <w:right w:val="none" w:sz="0" w:space="0" w:color="auto"/>
      </w:divBdr>
    </w:div>
    <w:div w:id="21309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1453</Words>
  <Characters>7996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2024-11-14T10:02:00Z</dcterms:created>
  <dcterms:modified xsi:type="dcterms:W3CDTF">2024-11-14T10:02:00Z</dcterms:modified>
</cp:coreProperties>
</file>