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1A92C" w14:textId="77777777" w:rsidR="008214C3" w:rsidRPr="008474A2" w:rsidRDefault="008214C3" w:rsidP="008214C3">
      <w:pPr>
        <w:rPr>
          <w:rFonts w:ascii="Aptos" w:eastAsia="Times New Roman" w:hAnsi="Aptos" w:cs="Times New Roman"/>
          <w:color w:val="212121"/>
          <w:kern w:val="0"/>
          <w:sz w:val="6"/>
          <w:szCs w:val="6"/>
          <w:lang w:eastAsia="fr-FR"/>
          <w14:ligatures w14:val="none"/>
        </w:rPr>
      </w:pPr>
    </w:p>
    <w:p w14:paraId="71C3BB9F" w14:textId="77777777" w:rsidR="008214C3" w:rsidRPr="00816DAC" w:rsidRDefault="008214C3" w:rsidP="008214C3">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185"/>
        <w:gridCol w:w="1831"/>
      </w:tblGrid>
      <w:tr w:rsidR="008214C3" w14:paraId="46C6F03C" w14:textId="77777777" w:rsidTr="00B72E23">
        <w:tc>
          <w:tcPr>
            <w:tcW w:w="9062" w:type="dxa"/>
            <w:gridSpan w:val="2"/>
          </w:tcPr>
          <w:p w14:paraId="7D01BD45" w14:textId="77777777" w:rsidR="008214C3" w:rsidRDefault="008214C3" w:rsidP="00B72E23">
            <w:pPr>
              <w:jc w:val="center"/>
              <w:rPr>
                <w:rFonts w:ascii="Verdana" w:hAnsi="Verdana"/>
                <w:b/>
                <w:bCs/>
                <w:sz w:val="20"/>
                <w:szCs w:val="20"/>
              </w:rPr>
            </w:pPr>
            <w:r>
              <w:rPr>
                <w:rFonts w:ascii="Verdana" w:hAnsi="Verdana"/>
                <w:b/>
                <w:bCs/>
                <w:sz w:val="20"/>
                <w:szCs w:val="20"/>
              </w:rPr>
              <w:t>SECURITE ALIMENTAIRE</w:t>
            </w:r>
          </w:p>
        </w:tc>
      </w:tr>
      <w:tr w:rsidR="008214C3" w14:paraId="51A08372" w14:textId="77777777" w:rsidTr="00B72E23">
        <w:tc>
          <w:tcPr>
            <w:tcW w:w="7225" w:type="dxa"/>
          </w:tcPr>
          <w:p w14:paraId="58FB047D" w14:textId="202C1D43" w:rsidR="008214C3" w:rsidRPr="00643D4E" w:rsidRDefault="00A979BB" w:rsidP="00B72E23">
            <w:pPr>
              <w:spacing w:after="100"/>
              <w:jc w:val="center"/>
              <w:rPr>
                <w:rFonts w:ascii="Verdana" w:hAnsi="Verdana"/>
                <w:i/>
                <w:iCs/>
                <w:sz w:val="20"/>
                <w:szCs w:val="20"/>
              </w:rPr>
            </w:pPr>
            <w:r>
              <w:rPr>
                <w:rFonts w:ascii="Verdana" w:hAnsi="Verdana"/>
                <w:i/>
                <w:iCs/>
                <w:sz w:val="20"/>
                <w:szCs w:val="20"/>
              </w:rPr>
              <w:t>Comité des Officiers permanents de liaison</w:t>
            </w:r>
            <w:r w:rsidR="008214C3">
              <w:rPr>
                <w:rFonts w:ascii="Verdana" w:hAnsi="Verdana"/>
                <w:i/>
                <w:iCs/>
                <w:sz w:val="20"/>
                <w:szCs w:val="20"/>
              </w:rPr>
              <w:t xml:space="preserve">, </w:t>
            </w:r>
            <w:r>
              <w:rPr>
                <w:rFonts w:ascii="Verdana" w:hAnsi="Verdana"/>
                <w:i/>
                <w:iCs/>
                <w:sz w:val="20"/>
                <w:szCs w:val="20"/>
              </w:rPr>
              <w:t xml:space="preserve">02-03 décembre </w:t>
            </w:r>
            <w:r w:rsidR="008214C3">
              <w:rPr>
                <w:rFonts w:ascii="Verdana" w:hAnsi="Verdana"/>
                <w:i/>
                <w:iCs/>
                <w:sz w:val="20"/>
                <w:szCs w:val="20"/>
              </w:rPr>
              <w:t>2024</w:t>
            </w:r>
          </w:p>
        </w:tc>
        <w:tc>
          <w:tcPr>
            <w:tcW w:w="1837" w:type="dxa"/>
          </w:tcPr>
          <w:p w14:paraId="30E80F52" w14:textId="4B5D5CCF" w:rsidR="008214C3" w:rsidRPr="002A0933" w:rsidRDefault="008214C3" w:rsidP="00B72E23">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2.</w:t>
            </w:r>
            <w:r w:rsidR="00643182">
              <w:rPr>
                <w:rFonts w:ascii="Verdana" w:hAnsi="Verdana"/>
                <w:sz w:val="20"/>
                <w:szCs w:val="20"/>
              </w:rPr>
              <w:t>9</w:t>
            </w:r>
          </w:p>
        </w:tc>
      </w:tr>
      <w:tr w:rsidR="008214C3" w14:paraId="4A60C0D6" w14:textId="77777777" w:rsidTr="00B72E23">
        <w:tc>
          <w:tcPr>
            <w:tcW w:w="7225" w:type="dxa"/>
          </w:tcPr>
          <w:p w14:paraId="15DF9145" w14:textId="77777777" w:rsidR="008214C3" w:rsidRPr="00A37C9F" w:rsidRDefault="008214C3" w:rsidP="00B72E23">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Marc MAMINIAINA, Chargé de mission.</w:t>
            </w:r>
          </w:p>
        </w:tc>
        <w:tc>
          <w:tcPr>
            <w:tcW w:w="1837" w:type="dxa"/>
          </w:tcPr>
          <w:p w14:paraId="3CD4CA46" w14:textId="5BE67C4D" w:rsidR="008214C3" w:rsidRPr="002A0933" w:rsidRDefault="00A979BB" w:rsidP="00B72E23">
            <w:pPr>
              <w:jc w:val="center"/>
              <w:rPr>
                <w:rFonts w:ascii="Verdana" w:hAnsi="Verdana"/>
                <w:sz w:val="20"/>
                <w:szCs w:val="20"/>
              </w:rPr>
            </w:pPr>
            <w:r>
              <w:rPr>
                <w:rFonts w:ascii="Verdana" w:hAnsi="Verdana"/>
                <w:sz w:val="20"/>
                <w:szCs w:val="20"/>
              </w:rPr>
              <w:t>Décision</w:t>
            </w:r>
          </w:p>
        </w:tc>
      </w:tr>
      <w:tr w:rsidR="008214C3" w14:paraId="39D0BC02" w14:textId="77777777" w:rsidTr="00B72E23">
        <w:tc>
          <w:tcPr>
            <w:tcW w:w="9062" w:type="dxa"/>
            <w:gridSpan w:val="2"/>
          </w:tcPr>
          <w:p w14:paraId="7CD2B0AC" w14:textId="47369821" w:rsidR="008214C3" w:rsidRDefault="008214C3" w:rsidP="00B72E23">
            <w:pPr>
              <w:rPr>
                <w:rFonts w:ascii="Verdana" w:hAnsi="Verdana"/>
                <w:sz w:val="20"/>
                <w:szCs w:val="20"/>
              </w:rPr>
            </w:pPr>
            <w:r>
              <w:rPr>
                <w:rFonts w:ascii="Verdana" w:hAnsi="Verdana"/>
                <w:i/>
                <w:iCs/>
                <w:sz w:val="20"/>
                <w:szCs w:val="20"/>
              </w:rPr>
              <w:t xml:space="preserve">Version du </w:t>
            </w:r>
            <w:r w:rsidR="00A979BB">
              <w:rPr>
                <w:rFonts w:ascii="Verdana" w:hAnsi="Verdana"/>
                <w:i/>
                <w:iCs/>
                <w:sz w:val="20"/>
                <w:szCs w:val="20"/>
              </w:rPr>
              <w:t>14</w:t>
            </w:r>
            <w:r>
              <w:rPr>
                <w:rFonts w:ascii="Verdana" w:hAnsi="Verdana"/>
                <w:i/>
                <w:iCs/>
                <w:sz w:val="20"/>
                <w:szCs w:val="20"/>
              </w:rPr>
              <w:t xml:space="preserve"> </w:t>
            </w:r>
            <w:r w:rsidR="00A979BB">
              <w:rPr>
                <w:rFonts w:ascii="Verdana" w:hAnsi="Verdana"/>
                <w:i/>
                <w:iCs/>
                <w:sz w:val="20"/>
                <w:szCs w:val="20"/>
              </w:rPr>
              <w:t>novembre</w:t>
            </w:r>
            <w:r>
              <w:rPr>
                <w:rFonts w:ascii="Verdana" w:hAnsi="Verdana"/>
                <w:i/>
                <w:iCs/>
                <w:sz w:val="20"/>
                <w:szCs w:val="20"/>
              </w:rPr>
              <w:t xml:space="preserve"> 2024 </w:t>
            </w:r>
          </w:p>
        </w:tc>
      </w:tr>
    </w:tbl>
    <w:p w14:paraId="17C9666E" w14:textId="77777777" w:rsidR="008214C3" w:rsidRPr="007731A0" w:rsidRDefault="008214C3" w:rsidP="008214C3">
      <w:pPr>
        <w:pStyle w:val="Paragraphe"/>
        <w:rPr>
          <w:sz w:val="22"/>
          <w:szCs w:val="22"/>
        </w:rPr>
      </w:pPr>
      <w:bookmarkStart w:id="0" w:name="_Hlk24535240"/>
    </w:p>
    <w:p w14:paraId="5260259D" w14:textId="77777777" w:rsidR="00B102BC" w:rsidRDefault="00B102BC" w:rsidP="00B102BC">
      <w:pPr>
        <w:pStyle w:val="Titrepartie"/>
        <w:rPr>
          <w:szCs w:val="22"/>
        </w:rPr>
      </w:pPr>
      <w:r>
        <w:rPr>
          <w:szCs w:val="22"/>
        </w:rPr>
        <w:t>Organisation de la conférence ministérielle PRESAN.</w:t>
      </w:r>
    </w:p>
    <w:p w14:paraId="4D8FCA3B" w14:textId="77777777" w:rsidR="00B102BC" w:rsidRDefault="00B102BC" w:rsidP="00B102BC">
      <w:pPr>
        <w:pStyle w:val="Titrepartie"/>
        <w:numPr>
          <w:ilvl w:val="0"/>
          <w:numId w:val="0"/>
        </w:numPr>
        <w:rPr>
          <w:szCs w:val="22"/>
        </w:rPr>
      </w:pPr>
    </w:p>
    <w:p w14:paraId="204E1D3E" w14:textId="4121A7C3" w:rsidR="00B102BC"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2914F7">
        <w:rPr>
          <w:rFonts w:cstheme="minorBidi"/>
          <w:b w:val="0"/>
          <w:bCs w:val="0"/>
          <w:iCs/>
          <w:color w:val="auto"/>
          <w:kern w:val="2"/>
          <w:sz w:val="20"/>
          <w14:ligatures w14:val="standardContextual"/>
        </w:rPr>
        <w:t>La conférence ministérielle PRESAN, prévue initialement pour le 29 novembre 2024 est reportée à la demande d’un État membre de la COI.</w:t>
      </w:r>
      <w:r>
        <w:rPr>
          <w:rFonts w:cstheme="minorBidi"/>
          <w:b w:val="0"/>
          <w:bCs w:val="0"/>
          <w:iCs/>
          <w:color w:val="auto"/>
          <w:kern w:val="2"/>
          <w:sz w:val="20"/>
          <w14:ligatures w14:val="standardContextual"/>
        </w:rPr>
        <w:t xml:space="preserve"> Les consultations sont en cours en vue de l’organisation de ladite conf</w:t>
      </w:r>
      <w:r w:rsidR="00A173D7">
        <w:rPr>
          <w:rFonts w:cstheme="minorBidi"/>
          <w:b w:val="0"/>
          <w:bCs w:val="0"/>
          <w:iCs/>
          <w:color w:val="auto"/>
          <w:kern w:val="2"/>
          <w:sz w:val="20"/>
          <w14:ligatures w14:val="standardContextual"/>
        </w:rPr>
        <w:t>é</w:t>
      </w:r>
      <w:r>
        <w:rPr>
          <w:rFonts w:cstheme="minorBidi"/>
          <w:b w:val="0"/>
          <w:bCs w:val="0"/>
          <w:iCs/>
          <w:color w:val="auto"/>
          <w:kern w:val="2"/>
          <w:sz w:val="20"/>
          <w14:ligatures w14:val="standardContextual"/>
        </w:rPr>
        <w:t>rence ministerielle en janvier 2025.</w:t>
      </w:r>
    </w:p>
    <w:p w14:paraId="612B604B" w14:textId="77777777"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 xml:space="preserve">Cette conférence ministérielle, sera précédée d’une réunion du comité de pilotage ainsi </w:t>
      </w:r>
      <w:proofErr w:type="gramStart"/>
      <w:r w:rsidRPr="00C952E7">
        <w:rPr>
          <w:rFonts w:cstheme="minorBidi"/>
          <w:b w:val="0"/>
          <w:bCs w:val="0"/>
          <w:iCs/>
          <w:color w:val="auto"/>
          <w:kern w:val="2"/>
          <w:sz w:val="20"/>
          <w14:ligatures w14:val="standardContextual"/>
        </w:rPr>
        <w:t>que</w:t>
      </w:r>
      <w:proofErr w:type="gramEnd"/>
      <w:r w:rsidRPr="00C952E7">
        <w:rPr>
          <w:rFonts w:cstheme="minorBidi"/>
          <w:b w:val="0"/>
          <w:bCs w:val="0"/>
          <w:iCs/>
          <w:color w:val="auto"/>
          <w:kern w:val="2"/>
          <w:sz w:val="20"/>
          <w14:ligatures w14:val="standardContextual"/>
        </w:rPr>
        <w:t xml:space="preserve"> d’une rencontre avec les partenaires techniques et financiers</w:t>
      </w:r>
    </w:p>
    <w:p w14:paraId="7728D8A9" w14:textId="77777777" w:rsidR="00B102BC" w:rsidRPr="00650A7A"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Elle a pour objectifs principaux de :</w:t>
      </w:r>
    </w:p>
    <w:p w14:paraId="750CCB25" w14:textId="789959F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Actualiser le mécanisme PRESAN en fonction des contextes actuels et des besoins émergents en </w:t>
      </w:r>
      <w:r w:rsidR="00A173D7" w:rsidRPr="00C952E7">
        <w:rPr>
          <w:rFonts w:ascii="Verdana" w:hAnsi="Verdana"/>
          <w:sz w:val="20"/>
          <w:szCs w:val="20"/>
        </w:rPr>
        <w:t xml:space="preserve">vue </w:t>
      </w:r>
      <w:r w:rsidR="00A173D7">
        <w:rPr>
          <w:rFonts w:ascii="Verdana" w:hAnsi="Verdana"/>
          <w:sz w:val="20"/>
          <w:szCs w:val="20"/>
        </w:rPr>
        <w:t xml:space="preserve">de </w:t>
      </w:r>
      <w:r w:rsidR="00A173D7" w:rsidRPr="00C952E7">
        <w:rPr>
          <w:rFonts w:ascii="Verdana" w:hAnsi="Verdana"/>
          <w:sz w:val="20"/>
          <w:szCs w:val="20"/>
        </w:rPr>
        <w:t>la</w:t>
      </w:r>
      <w:r w:rsidRPr="00C952E7">
        <w:rPr>
          <w:rFonts w:ascii="Verdana" w:hAnsi="Verdana"/>
          <w:sz w:val="20"/>
          <w:szCs w:val="20"/>
        </w:rPr>
        <w:t xml:space="preserve"> création d’un espace agricole régional de la </w:t>
      </w:r>
      <w:r w:rsidR="00A173D7" w:rsidRPr="00C952E7">
        <w:rPr>
          <w:rFonts w:ascii="Verdana" w:hAnsi="Verdana"/>
          <w:sz w:val="20"/>
          <w:szCs w:val="20"/>
        </w:rPr>
        <w:t>COI ;</w:t>
      </w:r>
    </w:p>
    <w:p w14:paraId="06DA3F1C" w14:textId="4ECE2886"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Renforcer l’appropriation du PRESAN par les États </w:t>
      </w:r>
      <w:r w:rsidR="00A173D7" w:rsidRPr="00C952E7">
        <w:rPr>
          <w:rFonts w:ascii="Verdana" w:hAnsi="Verdana"/>
          <w:sz w:val="20"/>
          <w:szCs w:val="20"/>
        </w:rPr>
        <w:t>membres ;</w:t>
      </w:r>
      <w:r w:rsidRPr="00C952E7">
        <w:rPr>
          <w:rFonts w:ascii="Verdana" w:hAnsi="Verdana"/>
          <w:sz w:val="20"/>
          <w:szCs w:val="20"/>
        </w:rPr>
        <w:t xml:space="preserve"> </w:t>
      </w:r>
    </w:p>
    <w:p w14:paraId="7DB3C19A" w14:textId="413FE778"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Assurer la pérennisation de l’URSAN et des plateformes techniques, scientifiques, et d’information déjà mises en </w:t>
      </w:r>
      <w:r w:rsidR="00A173D7" w:rsidRPr="00C952E7">
        <w:rPr>
          <w:rFonts w:ascii="Verdana" w:hAnsi="Verdana"/>
          <w:sz w:val="20"/>
          <w:szCs w:val="20"/>
        </w:rPr>
        <w:t>place ;</w:t>
      </w:r>
    </w:p>
    <w:p w14:paraId="74172621" w14:textId="4FBD55E5"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Identifier et structurer des projets concrets alignés aux facilités pour répondre aux besoins des États membres et exploiter pleinement les acquis/résultats déjà obtenus du </w:t>
      </w:r>
      <w:r w:rsidR="00A173D7" w:rsidRPr="00C952E7">
        <w:rPr>
          <w:rFonts w:ascii="Verdana" w:hAnsi="Verdana"/>
          <w:sz w:val="20"/>
          <w:szCs w:val="20"/>
        </w:rPr>
        <w:t>PRESAN ;</w:t>
      </w:r>
    </w:p>
    <w:p w14:paraId="371EC37D" w14:textId="4C1AA823"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Promouvoir l’engagement fort des décideurs des États </w:t>
      </w:r>
      <w:r w:rsidR="00A173D7" w:rsidRPr="00C952E7">
        <w:rPr>
          <w:rFonts w:ascii="Verdana" w:hAnsi="Verdana"/>
          <w:sz w:val="20"/>
          <w:szCs w:val="20"/>
        </w:rPr>
        <w:t>membres.</w:t>
      </w:r>
    </w:p>
    <w:p w14:paraId="1E89B369" w14:textId="77777777" w:rsidR="00B102BC" w:rsidRPr="00C952E7" w:rsidRDefault="00B102BC" w:rsidP="00C20571">
      <w:pPr>
        <w:pStyle w:val="Sous-partie2"/>
        <w:numPr>
          <w:ilvl w:val="0"/>
          <w:numId w:val="0"/>
        </w:numPr>
        <w:spacing w:after="120" w:line="276" w:lineRule="auto"/>
        <w:contextualSpacing w:val="0"/>
        <w:rPr>
          <w:rFonts w:cstheme="minorBidi"/>
          <w:color w:val="auto"/>
          <w:kern w:val="2"/>
          <w14:ligatures w14:val="standardContextual"/>
        </w:rPr>
      </w:pPr>
      <w:r w:rsidRPr="00C952E7">
        <w:rPr>
          <w:rFonts w:cstheme="minorBidi"/>
          <w:color w:val="auto"/>
          <w:kern w:val="2"/>
          <w14:ligatures w14:val="standardContextual"/>
        </w:rPr>
        <w:t>Les résultats attendus s’articulent autour de la création d’un espace agricole régional commun de la COI, le renforcement de l’appropriation du PRESAN par les États membres, la pérennisation de l’URSAN et des plateformes régionales, l’actualisation du PRESAN en fonction des besoins actuels</w:t>
      </w:r>
      <w:r>
        <w:rPr>
          <w:rFonts w:cstheme="minorBidi"/>
          <w:color w:val="auto"/>
          <w:kern w:val="2"/>
          <w14:ligatures w14:val="standardContextual"/>
        </w:rPr>
        <w:t xml:space="preserve"> et </w:t>
      </w:r>
      <w:r w:rsidRPr="00C952E7">
        <w:rPr>
          <w:rFonts w:cstheme="minorBidi"/>
          <w:color w:val="auto"/>
          <w:kern w:val="2"/>
          <w14:ligatures w14:val="standardContextual"/>
        </w:rPr>
        <w:t>l’identification de projets concrets et mobilisation des ressources.</w:t>
      </w:r>
    </w:p>
    <w:p w14:paraId="5D544224" w14:textId="77777777" w:rsidR="00B102BC" w:rsidRPr="00C952E7" w:rsidRDefault="00B102BC" w:rsidP="00C20571">
      <w:pPr>
        <w:pStyle w:val="Sous-partie2"/>
        <w:numPr>
          <w:ilvl w:val="0"/>
          <w:numId w:val="0"/>
        </w:numPr>
        <w:spacing w:after="120" w:line="276" w:lineRule="auto"/>
        <w:contextualSpacing w:val="0"/>
        <w:rPr>
          <w:rFonts w:cstheme="minorBidi"/>
          <w:color w:val="auto"/>
          <w:kern w:val="2"/>
          <w14:ligatures w14:val="standardContextual"/>
        </w:rPr>
      </w:pPr>
      <w:r w:rsidRPr="00C952E7">
        <w:rPr>
          <w:rFonts w:cstheme="minorBidi"/>
          <w:color w:val="auto"/>
          <w:kern w:val="2"/>
          <w14:ligatures w14:val="standardContextual"/>
        </w:rPr>
        <w:t xml:space="preserve">L’un des principaux résultats attendus de la prochaine conférence ministérielle PRESAN consiste à la </w:t>
      </w:r>
      <w:r>
        <w:rPr>
          <w:rFonts w:cstheme="minorBidi"/>
          <w:color w:val="auto"/>
          <w:kern w:val="2"/>
          <w14:ligatures w14:val="standardContextual"/>
        </w:rPr>
        <w:t>p</w:t>
      </w:r>
      <w:r w:rsidRPr="00C952E7">
        <w:rPr>
          <w:rFonts w:cstheme="minorBidi"/>
          <w:color w:val="auto"/>
          <w:kern w:val="2"/>
          <w14:ligatures w14:val="standardContextual"/>
        </w:rPr>
        <w:t>réparation du Sommet des Chefs d’État et de Gouvernement en 2025, à travers, entre autres :</w:t>
      </w:r>
    </w:p>
    <w:p w14:paraId="5F67E6BB" w14:textId="7777777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L’élaboration de recommandations concrètes pour chaque partie prenante, afin de garantir un engagement fort sur la sécurité alimentaire dans la région pour les années à venir (post-2025).</w:t>
      </w:r>
    </w:p>
    <w:p w14:paraId="300B8933" w14:textId="7777777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La préparation et </w:t>
      </w:r>
      <w:r>
        <w:rPr>
          <w:rFonts w:ascii="Verdana" w:hAnsi="Verdana"/>
          <w:sz w:val="20"/>
          <w:szCs w:val="20"/>
        </w:rPr>
        <w:t xml:space="preserve">la </w:t>
      </w:r>
      <w:r w:rsidRPr="00C952E7">
        <w:rPr>
          <w:rFonts w:ascii="Verdana" w:hAnsi="Verdana"/>
          <w:sz w:val="20"/>
          <w:szCs w:val="20"/>
        </w:rPr>
        <w:t>validation d’une déclaration ministérielle qui servira de base aux engagements des Chefs d’État.</w:t>
      </w:r>
    </w:p>
    <w:p w14:paraId="459B2745" w14:textId="7777777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La préparation d’un projet de déclaration des Chefs d’État et de Gouvernement des États membres de la COI sur la sécurité alimentaire de l’Indianocéanie.</w:t>
      </w:r>
    </w:p>
    <w:p w14:paraId="2D75BAAE" w14:textId="77777777"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Le Secretariat g</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n</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 xml:space="preserve">ral, en collaboration </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troite avec la FAO, à déjà pris toutes les dispositions n</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c</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ssaires en vue de la pr</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paration techinique et logistique de la conf</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rence ministerielle.</w:t>
      </w:r>
    </w:p>
    <w:p w14:paraId="215B64CF" w14:textId="696EA7AA"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Tous les documents de la conf</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 xml:space="preserve">rence sont déjà finalisés (note conceptuelle, projet d’agenda). </w:t>
      </w:r>
    </w:p>
    <w:p w14:paraId="41C222E9" w14:textId="77777777"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lastRenderedPageBreak/>
        <w:t>Les Etats membres de la COI devraient se convenir d’une nouvelle date en vue de l’organisation de cette conf</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 xml:space="preserve">rence ministérielle. </w:t>
      </w:r>
    </w:p>
    <w:p w14:paraId="4FC216B1" w14:textId="77777777" w:rsidR="00B102BC" w:rsidRPr="00C952E7" w:rsidRDefault="00B102BC" w:rsidP="00B102BC">
      <w:pPr>
        <w:pStyle w:val="Titrepartie"/>
        <w:numPr>
          <w:ilvl w:val="0"/>
          <w:numId w:val="0"/>
        </w:numPr>
        <w:rPr>
          <w:rFonts w:cstheme="minorBidi"/>
          <w:b w:val="0"/>
          <w:bCs w:val="0"/>
          <w:iCs/>
          <w:color w:val="auto"/>
          <w:kern w:val="2"/>
          <w:sz w:val="20"/>
          <w14:ligatures w14:val="standardContextual"/>
        </w:rPr>
      </w:pPr>
    </w:p>
    <w:p w14:paraId="246B4B4D" w14:textId="02B7D7B3" w:rsidR="008214C3" w:rsidRPr="007731A0" w:rsidRDefault="008214C3" w:rsidP="008214C3">
      <w:pPr>
        <w:pStyle w:val="Titrepartie"/>
        <w:rPr>
          <w:szCs w:val="22"/>
        </w:rPr>
      </w:pPr>
      <w:r w:rsidRPr="007731A0">
        <w:rPr>
          <w:szCs w:val="22"/>
        </w:rPr>
        <w:t xml:space="preserve">État de lieux de la mise en œuvre du programme </w:t>
      </w:r>
      <w:r>
        <w:rPr>
          <w:szCs w:val="22"/>
        </w:rPr>
        <w:t xml:space="preserve">d’appui à la </w:t>
      </w:r>
      <w:r w:rsidRPr="007731A0">
        <w:rPr>
          <w:szCs w:val="22"/>
        </w:rPr>
        <w:t>sécurité alimentaire et nutritionnelle (</w:t>
      </w:r>
      <w:r>
        <w:rPr>
          <w:szCs w:val="22"/>
        </w:rPr>
        <w:t>SANOI</w:t>
      </w:r>
      <w:r w:rsidRPr="007731A0">
        <w:rPr>
          <w:szCs w:val="22"/>
        </w:rPr>
        <w:t>)</w:t>
      </w:r>
    </w:p>
    <w:p w14:paraId="0921588D" w14:textId="762127F5" w:rsidR="00234834" w:rsidRDefault="008214C3" w:rsidP="008214C3">
      <w:pPr>
        <w:jc w:val="both"/>
        <w:rPr>
          <w:rFonts w:ascii="Verdana" w:hAnsi="Verdana"/>
          <w:iCs/>
          <w:sz w:val="20"/>
          <w:szCs w:val="20"/>
        </w:rPr>
      </w:pPr>
      <w:r>
        <w:rPr>
          <w:rFonts w:ascii="Verdana" w:hAnsi="Verdana"/>
          <w:iCs/>
          <w:sz w:val="20"/>
          <w:szCs w:val="20"/>
        </w:rPr>
        <w:t>L</w:t>
      </w:r>
      <w:r w:rsidRPr="008474A2">
        <w:rPr>
          <w:rFonts w:ascii="Verdana" w:hAnsi="Verdana"/>
          <w:iCs/>
          <w:sz w:val="20"/>
          <w:szCs w:val="20"/>
        </w:rPr>
        <w:t>e programme SANOI est mis en œuvre par l</w:t>
      </w:r>
      <w:r w:rsidR="00643182">
        <w:rPr>
          <w:rFonts w:ascii="Verdana" w:hAnsi="Verdana"/>
          <w:iCs/>
          <w:sz w:val="20"/>
          <w:szCs w:val="20"/>
        </w:rPr>
        <w:t>a Délégation de l’Union européenne (</w:t>
      </w:r>
      <w:r w:rsidRPr="008474A2">
        <w:rPr>
          <w:rFonts w:ascii="Verdana" w:hAnsi="Verdana"/>
          <w:iCs/>
          <w:sz w:val="20"/>
          <w:szCs w:val="20"/>
        </w:rPr>
        <w:t>DUE</w:t>
      </w:r>
      <w:r w:rsidR="00643182">
        <w:rPr>
          <w:rFonts w:ascii="Verdana" w:hAnsi="Verdana"/>
          <w:iCs/>
          <w:sz w:val="20"/>
          <w:szCs w:val="20"/>
        </w:rPr>
        <w:t>)</w:t>
      </w:r>
      <w:r w:rsidRPr="008474A2">
        <w:rPr>
          <w:rFonts w:ascii="Verdana" w:hAnsi="Verdana"/>
          <w:iCs/>
          <w:sz w:val="20"/>
          <w:szCs w:val="20"/>
        </w:rPr>
        <w:t xml:space="preserve"> pour une periode de cinq ans</w:t>
      </w:r>
      <w:r w:rsidR="00234834">
        <w:rPr>
          <w:rFonts w:ascii="Verdana" w:hAnsi="Verdana"/>
          <w:iCs/>
          <w:sz w:val="20"/>
          <w:szCs w:val="20"/>
        </w:rPr>
        <w:t xml:space="preserve"> </w:t>
      </w:r>
      <w:r w:rsidRPr="008474A2">
        <w:rPr>
          <w:rFonts w:ascii="Verdana" w:hAnsi="Verdana"/>
          <w:iCs/>
          <w:sz w:val="20"/>
          <w:szCs w:val="20"/>
        </w:rPr>
        <w:t xml:space="preserve">(2020 - 2025). </w:t>
      </w:r>
      <w:r w:rsidR="00234834">
        <w:rPr>
          <w:rFonts w:ascii="Verdana" w:hAnsi="Verdana"/>
          <w:iCs/>
          <w:sz w:val="20"/>
          <w:szCs w:val="20"/>
        </w:rPr>
        <w:t xml:space="preserve">La clôture de ce programme est prevue en mars 2025. </w:t>
      </w:r>
    </w:p>
    <w:p w14:paraId="0A9DC734" w14:textId="77777777" w:rsidR="00234834" w:rsidRDefault="00234834" w:rsidP="008214C3">
      <w:pPr>
        <w:jc w:val="both"/>
        <w:rPr>
          <w:rFonts w:ascii="Verdana" w:hAnsi="Verdana"/>
          <w:iCs/>
          <w:sz w:val="20"/>
          <w:szCs w:val="20"/>
        </w:rPr>
      </w:pPr>
    </w:p>
    <w:p w14:paraId="19562489" w14:textId="317CE39C" w:rsidR="00F83854" w:rsidRPr="00A979BB" w:rsidRDefault="00F83854" w:rsidP="00F83854">
      <w:pPr>
        <w:jc w:val="both"/>
        <w:rPr>
          <w:rFonts w:ascii="Verdana" w:hAnsi="Verdana"/>
          <w:iCs/>
          <w:sz w:val="20"/>
          <w:szCs w:val="20"/>
        </w:rPr>
      </w:pPr>
      <w:r>
        <w:rPr>
          <w:rFonts w:ascii="Verdana" w:hAnsi="Verdana"/>
          <w:iCs/>
          <w:sz w:val="20"/>
          <w:szCs w:val="20"/>
        </w:rPr>
        <w:t xml:space="preserve">L’une des composantes du programme SANOI consiste à </w:t>
      </w:r>
      <w:r w:rsidRPr="00A979BB">
        <w:rPr>
          <w:rFonts w:ascii="Verdana" w:hAnsi="Verdana"/>
          <w:iCs/>
          <w:sz w:val="20"/>
          <w:szCs w:val="20"/>
        </w:rPr>
        <w:t xml:space="preserve">la mise en place d'un réseau de systèmes d'information sur l'agriculture, la sécurité alimentaire et nutritionnelle dans les îles de </w:t>
      </w:r>
      <w:proofErr w:type="gramStart"/>
      <w:r w:rsidRPr="00A979BB">
        <w:rPr>
          <w:rFonts w:ascii="Verdana" w:hAnsi="Verdana"/>
          <w:iCs/>
          <w:sz w:val="20"/>
          <w:szCs w:val="20"/>
        </w:rPr>
        <w:t>l'Océan</w:t>
      </w:r>
      <w:proofErr w:type="gramEnd"/>
      <w:r w:rsidRPr="00A979BB">
        <w:rPr>
          <w:rFonts w:ascii="Verdana" w:hAnsi="Verdana"/>
          <w:iCs/>
          <w:sz w:val="20"/>
          <w:szCs w:val="20"/>
        </w:rPr>
        <w:t xml:space="preserve"> Indien (Comores, Madagascar, Maurice et Seychelles). La FAO assure l'assistance technique pour la mise en </w:t>
      </w:r>
      <w:r w:rsidR="00C17E76" w:rsidRPr="00A979BB">
        <w:rPr>
          <w:rFonts w:ascii="Verdana" w:hAnsi="Verdana"/>
          <w:iCs/>
          <w:sz w:val="20"/>
          <w:szCs w:val="20"/>
        </w:rPr>
        <w:t>œuvre</w:t>
      </w:r>
      <w:r w:rsidRPr="00A979BB">
        <w:rPr>
          <w:rFonts w:ascii="Verdana" w:hAnsi="Verdana"/>
          <w:iCs/>
          <w:sz w:val="20"/>
          <w:szCs w:val="20"/>
        </w:rPr>
        <w:t xml:space="preserve"> du</w:t>
      </w:r>
      <w:r w:rsidR="00C17E76" w:rsidRPr="00A979BB">
        <w:rPr>
          <w:rFonts w:ascii="Verdana" w:hAnsi="Verdana"/>
          <w:iCs/>
          <w:sz w:val="20"/>
          <w:szCs w:val="20"/>
        </w:rPr>
        <w:t>dit</w:t>
      </w:r>
      <w:r w:rsidRPr="00A979BB">
        <w:rPr>
          <w:rFonts w:ascii="Verdana" w:hAnsi="Verdana"/>
          <w:iCs/>
          <w:sz w:val="20"/>
          <w:szCs w:val="20"/>
        </w:rPr>
        <w:t xml:space="preserve"> projet</w:t>
      </w:r>
      <w:r w:rsidR="00C17E76" w:rsidRPr="00A979BB">
        <w:rPr>
          <w:rFonts w:ascii="Verdana" w:hAnsi="Verdana"/>
          <w:iCs/>
          <w:sz w:val="20"/>
          <w:szCs w:val="20"/>
        </w:rPr>
        <w:t xml:space="preserve"> en </w:t>
      </w:r>
      <w:r w:rsidRPr="00A979BB">
        <w:rPr>
          <w:rFonts w:ascii="Verdana" w:hAnsi="Verdana"/>
          <w:iCs/>
          <w:sz w:val="20"/>
          <w:szCs w:val="20"/>
        </w:rPr>
        <w:t xml:space="preserve">coordonnant les activités par l'intermédiaire de son bureau à Madagascar, avec une assistance technique fournie dans chaque pays. </w:t>
      </w:r>
      <w:r w:rsidR="00C17E76" w:rsidRPr="00A979BB">
        <w:rPr>
          <w:rFonts w:ascii="Verdana" w:hAnsi="Verdana"/>
          <w:iCs/>
          <w:sz w:val="20"/>
          <w:szCs w:val="20"/>
        </w:rPr>
        <w:t>Les termes de référence de la task force régionale de gestion et de coordination de cette plateforme sont soumis p</w:t>
      </w:r>
      <w:r w:rsidR="00643182">
        <w:rPr>
          <w:rFonts w:ascii="Verdana" w:hAnsi="Verdana"/>
          <w:iCs/>
          <w:sz w:val="20"/>
          <w:szCs w:val="20"/>
        </w:rPr>
        <w:t>our</w:t>
      </w:r>
      <w:r w:rsidR="00C17E76" w:rsidRPr="00A979BB">
        <w:rPr>
          <w:rFonts w:ascii="Verdana" w:hAnsi="Verdana"/>
          <w:iCs/>
          <w:sz w:val="20"/>
          <w:szCs w:val="20"/>
        </w:rPr>
        <w:t xml:space="preserve"> validation des États membres de la COI.</w:t>
      </w:r>
    </w:p>
    <w:p w14:paraId="18C44AD4" w14:textId="77777777" w:rsidR="00F83854" w:rsidRDefault="00F83854" w:rsidP="00F83854">
      <w:pPr>
        <w:jc w:val="both"/>
        <w:rPr>
          <w:rFonts w:ascii="Verdana" w:hAnsi="Verdana"/>
          <w:iCs/>
          <w:sz w:val="20"/>
          <w:szCs w:val="20"/>
        </w:rPr>
      </w:pPr>
    </w:p>
    <w:p w14:paraId="7214BDFB" w14:textId="6B1BA5D5" w:rsidR="00B51EC7" w:rsidRPr="00643182" w:rsidRDefault="00C17E76" w:rsidP="00B51EC7">
      <w:pPr>
        <w:jc w:val="both"/>
        <w:rPr>
          <w:rFonts w:ascii="Verdana" w:hAnsi="Verdana"/>
          <w:iCs/>
          <w:sz w:val="20"/>
          <w:szCs w:val="20"/>
        </w:rPr>
      </w:pPr>
      <w:r>
        <w:rPr>
          <w:rFonts w:ascii="Verdana" w:hAnsi="Verdana"/>
          <w:iCs/>
          <w:sz w:val="20"/>
          <w:szCs w:val="20"/>
        </w:rPr>
        <w:t xml:space="preserve">En outre, </w:t>
      </w:r>
      <w:r w:rsidR="00D10856">
        <w:rPr>
          <w:rFonts w:ascii="Verdana" w:hAnsi="Verdana"/>
          <w:iCs/>
          <w:sz w:val="20"/>
          <w:szCs w:val="20"/>
        </w:rPr>
        <w:t>le programme SANOI a pr</w:t>
      </w:r>
      <w:r w:rsidR="00643182">
        <w:rPr>
          <w:rFonts w:ascii="Verdana" w:hAnsi="Verdana"/>
          <w:iCs/>
          <w:sz w:val="20"/>
          <w:szCs w:val="20"/>
        </w:rPr>
        <w:t>é</w:t>
      </w:r>
      <w:r w:rsidR="00D10856">
        <w:rPr>
          <w:rFonts w:ascii="Verdana" w:hAnsi="Verdana"/>
          <w:iCs/>
          <w:sz w:val="20"/>
          <w:szCs w:val="20"/>
        </w:rPr>
        <w:t xml:space="preserve">vu </w:t>
      </w:r>
      <w:r w:rsidR="00B51EC7">
        <w:rPr>
          <w:rFonts w:ascii="Verdana" w:hAnsi="Verdana"/>
          <w:iCs/>
          <w:sz w:val="20"/>
          <w:szCs w:val="20"/>
        </w:rPr>
        <w:t xml:space="preserve">également </w:t>
      </w:r>
      <w:r w:rsidR="00D10856" w:rsidRPr="00A979BB">
        <w:rPr>
          <w:rFonts w:ascii="Verdana" w:hAnsi="Verdana"/>
          <w:iCs/>
          <w:sz w:val="20"/>
          <w:szCs w:val="20"/>
        </w:rPr>
        <w:t>le renforcement de la sûreté alimentaire et la sécurité sanitaire au niveau régional</w:t>
      </w:r>
      <w:r w:rsidR="00B51EC7" w:rsidRPr="00A979BB">
        <w:rPr>
          <w:rFonts w:ascii="Verdana" w:hAnsi="Verdana"/>
          <w:iCs/>
          <w:sz w:val="20"/>
          <w:szCs w:val="20"/>
        </w:rPr>
        <w:t>. A ce titre, u</w:t>
      </w:r>
      <w:r w:rsidR="00B51EC7" w:rsidRPr="00B51EC7">
        <w:rPr>
          <w:rFonts w:ascii="Verdana" w:hAnsi="Verdana"/>
          <w:iCs/>
          <w:sz w:val="20"/>
          <w:szCs w:val="20"/>
        </w:rPr>
        <w:t xml:space="preserve">ne consultation a été lancée </w:t>
      </w:r>
      <w:r w:rsidR="00B51EC7">
        <w:rPr>
          <w:rFonts w:ascii="Verdana" w:hAnsi="Verdana"/>
          <w:iCs/>
          <w:sz w:val="20"/>
          <w:szCs w:val="20"/>
        </w:rPr>
        <w:t xml:space="preserve">en vue de la </w:t>
      </w:r>
      <w:r w:rsidR="00B51EC7" w:rsidRPr="00B51EC7">
        <w:rPr>
          <w:rFonts w:ascii="Verdana" w:hAnsi="Verdana"/>
          <w:iCs/>
          <w:sz w:val="20"/>
          <w:szCs w:val="20"/>
        </w:rPr>
        <w:t xml:space="preserve">création et la mise en œuvre d’une plateforme interactive d’échange d’information, pour le réseau des laboratoires officiels de contrôle des produits alimentaires des </w:t>
      </w:r>
      <w:r w:rsidR="00B51EC7">
        <w:rPr>
          <w:rFonts w:ascii="Verdana" w:hAnsi="Verdana"/>
          <w:iCs/>
          <w:sz w:val="20"/>
          <w:szCs w:val="20"/>
        </w:rPr>
        <w:t>E</w:t>
      </w:r>
      <w:r w:rsidR="00B51EC7" w:rsidRPr="00B51EC7">
        <w:rPr>
          <w:rFonts w:ascii="Verdana" w:hAnsi="Verdana"/>
          <w:iCs/>
          <w:sz w:val="20"/>
          <w:szCs w:val="20"/>
        </w:rPr>
        <w:t xml:space="preserve">tats membres de la </w:t>
      </w:r>
      <w:r w:rsidR="00643182">
        <w:rPr>
          <w:rFonts w:ascii="Verdana" w:hAnsi="Verdana"/>
          <w:iCs/>
          <w:sz w:val="20"/>
          <w:szCs w:val="20"/>
        </w:rPr>
        <w:t xml:space="preserve">COI. </w:t>
      </w:r>
    </w:p>
    <w:p w14:paraId="5C3D3A3E" w14:textId="77777777" w:rsidR="00B51EC7" w:rsidRDefault="00B51EC7" w:rsidP="00B51EC7">
      <w:pPr>
        <w:jc w:val="both"/>
        <w:rPr>
          <w:rFonts w:ascii="Verdana" w:hAnsi="Verdana"/>
          <w:iCs/>
          <w:sz w:val="20"/>
          <w:szCs w:val="20"/>
        </w:rPr>
      </w:pPr>
    </w:p>
    <w:p w14:paraId="1D6064DC" w14:textId="77777777" w:rsidR="008214C3" w:rsidRPr="007731A0" w:rsidRDefault="008214C3" w:rsidP="008214C3">
      <w:pPr>
        <w:ind w:right="399"/>
        <w:jc w:val="both"/>
        <w:rPr>
          <w:rFonts w:ascii="Verdana" w:hAnsi="Verdana"/>
          <w:sz w:val="22"/>
          <w:szCs w:val="22"/>
        </w:rPr>
      </w:pPr>
    </w:p>
    <w:p w14:paraId="5D8BF0F9" w14:textId="3650803B" w:rsidR="00B51EC7" w:rsidRPr="00B51EC7" w:rsidRDefault="00F83854" w:rsidP="00B51EC7">
      <w:pPr>
        <w:pStyle w:val="Titrepartie"/>
      </w:pPr>
      <w:r w:rsidRPr="00B51EC7">
        <w:t>STAT SANOI</w:t>
      </w:r>
      <w:r w:rsidR="00B51EC7">
        <w:t xml:space="preserve"> : </w:t>
      </w:r>
      <w:r w:rsidRPr="00B51EC7">
        <w:t>un système d'information sur l'agriculture et la sécurité alimentaire et nutritionnelle</w:t>
      </w:r>
      <w:r w:rsidR="00B51EC7" w:rsidRPr="00B51EC7">
        <w:t xml:space="preserve"> dans les pays de l'océan Indien (Comores, Madagascar, Maurice et Seychelles)</w:t>
      </w:r>
    </w:p>
    <w:p w14:paraId="201E3D10" w14:textId="5CA86C6D" w:rsidR="00F83854" w:rsidRPr="00B51EC7" w:rsidRDefault="00F83854" w:rsidP="00B51EC7">
      <w:pPr>
        <w:pStyle w:val="Titrepartie"/>
        <w:numPr>
          <w:ilvl w:val="0"/>
          <w:numId w:val="0"/>
        </w:numPr>
        <w:ind w:left="720"/>
        <w:rPr>
          <w:szCs w:val="22"/>
        </w:rPr>
      </w:pPr>
      <w:r w:rsidRPr="00B51EC7">
        <w:rPr>
          <w:szCs w:val="22"/>
        </w:rPr>
        <w:t xml:space="preserve"> </w:t>
      </w:r>
    </w:p>
    <w:p w14:paraId="427EDB5A" w14:textId="6954FB53" w:rsidR="00F83854" w:rsidRPr="00A979BB" w:rsidRDefault="00F83854" w:rsidP="00F83854">
      <w:pPr>
        <w:jc w:val="both"/>
        <w:rPr>
          <w:rFonts w:ascii="Verdana" w:hAnsi="Verdana"/>
          <w:iCs/>
          <w:sz w:val="20"/>
          <w:szCs w:val="20"/>
        </w:rPr>
      </w:pPr>
      <w:r w:rsidRPr="00A979BB">
        <w:rPr>
          <w:rFonts w:ascii="Verdana" w:hAnsi="Verdana"/>
          <w:iCs/>
          <w:sz w:val="20"/>
          <w:szCs w:val="20"/>
        </w:rPr>
        <w:t>L'objectif global du</w:t>
      </w:r>
      <w:r w:rsidR="00B51EC7" w:rsidRPr="00A979BB">
        <w:rPr>
          <w:rFonts w:ascii="Verdana" w:hAnsi="Verdana"/>
          <w:iCs/>
          <w:sz w:val="20"/>
          <w:szCs w:val="20"/>
        </w:rPr>
        <w:t>dit</w:t>
      </w:r>
      <w:r w:rsidRPr="00A979BB">
        <w:rPr>
          <w:rFonts w:ascii="Verdana" w:hAnsi="Verdana"/>
          <w:iCs/>
          <w:sz w:val="20"/>
          <w:szCs w:val="20"/>
        </w:rPr>
        <w:t xml:space="preserve"> projet est d'améliorer la prise de décision basée sur des preuves et la planification stratégique aux niveaux national et régional concernant l'agriculture, la sécurité alimentaire et nutritionnelle aux Comores, à Madagascar, à Maurice et aux Seychelles.</w:t>
      </w:r>
    </w:p>
    <w:p w14:paraId="3B90E8C6" w14:textId="77777777" w:rsidR="0003111B" w:rsidRDefault="0003111B" w:rsidP="00F83854">
      <w:pPr>
        <w:jc w:val="both"/>
        <w:rPr>
          <w:rFonts w:ascii="Verdana" w:hAnsi="Verdana"/>
          <w:iCs/>
          <w:sz w:val="20"/>
          <w:szCs w:val="20"/>
        </w:rPr>
      </w:pPr>
    </w:p>
    <w:p w14:paraId="17B1EA68" w14:textId="495AE287" w:rsidR="00F83854" w:rsidRPr="00A979BB" w:rsidRDefault="00F83854" w:rsidP="00F83854">
      <w:pPr>
        <w:jc w:val="both"/>
        <w:rPr>
          <w:rFonts w:ascii="Verdana" w:hAnsi="Verdana"/>
          <w:iCs/>
          <w:sz w:val="20"/>
          <w:szCs w:val="20"/>
        </w:rPr>
      </w:pPr>
      <w:r w:rsidRPr="00A979BB">
        <w:rPr>
          <w:rFonts w:ascii="Verdana" w:hAnsi="Verdana"/>
          <w:iCs/>
          <w:sz w:val="20"/>
          <w:szCs w:val="20"/>
        </w:rPr>
        <w:t xml:space="preserve">Les objectifs spécifiques </w:t>
      </w:r>
      <w:r w:rsidR="00B51EC7" w:rsidRPr="00A979BB">
        <w:rPr>
          <w:rFonts w:ascii="Verdana" w:hAnsi="Verdana"/>
          <w:iCs/>
          <w:sz w:val="20"/>
          <w:szCs w:val="20"/>
        </w:rPr>
        <w:t xml:space="preserve">consistent à </w:t>
      </w:r>
      <w:r w:rsidRPr="00A979BB">
        <w:rPr>
          <w:rFonts w:ascii="Verdana" w:hAnsi="Verdana"/>
          <w:iCs/>
          <w:sz w:val="20"/>
          <w:szCs w:val="20"/>
        </w:rPr>
        <w:t>améliorer l'information, d'établir des principes analytiques et de mettre en œuvre des plateformes en ligne sur la sécurité alimentaire et nutritionnelle et au niveau national, de faciliter</w:t>
      </w:r>
      <w:r w:rsidR="0003111B">
        <w:rPr>
          <w:rFonts w:ascii="Verdana" w:hAnsi="Verdana"/>
          <w:iCs/>
          <w:sz w:val="20"/>
          <w:szCs w:val="20"/>
        </w:rPr>
        <w:t xml:space="preserve"> </w:t>
      </w:r>
      <w:r w:rsidRPr="00A979BB">
        <w:rPr>
          <w:rFonts w:ascii="Verdana" w:hAnsi="Verdana"/>
          <w:iCs/>
          <w:sz w:val="20"/>
          <w:szCs w:val="20"/>
        </w:rPr>
        <w:t>le processus de prise de décision et d'établir un système d'information régional alimenté par des données et des informations fiables et mises à jour par le biais d'un réseau de systèmes d'information nationaux.</w:t>
      </w:r>
    </w:p>
    <w:p w14:paraId="4087BCBA" w14:textId="77777777" w:rsidR="00B51EC7" w:rsidRDefault="00B51EC7" w:rsidP="00B51EC7">
      <w:pPr>
        <w:ind w:right="399"/>
        <w:rPr>
          <w:rFonts w:ascii="Verdana" w:hAnsi="Verdana"/>
          <w:b/>
          <w:bCs/>
          <w:sz w:val="20"/>
          <w:szCs w:val="20"/>
        </w:rPr>
      </w:pPr>
    </w:p>
    <w:p w14:paraId="1F7A620A" w14:textId="782262BF" w:rsidR="00F83854" w:rsidRPr="00B51EC7" w:rsidRDefault="00B51EC7" w:rsidP="00B51EC7">
      <w:pPr>
        <w:pStyle w:val="Sous-partie2"/>
      </w:pPr>
      <w:r>
        <w:t xml:space="preserve">A </w:t>
      </w:r>
      <w:r w:rsidR="00F83854" w:rsidRPr="00B51EC7">
        <w:t>propos</w:t>
      </w:r>
      <w:r>
        <w:t xml:space="preserve"> </w:t>
      </w:r>
      <w:r w:rsidR="00F83854" w:rsidRPr="00B51EC7">
        <w:t>des plateformes STAT SANOI</w:t>
      </w:r>
    </w:p>
    <w:p w14:paraId="350FCD56" w14:textId="77777777" w:rsidR="00F83854" w:rsidRPr="00A979BB" w:rsidRDefault="00F83854" w:rsidP="00F83854">
      <w:pPr>
        <w:jc w:val="both"/>
        <w:rPr>
          <w:rFonts w:ascii="Verdana" w:hAnsi="Verdana"/>
          <w:iCs/>
          <w:sz w:val="20"/>
          <w:szCs w:val="20"/>
        </w:rPr>
      </w:pPr>
      <w:r w:rsidRPr="00A979BB">
        <w:rPr>
          <w:rFonts w:ascii="Verdana" w:hAnsi="Verdana"/>
          <w:iCs/>
          <w:sz w:val="20"/>
          <w:szCs w:val="20"/>
        </w:rPr>
        <w:t xml:space="preserve">Les plateformes STAT SANOI nationales et régionales sont des applications web avec une architecture web-serveur. Elles permettent d'accéder, de consulter et d'extraire des données en ligne sous différents formats (tableaux, graphiques, cartes). Le projet STAT SANOI a soutenu l'identification, la collecte et la production de données harmonisées sur la sécurité alimentaire et nutritionnelle, dans les 4 pays d’intervention, en renforçant la capacité des systèmes nationaux à produire et à analyser des données sur ces thématiques. </w:t>
      </w:r>
    </w:p>
    <w:p w14:paraId="79DC0B89" w14:textId="77777777" w:rsidR="00B51EC7" w:rsidRPr="00A979BB" w:rsidRDefault="00B51EC7" w:rsidP="00F83854">
      <w:pPr>
        <w:jc w:val="both"/>
        <w:rPr>
          <w:rFonts w:ascii="Verdana" w:hAnsi="Verdana"/>
          <w:iCs/>
          <w:sz w:val="20"/>
          <w:szCs w:val="20"/>
        </w:rPr>
      </w:pPr>
    </w:p>
    <w:p w14:paraId="3A451C75" w14:textId="17635B53" w:rsidR="00F83854" w:rsidRPr="00A979BB" w:rsidRDefault="00F83854" w:rsidP="00F83854">
      <w:pPr>
        <w:jc w:val="both"/>
        <w:rPr>
          <w:rFonts w:ascii="Verdana" w:hAnsi="Verdana"/>
          <w:iCs/>
          <w:sz w:val="20"/>
          <w:szCs w:val="20"/>
        </w:rPr>
      </w:pPr>
      <w:r w:rsidRPr="00A979BB">
        <w:rPr>
          <w:rFonts w:ascii="Verdana" w:hAnsi="Verdana"/>
          <w:iCs/>
          <w:sz w:val="20"/>
          <w:szCs w:val="20"/>
        </w:rPr>
        <w:t>Les domaines couverts sont l’agriculture, l’élevage, la pêche, les prix des aliments, la pauvreté, l’insécurité alimentaire et la nutrition, les importations et exportations, ainsi qu’une série de données cartographiques de télédétection</w:t>
      </w:r>
      <w:r w:rsidR="0003111B">
        <w:rPr>
          <w:rFonts w:ascii="Verdana" w:hAnsi="Verdana"/>
          <w:iCs/>
          <w:sz w:val="20"/>
          <w:szCs w:val="20"/>
        </w:rPr>
        <w:t>.</w:t>
      </w:r>
      <w:r w:rsidRPr="00A979BB">
        <w:rPr>
          <w:rFonts w:ascii="Verdana" w:hAnsi="Verdana"/>
          <w:iCs/>
          <w:sz w:val="20"/>
          <w:szCs w:val="20"/>
        </w:rPr>
        <w:t xml:space="preserve"> </w:t>
      </w:r>
    </w:p>
    <w:p w14:paraId="34530FB3" w14:textId="77777777" w:rsidR="00B51EC7" w:rsidRPr="00A979BB" w:rsidRDefault="00B51EC7" w:rsidP="00F83854">
      <w:pPr>
        <w:jc w:val="both"/>
        <w:rPr>
          <w:rFonts w:ascii="Verdana" w:hAnsi="Verdana"/>
          <w:iCs/>
          <w:sz w:val="20"/>
          <w:szCs w:val="20"/>
        </w:rPr>
      </w:pPr>
    </w:p>
    <w:p w14:paraId="08618189" w14:textId="3937FF89" w:rsidR="00F83854" w:rsidRPr="00A979BB" w:rsidRDefault="00F83854" w:rsidP="00F83854">
      <w:pPr>
        <w:jc w:val="both"/>
        <w:rPr>
          <w:rFonts w:ascii="Verdana" w:hAnsi="Verdana"/>
          <w:iCs/>
          <w:sz w:val="20"/>
          <w:szCs w:val="20"/>
        </w:rPr>
      </w:pPr>
      <w:r w:rsidRPr="00A979BB">
        <w:rPr>
          <w:rFonts w:ascii="Verdana" w:hAnsi="Verdana"/>
          <w:iCs/>
          <w:sz w:val="20"/>
          <w:szCs w:val="20"/>
        </w:rPr>
        <w:lastRenderedPageBreak/>
        <w:t>Les plateformes sont conçues de sorte que les administrateurs nationaux de cet outil puissent aisément mettre à jour les données ainsi que rajouter de nouveaux indicateurs selon les besoins et la disponibilité de données.</w:t>
      </w:r>
    </w:p>
    <w:p w14:paraId="72838F2C" w14:textId="77777777" w:rsidR="00B51EC7" w:rsidRDefault="00B51EC7" w:rsidP="00F83854">
      <w:pPr>
        <w:jc w:val="both"/>
        <w:rPr>
          <w:b/>
          <w:bCs/>
        </w:rPr>
      </w:pPr>
    </w:p>
    <w:p w14:paraId="1FB30DC2" w14:textId="718E1333" w:rsidR="00F83854" w:rsidRDefault="00F83854" w:rsidP="00B51EC7">
      <w:pPr>
        <w:pStyle w:val="Sous-partie2"/>
      </w:pPr>
      <w:r w:rsidRPr="00B51EC7">
        <w:t xml:space="preserve">A propos de la </w:t>
      </w:r>
      <w:proofErr w:type="spellStart"/>
      <w:r w:rsidRPr="00B51EC7">
        <w:t>Task</w:t>
      </w:r>
      <w:proofErr w:type="spellEnd"/>
      <w:r w:rsidRPr="00B51EC7">
        <w:t xml:space="preserve"> Force</w:t>
      </w:r>
      <w:r>
        <w:t xml:space="preserve"> : </w:t>
      </w:r>
    </w:p>
    <w:p w14:paraId="194D4D9A" w14:textId="77777777" w:rsidR="00123417" w:rsidRPr="00A979BB" w:rsidRDefault="00B51EC7" w:rsidP="00F83854">
      <w:pPr>
        <w:jc w:val="both"/>
        <w:rPr>
          <w:rFonts w:ascii="Verdana" w:hAnsi="Verdana"/>
          <w:iCs/>
          <w:sz w:val="20"/>
          <w:szCs w:val="20"/>
        </w:rPr>
      </w:pPr>
      <w:r w:rsidRPr="00A979BB">
        <w:rPr>
          <w:rFonts w:ascii="Verdana" w:hAnsi="Verdana"/>
          <w:iCs/>
          <w:sz w:val="20"/>
          <w:szCs w:val="20"/>
        </w:rPr>
        <w:t>Une task force nationale a été mise en place au niveau des quatre pays d'intervention du projet p</w:t>
      </w:r>
      <w:r w:rsidR="00F83854" w:rsidRPr="00A979BB">
        <w:rPr>
          <w:rFonts w:ascii="Verdana" w:hAnsi="Verdana"/>
          <w:iCs/>
          <w:sz w:val="20"/>
          <w:szCs w:val="20"/>
        </w:rPr>
        <w:t>our assurer la traçabilité, la fiabilité, l’alimentation et la mise à jour des données</w:t>
      </w:r>
      <w:r w:rsidR="00123417" w:rsidRPr="00A979BB">
        <w:rPr>
          <w:rFonts w:ascii="Verdana" w:hAnsi="Verdana"/>
          <w:iCs/>
          <w:sz w:val="20"/>
          <w:szCs w:val="20"/>
        </w:rPr>
        <w:t>.</w:t>
      </w:r>
    </w:p>
    <w:p w14:paraId="2A72B26C" w14:textId="77777777" w:rsidR="00123417" w:rsidRPr="00A979BB" w:rsidRDefault="00123417" w:rsidP="00F83854">
      <w:pPr>
        <w:jc w:val="both"/>
        <w:rPr>
          <w:rFonts w:ascii="Verdana" w:hAnsi="Verdana"/>
          <w:iCs/>
          <w:sz w:val="20"/>
          <w:szCs w:val="20"/>
        </w:rPr>
      </w:pPr>
    </w:p>
    <w:p w14:paraId="33238CAA" w14:textId="3F2152ED" w:rsidR="00F83854" w:rsidRPr="00A979BB" w:rsidRDefault="00123417" w:rsidP="00F83854">
      <w:pPr>
        <w:jc w:val="both"/>
        <w:rPr>
          <w:rFonts w:ascii="Verdana" w:hAnsi="Verdana"/>
          <w:iCs/>
          <w:sz w:val="20"/>
          <w:szCs w:val="20"/>
        </w:rPr>
      </w:pPr>
      <w:r w:rsidRPr="00A979BB">
        <w:rPr>
          <w:rFonts w:ascii="Verdana" w:hAnsi="Verdana"/>
          <w:iCs/>
          <w:sz w:val="20"/>
          <w:szCs w:val="20"/>
        </w:rPr>
        <w:t>U</w:t>
      </w:r>
      <w:r w:rsidR="00F83854" w:rsidRPr="00A979BB">
        <w:rPr>
          <w:rFonts w:ascii="Verdana" w:hAnsi="Verdana"/>
          <w:iCs/>
          <w:sz w:val="20"/>
          <w:szCs w:val="20"/>
        </w:rPr>
        <w:t>ne Task Force régionale</w:t>
      </w:r>
      <w:r w:rsidRPr="00A979BB">
        <w:rPr>
          <w:rFonts w:ascii="Verdana" w:hAnsi="Verdana"/>
          <w:iCs/>
          <w:sz w:val="20"/>
          <w:szCs w:val="20"/>
        </w:rPr>
        <w:t xml:space="preserve"> a </w:t>
      </w:r>
      <w:r w:rsidR="00F83854" w:rsidRPr="00A979BB">
        <w:rPr>
          <w:rFonts w:ascii="Verdana" w:hAnsi="Verdana"/>
          <w:iCs/>
          <w:sz w:val="20"/>
          <w:szCs w:val="20"/>
        </w:rPr>
        <w:t xml:space="preserve">été </w:t>
      </w:r>
      <w:r w:rsidRPr="00A979BB">
        <w:rPr>
          <w:rFonts w:ascii="Verdana" w:hAnsi="Verdana"/>
          <w:iCs/>
          <w:sz w:val="20"/>
          <w:szCs w:val="20"/>
        </w:rPr>
        <w:t xml:space="preserve">également </w:t>
      </w:r>
      <w:r w:rsidR="00F83854" w:rsidRPr="00A979BB">
        <w:rPr>
          <w:rFonts w:ascii="Verdana" w:hAnsi="Verdana"/>
          <w:iCs/>
          <w:sz w:val="20"/>
          <w:szCs w:val="20"/>
        </w:rPr>
        <w:t>constituée incluant les institutions clés impliquées dans la collecte et l’analyse des données statistiques sélectionnées</w:t>
      </w:r>
      <w:r w:rsidRPr="00A979BB">
        <w:rPr>
          <w:rFonts w:ascii="Verdana" w:hAnsi="Verdana"/>
          <w:iCs/>
          <w:sz w:val="20"/>
          <w:szCs w:val="20"/>
        </w:rPr>
        <w:t>.</w:t>
      </w:r>
    </w:p>
    <w:p w14:paraId="04467CB7" w14:textId="77777777" w:rsidR="00123417" w:rsidRPr="00A979BB" w:rsidRDefault="00123417" w:rsidP="00F83854">
      <w:pPr>
        <w:jc w:val="both"/>
        <w:rPr>
          <w:rFonts w:ascii="Verdana" w:hAnsi="Verdana"/>
          <w:iCs/>
          <w:sz w:val="20"/>
          <w:szCs w:val="20"/>
        </w:rPr>
      </w:pPr>
    </w:p>
    <w:p w14:paraId="603C450E" w14:textId="1C138E1B" w:rsidR="00D432EC" w:rsidRPr="00A979BB" w:rsidRDefault="00D432EC" w:rsidP="00F83854">
      <w:pPr>
        <w:jc w:val="both"/>
        <w:rPr>
          <w:rFonts w:ascii="Verdana" w:hAnsi="Verdana"/>
          <w:iCs/>
          <w:sz w:val="20"/>
          <w:szCs w:val="20"/>
        </w:rPr>
      </w:pPr>
      <w:r w:rsidRPr="00A979BB">
        <w:rPr>
          <w:rFonts w:ascii="Verdana" w:hAnsi="Verdana"/>
          <w:iCs/>
          <w:sz w:val="20"/>
          <w:szCs w:val="20"/>
        </w:rPr>
        <w:t xml:space="preserve">Les termes de références de cette task force régionale ont fait l’objet des échanges avec les représentants des États membres à l’occasion de </w:t>
      </w:r>
      <w:r w:rsidR="00184596" w:rsidRPr="00A979BB">
        <w:rPr>
          <w:rFonts w:ascii="Verdana" w:hAnsi="Verdana"/>
          <w:iCs/>
          <w:sz w:val="20"/>
          <w:szCs w:val="20"/>
        </w:rPr>
        <w:t xml:space="preserve">l’atelier tenu du 05 au 08 novembre 2024 à Antananarivo. Cette proposition de termes de référence est soumise à l’approbation du comite des officiers permanents de liaison. </w:t>
      </w:r>
    </w:p>
    <w:p w14:paraId="05D621D7" w14:textId="77777777" w:rsidR="00214948" w:rsidRDefault="00214948" w:rsidP="00214948">
      <w:pPr>
        <w:pStyle w:val="Titrepartie"/>
        <w:numPr>
          <w:ilvl w:val="0"/>
          <w:numId w:val="0"/>
        </w:numPr>
      </w:pPr>
    </w:p>
    <w:p w14:paraId="7237B240" w14:textId="1F7FB91E" w:rsidR="00214948" w:rsidRDefault="00214948" w:rsidP="00214948">
      <w:pPr>
        <w:pStyle w:val="Titrepartie"/>
      </w:pPr>
      <w:r w:rsidRPr="00214948">
        <w:t>Mise en</w:t>
      </w:r>
      <w:r>
        <w:t xml:space="preserve"> place </w:t>
      </w:r>
      <w:r w:rsidRPr="00214948">
        <w:t xml:space="preserve">d’une plateforme interactive d’échange d’information, pour le réseau des laboratoires officiels de contrôle des produits alimentaires des </w:t>
      </w:r>
      <w:r>
        <w:t>É</w:t>
      </w:r>
      <w:r w:rsidRPr="00214948">
        <w:t>tats membres de la COI</w:t>
      </w:r>
    </w:p>
    <w:p w14:paraId="28332070" w14:textId="2E257D8D" w:rsidR="00214948" w:rsidRPr="00A979BB" w:rsidRDefault="00D10856" w:rsidP="00214948">
      <w:pPr>
        <w:jc w:val="both"/>
        <w:rPr>
          <w:rFonts w:ascii="Verdana" w:hAnsi="Verdana"/>
          <w:iCs/>
          <w:sz w:val="20"/>
          <w:szCs w:val="20"/>
        </w:rPr>
      </w:pPr>
      <w:r w:rsidRPr="00A979BB">
        <w:rPr>
          <w:rFonts w:ascii="Verdana" w:hAnsi="Verdana"/>
          <w:iCs/>
          <w:sz w:val="20"/>
          <w:szCs w:val="20"/>
        </w:rPr>
        <w:t>Un atelier régional sur les politiques de laboratoires et le renforcement de leurs capacités s’est tenu du 13 au 16 juin 2023 à Maurice.</w:t>
      </w:r>
      <w:r w:rsidR="0003111B">
        <w:rPr>
          <w:rFonts w:ascii="Verdana" w:hAnsi="Verdana"/>
          <w:iCs/>
          <w:sz w:val="20"/>
          <w:szCs w:val="20"/>
        </w:rPr>
        <w:t xml:space="preserve"> </w:t>
      </w:r>
      <w:r w:rsidRPr="00A979BB">
        <w:rPr>
          <w:rFonts w:ascii="Verdana" w:hAnsi="Verdana"/>
          <w:iCs/>
          <w:sz w:val="20"/>
          <w:szCs w:val="20"/>
        </w:rPr>
        <w:t xml:space="preserve">Il a réuni 17 experts nationaux représentant les 14 principaux laboratoires officiels des </w:t>
      </w:r>
      <w:r w:rsidR="0003111B">
        <w:rPr>
          <w:rFonts w:ascii="Verdana" w:hAnsi="Verdana"/>
          <w:iCs/>
          <w:sz w:val="20"/>
          <w:szCs w:val="20"/>
        </w:rPr>
        <w:t>E</w:t>
      </w:r>
      <w:r w:rsidRPr="00A979BB">
        <w:rPr>
          <w:rFonts w:ascii="Verdana" w:hAnsi="Verdana"/>
          <w:iCs/>
          <w:sz w:val="20"/>
          <w:szCs w:val="20"/>
        </w:rPr>
        <w:t xml:space="preserve">tats membres de la COI, ainsi que des représentants du secrétariat de la COI et de l’Union </w:t>
      </w:r>
      <w:r w:rsidR="00643182">
        <w:rPr>
          <w:rFonts w:ascii="Verdana" w:hAnsi="Verdana"/>
          <w:iCs/>
          <w:sz w:val="20"/>
          <w:szCs w:val="20"/>
        </w:rPr>
        <w:t>e</w:t>
      </w:r>
      <w:r w:rsidRPr="00A979BB">
        <w:rPr>
          <w:rFonts w:ascii="Verdana" w:hAnsi="Verdana"/>
          <w:iCs/>
          <w:sz w:val="20"/>
          <w:szCs w:val="20"/>
        </w:rPr>
        <w:t>uropéenne. Les experts ont travaillé à l’analyse des contraintes qui entravent le développement de capacités d’analyse au niveau régional</w:t>
      </w:r>
      <w:r w:rsidR="00214948" w:rsidRPr="00A979BB">
        <w:rPr>
          <w:rFonts w:ascii="Verdana" w:hAnsi="Verdana"/>
          <w:iCs/>
          <w:sz w:val="20"/>
          <w:szCs w:val="20"/>
        </w:rPr>
        <w:t xml:space="preserve">. Ils </w:t>
      </w:r>
      <w:r w:rsidRPr="00A979BB">
        <w:rPr>
          <w:rFonts w:ascii="Verdana" w:hAnsi="Verdana"/>
          <w:iCs/>
          <w:sz w:val="20"/>
          <w:szCs w:val="20"/>
        </w:rPr>
        <w:t xml:space="preserve">ont proposé </w:t>
      </w:r>
      <w:r w:rsidR="00214948" w:rsidRPr="00A979BB">
        <w:rPr>
          <w:rFonts w:ascii="Verdana" w:hAnsi="Verdana"/>
          <w:iCs/>
          <w:sz w:val="20"/>
          <w:szCs w:val="20"/>
        </w:rPr>
        <w:t xml:space="preserve">également </w:t>
      </w:r>
      <w:r w:rsidRPr="00A979BB">
        <w:rPr>
          <w:rFonts w:ascii="Verdana" w:hAnsi="Verdana"/>
          <w:iCs/>
          <w:sz w:val="20"/>
          <w:szCs w:val="20"/>
        </w:rPr>
        <w:t>un plan d’action à court terme (mis en œuvre depuis via plusieurs activités d’appui technique direct aux laboratoires et des formations régionales)</w:t>
      </w:r>
      <w:r w:rsidR="00214948" w:rsidRPr="00A979BB">
        <w:rPr>
          <w:rFonts w:ascii="Verdana" w:hAnsi="Verdana"/>
          <w:iCs/>
          <w:sz w:val="20"/>
          <w:szCs w:val="20"/>
        </w:rPr>
        <w:t xml:space="preserve">. </w:t>
      </w:r>
    </w:p>
    <w:p w14:paraId="09928845" w14:textId="77777777" w:rsidR="00214948" w:rsidRPr="00A979BB" w:rsidRDefault="00214948" w:rsidP="00214948">
      <w:pPr>
        <w:jc w:val="both"/>
        <w:rPr>
          <w:rFonts w:ascii="Verdana" w:hAnsi="Verdana"/>
          <w:iCs/>
          <w:sz w:val="20"/>
          <w:szCs w:val="20"/>
        </w:rPr>
      </w:pPr>
    </w:p>
    <w:p w14:paraId="1871BC2B" w14:textId="61460F6E" w:rsidR="00214948" w:rsidRPr="00A979BB" w:rsidRDefault="00214948" w:rsidP="00214948">
      <w:pPr>
        <w:jc w:val="both"/>
        <w:rPr>
          <w:rFonts w:ascii="Verdana" w:hAnsi="Verdana"/>
          <w:iCs/>
          <w:sz w:val="20"/>
          <w:szCs w:val="20"/>
        </w:rPr>
      </w:pPr>
      <w:r w:rsidRPr="00A979BB">
        <w:rPr>
          <w:rFonts w:ascii="Verdana" w:hAnsi="Verdana"/>
          <w:iCs/>
          <w:sz w:val="20"/>
          <w:szCs w:val="20"/>
        </w:rPr>
        <w:t xml:space="preserve">L’une des </w:t>
      </w:r>
      <w:r w:rsidR="00D10856" w:rsidRPr="00A979BB">
        <w:rPr>
          <w:rFonts w:ascii="Verdana" w:hAnsi="Verdana"/>
          <w:iCs/>
          <w:sz w:val="20"/>
          <w:szCs w:val="20"/>
        </w:rPr>
        <w:t xml:space="preserve">recommandations </w:t>
      </w:r>
      <w:r w:rsidRPr="00A979BB">
        <w:rPr>
          <w:rFonts w:ascii="Verdana" w:hAnsi="Verdana"/>
          <w:iCs/>
          <w:sz w:val="20"/>
          <w:szCs w:val="20"/>
        </w:rPr>
        <w:t xml:space="preserve">issues de cet atelier consiste à la mise en place d’une plateforme interactive d’échange d’information pour le réseau des laboratoires officiels de contrôle des produits alimentaires des États membres de la </w:t>
      </w:r>
      <w:r w:rsidR="00643182">
        <w:rPr>
          <w:rFonts w:ascii="Verdana" w:hAnsi="Verdana"/>
          <w:iCs/>
          <w:sz w:val="20"/>
          <w:szCs w:val="20"/>
        </w:rPr>
        <w:t>COI</w:t>
      </w:r>
      <w:r w:rsidRPr="00A979BB">
        <w:rPr>
          <w:rFonts w:ascii="Verdana" w:hAnsi="Verdana"/>
          <w:iCs/>
          <w:sz w:val="20"/>
          <w:szCs w:val="20"/>
        </w:rPr>
        <w:t>.</w:t>
      </w:r>
    </w:p>
    <w:p w14:paraId="52887C73" w14:textId="77777777" w:rsidR="008142D2" w:rsidRPr="00A979BB" w:rsidRDefault="008142D2" w:rsidP="008142D2">
      <w:pPr>
        <w:jc w:val="both"/>
        <w:rPr>
          <w:rFonts w:ascii="Verdana" w:hAnsi="Verdana"/>
          <w:iCs/>
          <w:sz w:val="20"/>
          <w:szCs w:val="20"/>
        </w:rPr>
      </w:pPr>
    </w:p>
    <w:p w14:paraId="0BF41A95" w14:textId="6EC597D7" w:rsidR="00D10856" w:rsidRPr="00A979BB" w:rsidRDefault="00214948" w:rsidP="008142D2">
      <w:pPr>
        <w:jc w:val="both"/>
        <w:rPr>
          <w:rFonts w:ascii="Verdana" w:hAnsi="Verdana"/>
          <w:iCs/>
          <w:sz w:val="20"/>
          <w:szCs w:val="20"/>
        </w:rPr>
      </w:pPr>
      <w:r w:rsidRPr="00A979BB">
        <w:rPr>
          <w:rFonts w:ascii="Verdana" w:hAnsi="Verdana"/>
          <w:iCs/>
          <w:sz w:val="20"/>
          <w:szCs w:val="20"/>
        </w:rPr>
        <w:t>À cet effet, u</w:t>
      </w:r>
      <w:r w:rsidR="00D10856" w:rsidRPr="00A979BB">
        <w:rPr>
          <w:rFonts w:ascii="Verdana" w:hAnsi="Verdana"/>
          <w:iCs/>
          <w:sz w:val="20"/>
          <w:szCs w:val="20"/>
        </w:rPr>
        <w:t xml:space="preserve">ne consultation a été lancée dans le cadre du programme SANOI pour mettre en place le site web et la plateforme interactive destinée à héberger les bases de données souhaitées par le réseau (capacités, compétences, équipements, tutoriels, méthodes harmonisées, etc.). Cette consultation devrait déboucher, d’ici le mois de février 2025, sur la mise en place </w:t>
      </w:r>
      <w:r w:rsidR="0003111B">
        <w:rPr>
          <w:rFonts w:ascii="Verdana" w:hAnsi="Verdana"/>
          <w:iCs/>
          <w:sz w:val="20"/>
          <w:szCs w:val="20"/>
        </w:rPr>
        <w:t xml:space="preserve">effective </w:t>
      </w:r>
      <w:r w:rsidR="00D10856" w:rsidRPr="00A979BB">
        <w:rPr>
          <w:rFonts w:ascii="Verdana" w:hAnsi="Verdana"/>
          <w:iCs/>
          <w:sz w:val="20"/>
          <w:szCs w:val="20"/>
        </w:rPr>
        <w:t xml:space="preserve">de l’infrastructure souhaitée par les experts nationaux pour répondre aux recommandations </w:t>
      </w:r>
      <w:r w:rsidRPr="00A979BB">
        <w:rPr>
          <w:rFonts w:ascii="Verdana" w:hAnsi="Verdana"/>
          <w:iCs/>
          <w:sz w:val="20"/>
          <w:szCs w:val="20"/>
        </w:rPr>
        <w:t>de l’atelier.</w:t>
      </w:r>
    </w:p>
    <w:p w14:paraId="0371FEB8" w14:textId="77777777" w:rsidR="008142D2" w:rsidRPr="00A979BB" w:rsidRDefault="008142D2" w:rsidP="008142D2">
      <w:pPr>
        <w:jc w:val="both"/>
        <w:rPr>
          <w:rFonts w:ascii="Verdana" w:hAnsi="Verdana"/>
          <w:iCs/>
          <w:sz w:val="20"/>
          <w:szCs w:val="20"/>
        </w:rPr>
      </w:pPr>
    </w:p>
    <w:p w14:paraId="2EAC78EF" w14:textId="591B32A0" w:rsidR="00D10856" w:rsidRPr="00A979BB" w:rsidRDefault="00214948" w:rsidP="008142D2">
      <w:pPr>
        <w:jc w:val="both"/>
        <w:rPr>
          <w:rFonts w:ascii="Verdana" w:hAnsi="Verdana"/>
          <w:iCs/>
          <w:sz w:val="20"/>
          <w:szCs w:val="20"/>
        </w:rPr>
      </w:pPr>
      <w:r w:rsidRPr="00A979BB">
        <w:rPr>
          <w:rFonts w:ascii="Verdana" w:hAnsi="Verdana"/>
          <w:iCs/>
          <w:sz w:val="20"/>
          <w:szCs w:val="20"/>
        </w:rPr>
        <w:t>I</w:t>
      </w:r>
      <w:r w:rsidR="00D10856" w:rsidRPr="00A979BB">
        <w:rPr>
          <w:rFonts w:ascii="Verdana" w:hAnsi="Verdana"/>
          <w:iCs/>
          <w:sz w:val="20"/>
          <w:szCs w:val="20"/>
        </w:rPr>
        <w:t xml:space="preserve">l convient </w:t>
      </w:r>
      <w:r w:rsidRPr="00A979BB">
        <w:rPr>
          <w:rFonts w:ascii="Verdana" w:hAnsi="Verdana"/>
          <w:iCs/>
          <w:sz w:val="20"/>
          <w:szCs w:val="20"/>
        </w:rPr>
        <w:t xml:space="preserve">ainsi </w:t>
      </w:r>
      <w:r w:rsidR="00D10856" w:rsidRPr="00A979BB">
        <w:rPr>
          <w:rFonts w:ascii="Verdana" w:hAnsi="Verdana"/>
          <w:iCs/>
          <w:sz w:val="20"/>
          <w:szCs w:val="20"/>
        </w:rPr>
        <w:t xml:space="preserve">que les </w:t>
      </w:r>
      <w:r w:rsidRPr="00A979BB">
        <w:rPr>
          <w:rFonts w:ascii="Verdana" w:hAnsi="Verdana"/>
          <w:iCs/>
          <w:sz w:val="20"/>
          <w:szCs w:val="20"/>
        </w:rPr>
        <w:t>E</w:t>
      </w:r>
      <w:r w:rsidR="00D10856" w:rsidRPr="00A979BB">
        <w:rPr>
          <w:rFonts w:ascii="Verdana" w:hAnsi="Verdana"/>
          <w:iCs/>
          <w:sz w:val="20"/>
          <w:szCs w:val="20"/>
        </w:rPr>
        <w:t xml:space="preserve">tats membres de la COI s’accordent sur les principes et les mécanismes de coopération à mettre en œuvre pour que cette infrastructure devienne un véritable outil collaboratif au service de la région. Il s’agit en effet de prévoir </w:t>
      </w:r>
      <w:r w:rsidRPr="00A979BB">
        <w:rPr>
          <w:rFonts w:ascii="Verdana" w:hAnsi="Verdana"/>
          <w:iCs/>
          <w:sz w:val="20"/>
          <w:szCs w:val="20"/>
        </w:rPr>
        <w:t xml:space="preserve">les modalites d’administration de </w:t>
      </w:r>
      <w:r w:rsidR="00D10856" w:rsidRPr="00A979BB">
        <w:rPr>
          <w:rFonts w:ascii="Verdana" w:hAnsi="Verdana"/>
          <w:iCs/>
          <w:sz w:val="20"/>
          <w:szCs w:val="20"/>
        </w:rPr>
        <w:t>la plateforme</w:t>
      </w:r>
      <w:r w:rsidRPr="00A979BB">
        <w:rPr>
          <w:rFonts w:ascii="Verdana" w:hAnsi="Verdana"/>
          <w:iCs/>
          <w:sz w:val="20"/>
          <w:szCs w:val="20"/>
        </w:rPr>
        <w:t xml:space="preserve"> </w:t>
      </w:r>
      <w:r w:rsidR="00D10856" w:rsidRPr="00A979BB">
        <w:rPr>
          <w:rFonts w:ascii="Verdana" w:hAnsi="Verdana"/>
          <w:iCs/>
          <w:sz w:val="20"/>
          <w:szCs w:val="20"/>
        </w:rPr>
        <w:t xml:space="preserve">pour devenir la pierre angulaire de la politique régionale de développement des capacités d’analyses alimentaires des </w:t>
      </w:r>
      <w:r w:rsidRPr="00A979BB">
        <w:rPr>
          <w:rFonts w:ascii="Verdana" w:hAnsi="Verdana"/>
          <w:iCs/>
          <w:sz w:val="20"/>
          <w:szCs w:val="20"/>
        </w:rPr>
        <w:t>E</w:t>
      </w:r>
      <w:r w:rsidR="00D10856" w:rsidRPr="00A979BB">
        <w:rPr>
          <w:rFonts w:ascii="Verdana" w:hAnsi="Verdana"/>
          <w:iCs/>
          <w:sz w:val="20"/>
          <w:szCs w:val="20"/>
        </w:rPr>
        <w:t>tats membres de la COI.</w:t>
      </w:r>
    </w:p>
    <w:p w14:paraId="4FDD71B7" w14:textId="77777777" w:rsidR="008142D2" w:rsidRPr="00A979BB" w:rsidRDefault="008142D2" w:rsidP="008142D2">
      <w:pPr>
        <w:jc w:val="both"/>
        <w:rPr>
          <w:rFonts w:ascii="Verdana" w:hAnsi="Verdana"/>
          <w:iCs/>
          <w:sz w:val="20"/>
          <w:szCs w:val="20"/>
        </w:rPr>
      </w:pPr>
    </w:p>
    <w:p w14:paraId="29A82225" w14:textId="2BE927CC" w:rsidR="00D10856" w:rsidRPr="00A979BB" w:rsidRDefault="00214948" w:rsidP="008142D2">
      <w:pPr>
        <w:jc w:val="both"/>
        <w:rPr>
          <w:rFonts w:ascii="Verdana" w:hAnsi="Verdana"/>
          <w:iCs/>
          <w:sz w:val="20"/>
          <w:szCs w:val="20"/>
        </w:rPr>
      </w:pPr>
      <w:r w:rsidRPr="00A979BB">
        <w:rPr>
          <w:rFonts w:ascii="Verdana" w:hAnsi="Verdana"/>
          <w:iCs/>
          <w:sz w:val="20"/>
          <w:szCs w:val="20"/>
        </w:rPr>
        <w:t xml:space="preserve">À cet </w:t>
      </w:r>
      <w:r w:rsidR="00C50E78" w:rsidRPr="00A979BB">
        <w:rPr>
          <w:rFonts w:ascii="Verdana" w:hAnsi="Verdana"/>
          <w:iCs/>
          <w:sz w:val="20"/>
          <w:szCs w:val="20"/>
        </w:rPr>
        <w:t>égard</w:t>
      </w:r>
      <w:r w:rsidR="00D10856" w:rsidRPr="00A979BB">
        <w:rPr>
          <w:rFonts w:ascii="Verdana" w:hAnsi="Verdana"/>
          <w:iCs/>
          <w:sz w:val="20"/>
          <w:szCs w:val="20"/>
        </w:rPr>
        <w:t xml:space="preserve">, un avant-projet d’accord-cadre de coopération a été préparé pour être soumis à la considération des </w:t>
      </w:r>
      <w:r w:rsidRPr="00A979BB">
        <w:rPr>
          <w:rFonts w:ascii="Verdana" w:hAnsi="Verdana"/>
          <w:iCs/>
          <w:sz w:val="20"/>
          <w:szCs w:val="20"/>
        </w:rPr>
        <w:t>E</w:t>
      </w:r>
      <w:r w:rsidR="00D10856" w:rsidRPr="00A979BB">
        <w:rPr>
          <w:rFonts w:ascii="Verdana" w:hAnsi="Verdana"/>
          <w:iCs/>
          <w:sz w:val="20"/>
          <w:szCs w:val="20"/>
        </w:rPr>
        <w:t>tats membres. Cet avant-projet d’accord est intitulé « Accord cadre pour la création et la mise en œuvre d’une plateforme interactive d’échange d’information, pour le réseau des laboratoires officiels de contrôle des produits alimentaires des états membres de la Commission de l’Océan Indien (COI) et le fonctionnement de ce réseau ».</w:t>
      </w:r>
    </w:p>
    <w:p w14:paraId="723B700A" w14:textId="77777777" w:rsidR="008142D2" w:rsidRPr="00A979BB" w:rsidRDefault="008142D2" w:rsidP="008142D2">
      <w:pPr>
        <w:jc w:val="both"/>
        <w:rPr>
          <w:rFonts w:ascii="Verdana" w:hAnsi="Verdana"/>
          <w:iCs/>
          <w:sz w:val="20"/>
          <w:szCs w:val="20"/>
        </w:rPr>
      </w:pPr>
    </w:p>
    <w:p w14:paraId="3232BD8F" w14:textId="00961CC1" w:rsidR="00D10856" w:rsidRPr="00A979BB" w:rsidRDefault="00D10856" w:rsidP="008142D2">
      <w:pPr>
        <w:jc w:val="both"/>
        <w:rPr>
          <w:rFonts w:ascii="Verdana" w:hAnsi="Verdana"/>
          <w:iCs/>
          <w:sz w:val="20"/>
          <w:szCs w:val="20"/>
        </w:rPr>
      </w:pPr>
      <w:r w:rsidRPr="00A979BB">
        <w:rPr>
          <w:rFonts w:ascii="Verdana" w:hAnsi="Verdana"/>
          <w:iCs/>
          <w:sz w:val="20"/>
          <w:szCs w:val="20"/>
        </w:rPr>
        <w:t>Cet accord propose des objectifs, une description des futurs éléments constitutifs de la plateforme, ainsi que des principes régissant la participation, le fonctionnement et le financement de cet outil.</w:t>
      </w:r>
      <w:r w:rsidR="0003111B">
        <w:rPr>
          <w:rFonts w:ascii="Verdana" w:hAnsi="Verdana"/>
          <w:iCs/>
          <w:sz w:val="20"/>
          <w:szCs w:val="20"/>
        </w:rPr>
        <w:t xml:space="preserve"> </w:t>
      </w:r>
      <w:r w:rsidRPr="00A979BB">
        <w:rPr>
          <w:rFonts w:ascii="Verdana" w:hAnsi="Verdana"/>
          <w:iCs/>
          <w:sz w:val="20"/>
          <w:szCs w:val="20"/>
        </w:rPr>
        <w:t xml:space="preserve">Cet accord est destiné à fournir un cadre fonctionnel au sein duquel les représentants des </w:t>
      </w:r>
      <w:r w:rsidR="00B81298" w:rsidRPr="00A979BB">
        <w:rPr>
          <w:rFonts w:ascii="Verdana" w:hAnsi="Verdana"/>
          <w:iCs/>
          <w:sz w:val="20"/>
          <w:szCs w:val="20"/>
        </w:rPr>
        <w:t>États</w:t>
      </w:r>
      <w:r w:rsidRPr="00A979BB">
        <w:rPr>
          <w:rFonts w:ascii="Verdana" w:hAnsi="Verdana"/>
          <w:iCs/>
          <w:sz w:val="20"/>
          <w:szCs w:val="20"/>
        </w:rPr>
        <w:t xml:space="preserve"> membres de la COI et des principaux laboratoires </w:t>
      </w:r>
      <w:r w:rsidRPr="00A979BB">
        <w:rPr>
          <w:rFonts w:ascii="Verdana" w:hAnsi="Verdana"/>
          <w:iCs/>
          <w:sz w:val="20"/>
          <w:szCs w:val="20"/>
        </w:rPr>
        <w:lastRenderedPageBreak/>
        <w:t>officiels pourront débattre des questions techniques relatives à l’évolution de la capacité en analyses alimentaires, dans le but d’améliorer la sécurité sanitaire des aliments pour les consommateurs de la région.</w:t>
      </w:r>
    </w:p>
    <w:p w14:paraId="73B57281" w14:textId="77777777" w:rsidR="00D10856" w:rsidRPr="008142D2" w:rsidRDefault="00D10856" w:rsidP="008142D2">
      <w:pPr>
        <w:jc w:val="both"/>
      </w:pPr>
    </w:p>
    <w:p w14:paraId="1CCDDACA" w14:textId="77777777" w:rsidR="00D10856" w:rsidRPr="008142D2" w:rsidRDefault="00D10856" w:rsidP="008142D2">
      <w:pPr>
        <w:jc w:val="both"/>
      </w:pPr>
    </w:p>
    <w:p w14:paraId="250EB675" w14:textId="77777777" w:rsidR="000A779B" w:rsidRPr="0008468B" w:rsidRDefault="000A779B" w:rsidP="000A779B">
      <w:pPr>
        <w:pStyle w:val="Titrepartie"/>
      </w:pPr>
      <w:r w:rsidRPr="0008468B">
        <w:t>Proposition de décision</w:t>
      </w:r>
    </w:p>
    <w:p w14:paraId="407A7AA6" w14:textId="1311406C" w:rsidR="000A779B" w:rsidRPr="00A979BB" w:rsidRDefault="000A779B" w:rsidP="000A779B">
      <w:pPr>
        <w:pStyle w:val="Paragraphe"/>
      </w:pPr>
      <w:r w:rsidRPr="00A979BB">
        <w:t xml:space="preserve">Le Comité des </w:t>
      </w:r>
      <w:r w:rsidR="00AF3511" w:rsidRPr="00A979BB">
        <w:t>OPL :</w:t>
      </w:r>
    </w:p>
    <w:p w14:paraId="4C8E3579" w14:textId="77777777" w:rsidR="00D34915" w:rsidRDefault="00D34915" w:rsidP="00D34915">
      <w:pPr>
        <w:pStyle w:val="Paragraphe"/>
        <w:numPr>
          <w:ilvl w:val="0"/>
          <w:numId w:val="12"/>
        </w:numPr>
      </w:pPr>
      <w:r>
        <w:t>Prend note du report de la prochaine conférence ministérielle sur la sécurité alimentaire et nutritionnelle des États membres de la COI.</w:t>
      </w:r>
    </w:p>
    <w:p w14:paraId="1A350220" w14:textId="6EAA1355" w:rsidR="00DF3F77" w:rsidRPr="00A979BB" w:rsidRDefault="000A779B" w:rsidP="00DF3F77">
      <w:pPr>
        <w:pStyle w:val="Paragraphe"/>
        <w:numPr>
          <w:ilvl w:val="0"/>
          <w:numId w:val="12"/>
        </w:numPr>
      </w:pPr>
      <w:r w:rsidRPr="00A979BB">
        <w:t>Se félicite</w:t>
      </w:r>
      <w:r w:rsidR="00DF3F77" w:rsidRPr="00A979BB">
        <w:t xml:space="preserve"> </w:t>
      </w:r>
      <w:r w:rsidRPr="00A979BB">
        <w:t xml:space="preserve">de la </w:t>
      </w:r>
      <w:r w:rsidR="00DF3F77" w:rsidRPr="00A979BB">
        <w:t>mise en place effective d’un système d'information sur l'agriculture et la sécurité alimentaire et nutritionnelle dans les pays membres de la COI (Comores, Madagascar, Maurice et Seychelles) à travers les plateformes nationales et régionale, lequel constitue un outil important pour l’amélioration de la prise de décision basée sur des preuves et la planification stratégique aux niveaux national et régional concernant l'agriculture, la sécurité alimentaire et nutritionnelle.</w:t>
      </w:r>
    </w:p>
    <w:p w14:paraId="65D13528" w14:textId="0658623D" w:rsidR="00AF3511" w:rsidRPr="00A979BB" w:rsidRDefault="00AF3511" w:rsidP="00AF3511">
      <w:pPr>
        <w:pStyle w:val="Paragraphe"/>
        <w:numPr>
          <w:ilvl w:val="0"/>
          <w:numId w:val="12"/>
        </w:numPr>
        <w:rPr>
          <w:lang w:val="fr-BE"/>
        </w:rPr>
      </w:pPr>
      <w:r w:rsidRPr="00A979BB">
        <w:rPr>
          <w:lang w:val="fr-BE"/>
        </w:rPr>
        <w:t xml:space="preserve">Valide les </w:t>
      </w:r>
      <w:r w:rsidR="00DF3F77" w:rsidRPr="00A979BB">
        <w:t xml:space="preserve">termes de références de la </w:t>
      </w:r>
      <w:proofErr w:type="spellStart"/>
      <w:r w:rsidR="00DF3F77" w:rsidRPr="00A979BB">
        <w:t>task</w:t>
      </w:r>
      <w:proofErr w:type="spellEnd"/>
      <w:r w:rsidR="00DF3F77" w:rsidRPr="00A979BB">
        <w:t xml:space="preserve"> force régionale</w:t>
      </w:r>
      <w:r w:rsidRPr="00A979BB">
        <w:rPr>
          <w:lang w:val="fr-BE"/>
        </w:rPr>
        <w:t xml:space="preserve"> pour soutenir l’engagement effectif des États membres à pérenniser la plateforme régionale et les plateformes nationales.</w:t>
      </w:r>
    </w:p>
    <w:p w14:paraId="0A3BC633" w14:textId="5D849349" w:rsidR="00AF3511" w:rsidRPr="00A979BB" w:rsidRDefault="00AF3511" w:rsidP="00AF3511">
      <w:pPr>
        <w:pStyle w:val="Paragraphe"/>
        <w:numPr>
          <w:ilvl w:val="0"/>
          <w:numId w:val="12"/>
        </w:numPr>
        <w:rPr>
          <w:lang w:val="fr-BE"/>
        </w:rPr>
      </w:pPr>
      <w:r w:rsidRPr="00A979BB">
        <w:rPr>
          <w:lang w:val="fr-BE"/>
        </w:rPr>
        <w:t xml:space="preserve">Se félicite de l’initiative prise à travers le programme SANOI de mettre en place une plateforme interactive d’échange d’information pour le réseau des laboratoires officiels de contrôle des produits alimentaires des États membres de la </w:t>
      </w:r>
      <w:r w:rsidR="00643182">
        <w:rPr>
          <w:lang w:val="fr-BE"/>
        </w:rPr>
        <w:t>COI</w:t>
      </w:r>
      <w:r w:rsidRPr="00A979BB">
        <w:rPr>
          <w:lang w:val="fr-BE"/>
        </w:rPr>
        <w:t>.</w:t>
      </w:r>
    </w:p>
    <w:p w14:paraId="3F7DFECA" w14:textId="7076B14E" w:rsidR="00AF3511" w:rsidRPr="00A979BB" w:rsidRDefault="00AF3511" w:rsidP="00AF3511">
      <w:pPr>
        <w:pStyle w:val="Paragraphedeliste"/>
        <w:numPr>
          <w:ilvl w:val="0"/>
          <w:numId w:val="12"/>
        </w:numPr>
        <w:jc w:val="both"/>
        <w:rPr>
          <w:rFonts w:ascii="Verdana" w:hAnsi="Verdana"/>
          <w:sz w:val="20"/>
          <w:szCs w:val="20"/>
        </w:rPr>
      </w:pPr>
      <w:r w:rsidRPr="00A979BB">
        <w:rPr>
          <w:rFonts w:ascii="Verdana" w:hAnsi="Verdana"/>
          <w:sz w:val="20"/>
          <w:szCs w:val="20"/>
        </w:rPr>
        <w:t xml:space="preserve">Approuve l’accord cadre pour la création et la mise en œuvre d’une plateforme interactive d’échange d’information, pour le réseau des laboratoires officiels de contrôle des produits alimentaires des </w:t>
      </w:r>
      <w:r w:rsidR="00643182">
        <w:rPr>
          <w:rFonts w:ascii="Verdana" w:hAnsi="Verdana"/>
          <w:sz w:val="20"/>
          <w:szCs w:val="20"/>
        </w:rPr>
        <w:t>E</w:t>
      </w:r>
      <w:r w:rsidRPr="00A979BB">
        <w:rPr>
          <w:rFonts w:ascii="Verdana" w:hAnsi="Verdana"/>
          <w:sz w:val="20"/>
          <w:szCs w:val="20"/>
        </w:rPr>
        <w:t xml:space="preserve">tats membres de la </w:t>
      </w:r>
      <w:r w:rsidR="00643182">
        <w:rPr>
          <w:rFonts w:ascii="Verdana" w:hAnsi="Verdana"/>
          <w:sz w:val="20"/>
          <w:szCs w:val="20"/>
        </w:rPr>
        <w:t>COI</w:t>
      </w:r>
      <w:r w:rsidRPr="00A979BB">
        <w:rPr>
          <w:rFonts w:ascii="Verdana" w:hAnsi="Verdana"/>
          <w:sz w:val="20"/>
          <w:szCs w:val="20"/>
        </w:rPr>
        <w:t xml:space="preserve"> et le fonctionnement de ce </w:t>
      </w:r>
      <w:r w:rsidR="008D3424" w:rsidRPr="00A979BB">
        <w:rPr>
          <w:rFonts w:ascii="Verdana" w:hAnsi="Verdana"/>
          <w:sz w:val="20"/>
          <w:szCs w:val="20"/>
        </w:rPr>
        <w:t>réseau.</w:t>
      </w:r>
    </w:p>
    <w:p w14:paraId="3F53B29A" w14:textId="77777777" w:rsidR="00D10856" w:rsidRPr="007731A0" w:rsidRDefault="00D10856" w:rsidP="00AD067B">
      <w:pPr>
        <w:pStyle w:val="Titrepartie"/>
        <w:numPr>
          <w:ilvl w:val="0"/>
          <w:numId w:val="0"/>
        </w:numPr>
      </w:pPr>
    </w:p>
    <w:bookmarkEnd w:id="0"/>
    <w:p w14:paraId="688845D7" w14:textId="77777777" w:rsidR="008214C3" w:rsidRDefault="008214C3" w:rsidP="008214C3">
      <w:pPr>
        <w:pStyle w:val="Exergue"/>
        <w:rPr>
          <w:rFonts w:cs="Arial"/>
          <w:bCs w:val="0"/>
          <w:color w:val="000000" w:themeColor="text1"/>
          <w:spacing w:val="6"/>
        </w:rPr>
      </w:pPr>
    </w:p>
    <w:p w14:paraId="4EEC4530" w14:textId="77777777" w:rsidR="008214C3" w:rsidRPr="0008468B" w:rsidRDefault="008214C3" w:rsidP="008214C3">
      <w:pPr>
        <w:pStyle w:val="Titrepartie"/>
      </w:pPr>
      <w:r w:rsidRPr="0008468B">
        <w:t>Annexes :</w:t>
      </w:r>
    </w:p>
    <w:p w14:paraId="5927147C" w14:textId="5975008B" w:rsidR="008214C3" w:rsidRDefault="008214C3" w:rsidP="008214C3">
      <w:pPr>
        <w:pStyle w:val="Paragraphe"/>
        <w:numPr>
          <w:ilvl w:val="0"/>
          <w:numId w:val="2"/>
        </w:numPr>
      </w:pPr>
      <w:r>
        <w:t xml:space="preserve">Annexe 1 : </w:t>
      </w:r>
      <w:r w:rsidR="0094305C">
        <w:t xml:space="preserve">Proposition de </w:t>
      </w:r>
      <w:r>
        <w:t>T</w:t>
      </w:r>
      <w:r w:rsidR="00AD067B">
        <w:t xml:space="preserve">ermes de référence de la </w:t>
      </w:r>
      <w:proofErr w:type="spellStart"/>
      <w:r w:rsidR="00AD067B">
        <w:t>task</w:t>
      </w:r>
      <w:proofErr w:type="spellEnd"/>
      <w:r w:rsidR="00AD067B">
        <w:t xml:space="preserve"> force régionale STAT SANOI sur l’agriculture et la sécurité alimentaire et nutritionnelle. </w:t>
      </w:r>
    </w:p>
    <w:p w14:paraId="57A2D5D4" w14:textId="5E0419CC" w:rsidR="007D2AA9" w:rsidRDefault="00AD067B" w:rsidP="0094305C">
      <w:pPr>
        <w:pStyle w:val="Paragraphe"/>
        <w:numPr>
          <w:ilvl w:val="0"/>
          <w:numId w:val="2"/>
        </w:numPr>
      </w:pPr>
      <w:r>
        <w:t xml:space="preserve">Annexe 2 : </w:t>
      </w:r>
      <w:r w:rsidR="00870168">
        <w:t>P</w:t>
      </w:r>
      <w:r w:rsidR="0094305C">
        <w:t>roposition d’A</w:t>
      </w:r>
      <w:r w:rsidR="0094305C" w:rsidRPr="0094305C">
        <w:t>ccord cadre pour la création et la mise en œuvre d’une plateforme interactive d’échange d’information, pour le réseau des laboratoires officiels de contrôle des produits alimentaires des états membres de la Commission de l’Océan Indien (COI) et le fonctionnement de ce réseau </w:t>
      </w:r>
    </w:p>
    <w:p w14:paraId="427DFC98" w14:textId="3B5F8380" w:rsidR="007E0EB4" w:rsidRDefault="007E0EB4" w:rsidP="0094305C">
      <w:pPr>
        <w:pStyle w:val="Paragraphe"/>
        <w:numPr>
          <w:ilvl w:val="0"/>
          <w:numId w:val="2"/>
        </w:numPr>
      </w:pPr>
      <w:r>
        <w:t xml:space="preserve">Annexe 3 : Note conceptuelle de la conférence ministérielle sur la sécurité alimentaire et nutritionnelle </w:t>
      </w:r>
    </w:p>
    <w:sectPr w:rsidR="007E0EB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F86A1" w14:textId="77777777" w:rsidR="00C350BB" w:rsidRDefault="00C350BB" w:rsidP="00A979BB">
      <w:r>
        <w:separator/>
      </w:r>
    </w:p>
  </w:endnote>
  <w:endnote w:type="continuationSeparator" w:id="0">
    <w:p w14:paraId="65068F48" w14:textId="77777777" w:rsidR="00C350BB" w:rsidRDefault="00C350BB" w:rsidP="00A9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041854"/>
      <w:docPartObj>
        <w:docPartGallery w:val="Page Numbers (Bottom of Page)"/>
        <w:docPartUnique/>
      </w:docPartObj>
    </w:sdtPr>
    <w:sdtEndPr/>
    <w:sdtContent>
      <w:p w14:paraId="75C51D17" w14:textId="6C666660" w:rsidR="00643182" w:rsidRDefault="00643182" w:rsidP="00643182">
        <w:pPr>
          <w:pStyle w:val="Pieddepage"/>
          <w:pBdr>
            <w:top w:val="single" w:sz="4" w:space="1" w:color="E97132" w:themeColor="accent2"/>
          </w:pBdr>
          <w:jc w:val="right"/>
        </w:pPr>
        <w:r>
          <w:fldChar w:fldCharType="begin"/>
        </w:r>
        <w:r>
          <w:instrText>PAGE   \* MERGEFORMAT</w:instrText>
        </w:r>
        <w:r>
          <w:fldChar w:fldCharType="separate"/>
        </w:r>
        <w:r>
          <w:t>2</w:t>
        </w:r>
        <w:r>
          <w:fldChar w:fldCharType="end"/>
        </w:r>
      </w:p>
    </w:sdtContent>
  </w:sdt>
  <w:p w14:paraId="23933664" w14:textId="77777777" w:rsidR="00643182" w:rsidRDefault="006431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5201D" w14:textId="77777777" w:rsidR="00C350BB" w:rsidRDefault="00C350BB" w:rsidP="00A979BB">
      <w:r>
        <w:separator/>
      </w:r>
    </w:p>
  </w:footnote>
  <w:footnote w:type="continuationSeparator" w:id="0">
    <w:p w14:paraId="71BD8C1B" w14:textId="77777777" w:rsidR="00C350BB" w:rsidRDefault="00C350BB" w:rsidP="00A9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266F" w14:textId="48488474" w:rsidR="00A979BB" w:rsidRDefault="00643182" w:rsidP="00A979BB">
    <w:pPr>
      <w:pStyle w:val="En-tte"/>
      <w:jc w:val="right"/>
      <w:rPr>
        <w:lang w:val="en-GB"/>
      </w:rPr>
    </w:pPr>
    <w:r>
      <w:rPr>
        <w:noProof/>
        <w:lang w:val="en-GB"/>
      </w:rPr>
      <w:drawing>
        <wp:anchor distT="0" distB="0" distL="114300" distR="114300" simplePos="0" relativeHeight="251658240" behindDoc="1" locked="0" layoutInCell="1" allowOverlap="1" wp14:anchorId="210E2BF0" wp14:editId="79569556">
          <wp:simplePos x="0" y="0"/>
          <wp:positionH relativeFrom="column">
            <wp:posOffset>95250</wp:posOffset>
          </wp:positionH>
          <wp:positionV relativeFrom="paragraph">
            <wp:posOffset>-201930</wp:posOffset>
          </wp:positionV>
          <wp:extent cx="1202055" cy="396875"/>
          <wp:effectExtent l="0" t="0" r="0" b="3175"/>
          <wp:wrapTight wrapText="bothSides">
            <wp:wrapPolygon edited="0">
              <wp:start x="0" y="0"/>
              <wp:lineTo x="0" y="20736"/>
              <wp:lineTo x="21223" y="20736"/>
              <wp:lineTo x="21223" y="0"/>
              <wp:lineTo x="0" y="0"/>
            </wp:wrapPolygon>
          </wp:wrapTight>
          <wp:docPr id="4567346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34648" name="Image 456734648"/>
                  <pic:cNvPicPr/>
                </pic:nvPicPr>
                <pic:blipFill>
                  <a:blip r:embed="rId1">
                    <a:extLst>
                      <a:ext uri="{28A0092B-C50C-407E-A947-70E740481C1C}">
                        <a14:useLocalDpi xmlns:a14="http://schemas.microsoft.com/office/drawing/2010/main" val="0"/>
                      </a:ext>
                    </a:extLst>
                  </a:blip>
                  <a:stretch>
                    <a:fillRect/>
                  </a:stretch>
                </pic:blipFill>
                <pic:spPr>
                  <a:xfrm>
                    <a:off x="0" y="0"/>
                    <a:ext cx="1202055" cy="396875"/>
                  </a:xfrm>
                  <a:prstGeom prst="rect">
                    <a:avLst/>
                  </a:prstGeom>
                </pic:spPr>
              </pic:pic>
            </a:graphicData>
          </a:graphic>
          <wp14:sizeRelH relativeFrom="margin">
            <wp14:pctWidth>0</wp14:pctWidth>
          </wp14:sizeRelH>
          <wp14:sizeRelV relativeFrom="margin">
            <wp14:pctHeight>0</wp14:pctHeight>
          </wp14:sizeRelV>
        </wp:anchor>
      </w:drawing>
    </w:r>
    <w:r w:rsidR="00A979BB">
      <w:rPr>
        <w:lang w:val="en-GB"/>
      </w:rPr>
      <w:t>Point 2.</w:t>
    </w:r>
    <w:r>
      <w:rPr>
        <w:lang w:val="en-GB"/>
      </w:rPr>
      <w:t>9</w:t>
    </w:r>
  </w:p>
  <w:p w14:paraId="7034754E" w14:textId="77777777" w:rsidR="00643182" w:rsidRPr="00A979BB" w:rsidRDefault="00643182" w:rsidP="00643182">
    <w:pPr>
      <w:pStyle w:val="En-tte"/>
      <w:pBdr>
        <w:bottom w:val="single" w:sz="4" w:space="1" w:color="0070C0"/>
      </w:pBd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5D33"/>
    <w:multiLevelType w:val="hybridMultilevel"/>
    <w:tmpl w:val="3D1E0DC2"/>
    <w:lvl w:ilvl="0" w:tplc="0FF6CC5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231474"/>
    <w:multiLevelType w:val="hybridMultilevel"/>
    <w:tmpl w:val="0E84340E"/>
    <w:lvl w:ilvl="0" w:tplc="2D546C8E">
      <w:start w:val="14"/>
      <w:numFmt w:val="bullet"/>
      <w:lvlText w:val="-"/>
      <w:lvlJc w:val="left"/>
      <w:pPr>
        <w:ind w:left="720" w:hanging="360"/>
      </w:pPr>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60081E"/>
    <w:multiLevelType w:val="multilevel"/>
    <w:tmpl w:val="4E463B1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9097907"/>
    <w:multiLevelType w:val="hybridMultilevel"/>
    <w:tmpl w:val="99DE8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FA7E94"/>
    <w:multiLevelType w:val="hybridMultilevel"/>
    <w:tmpl w:val="C952F602"/>
    <w:lvl w:ilvl="0" w:tplc="EE20EAB6">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2053893">
    <w:abstractNumId w:val="2"/>
  </w:num>
  <w:num w:numId="2" w16cid:durableId="824856041">
    <w:abstractNumId w:val="1"/>
  </w:num>
  <w:num w:numId="3" w16cid:durableId="2130583828">
    <w:abstractNumId w:val="4"/>
  </w:num>
  <w:num w:numId="4" w16cid:durableId="1176573991">
    <w:abstractNumId w:val="5"/>
  </w:num>
  <w:num w:numId="5" w16cid:durableId="899562132">
    <w:abstractNumId w:val="7"/>
  </w:num>
  <w:num w:numId="6" w16cid:durableId="1004749952">
    <w:abstractNumId w:val="0"/>
  </w:num>
  <w:num w:numId="7" w16cid:durableId="1076634661">
    <w:abstractNumId w:val="2"/>
  </w:num>
  <w:num w:numId="8" w16cid:durableId="1178234929">
    <w:abstractNumId w:val="2"/>
  </w:num>
  <w:num w:numId="9" w16cid:durableId="982199598">
    <w:abstractNumId w:val="2"/>
  </w:num>
  <w:num w:numId="10" w16cid:durableId="94979875">
    <w:abstractNumId w:val="2"/>
  </w:num>
  <w:num w:numId="11" w16cid:durableId="1342703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8617150">
    <w:abstractNumId w:val="3"/>
  </w:num>
  <w:num w:numId="13" w16cid:durableId="1863863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C3"/>
    <w:rsid w:val="00000242"/>
    <w:rsid w:val="0003111B"/>
    <w:rsid w:val="000459EF"/>
    <w:rsid w:val="000A779B"/>
    <w:rsid w:val="00123417"/>
    <w:rsid w:val="00184596"/>
    <w:rsid w:val="00214948"/>
    <w:rsid w:val="00234834"/>
    <w:rsid w:val="00316C86"/>
    <w:rsid w:val="00325A6A"/>
    <w:rsid w:val="003509B1"/>
    <w:rsid w:val="003641DE"/>
    <w:rsid w:val="005314F0"/>
    <w:rsid w:val="005505D9"/>
    <w:rsid w:val="00643182"/>
    <w:rsid w:val="00756B6D"/>
    <w:rsid w:val="007D2AA9"/>
    <w:rsid w:val="007E0EB4"/>
    <w:rsid w:val="008142D2"/>
    <w:rsid w:val="008214C3"/>
    <w:rsid w:val="00870168"/>
    <w:rsid w:val="008D3424"/>
    <w:rsid w:val="0094305C"/>
    <w:rsid w:val="00A173D7"/>
    <w:rsid w:val="00A37C51"/>
    <w:rsid w:val="00A979BB"/>
    <w:rsid w:val="00AD067B"/>
    <w:rsid w:val="00AF3511"/>
    <w:rsid w:val="00B102BC"/>
    <w:rsid w:val="00B51EC7"/>
    <w:rsid w:val="00B81298"/>
    <w:rsid w:val="00C0195F"/>
    <w:rsid w:val="00C17E76"/>
    <w:rsid w:val="00C20571"/>
    <w:rsid w:val="00C350BB"/>
    <w:rsid w:val="00C50E78"/>
    <w:rsid w:val="00D10856"/>
    <w:rsid w:val="00D34915"/>
    <w:rsid w:val="00D432EC"/>
    <w:rsid w:val="00D4367F"/>
    <w:rsid w:val="00DF3F77"/>
    <w:rsid w:val="00E66AF5"/>
    <w:rsid w:val="00F83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E611F"/>
  <w15:chartTrackingRefBased/>
  <w15:docId w15:val="{0CE67247-370D-994D-A171-7E861A1F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C3"/>
  </w:style>
  <w:style w:type="paragraph" w:styleId="Titre1">
    <w:name w:val="heading 1"/>
    <w:basedOn w:val="Normal"/>
    <w:next w:val="Normal"/>
    <w:link w:val="Titre1Car"/>
    <w:uiPriority w:val="9"/>
    <w:qFormat/>
    <w:rsid w:val="00821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1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14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14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14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14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14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14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14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4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14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14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14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14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14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14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14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14C3"/>
    <w:rPr>
      <w:rFonts w:eastAsiaTheme="majorEastAsia" w:cstheme="majorBidi"/>
      <w:color w:val="272727" w:themeColor="text1" w:themeTint="D8"/>
    </w:rPr>
  </w:style>
  <w:style w:type="paragraph" w:styleId="Titre">
    <w:name w:val="Title"/>
    <w:basedOn w:val="Normal"/>
    <w:next w:val="Normal"/>
    <w:link w:val="TitreCar"/>
    <w:uiPriority w:val="10"/>
    <w:qFormat/>
    <w:rsid w:val="008214C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14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14C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14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14C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214C3"/>
    <w:rPr>
      <w:i/>
      <w:iCs/>
      <w:color w:val="404040" w:themeColor="text1" w:themeTint="BF"/>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Ha"/>
    <w:basedOn w:val="Normal"/>
    <w:link w:val="ParagraphedelisteCar"/>
    <w:uiPriority w:val="34"/>
    <w:qFormat/>
    <w:rsid w:val="008214C3"/>
    <w:pPr>
      <w:ind w:left="720"/>
      <w:contextualSpacing/>
    </w:pPr>
  </w:style>
  <w:style w:type="character" w:styleId="Accentuationintense">
    <w:name w:val="Intense Emphasis"/>
    <w:basedOn w:val="Policepardfaut"/>
    <w:uiPriority w:val="21"/>
    <w:qFormat/>
    <w:rsid w:val="008214C3"/>
    <w:rPr>
      <w:i/>
      <w:iCs/>
      <w:color w:val="0F4761" w:themeColor="accent1" w:themeShade="BF"/>
    </w:rPr>
  </w:style>
  <w:style w:type="paragraph" w:styleId="Citationintense">
    <w:name w:val="Intense Quote"/>
    <w:basedOn w:val="Normal"/>
    <w:next w:val="Normal"/>
    <w:link w:val="CitationintenseCar"/>
    <w:uiPriority w:val="30"/>
    <w:qFormat/>
    <w:rsid w:val="00821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14C3"/>
    <w:rPr>
      <w:i/>
      <w:iCs/>
      <w:color w:val="0F4761" w:themeColor="accent1" w:themeShade="BF"/>
    </w:rPr>
  </w:style>
  <w:style w:type="character" w:styleId="Rfrenceintense">
    <w:name w:val="Intense Reference"/>
    <w:basedOn w:val="Policepardfaut"/>
    <w:uiPriority w:val="32"/>
    <w:qFormat/>
    <w:rsid w:val="008214C3"/>
    <w:rPr>
      <w:b/>
      <w:bCs/>
      <w:smallCaps/>
      <w:color w:val="0F4761" w:themeColor="accent1" w:themeShade="BF"/>
      <w:spacing w:val="5"/>
    </w:rPr>
  </w:style>
  <w:style w:type="table" w:styleId="Grilledutableau">
    <w:name w:val="Table Grid"/>
    <w:basedOn w:val="TableauNormal"/>
    <w:uiPriority w:val="39"/>
    <w:rsid w:val="008214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8214C3"/>
    <w:pPr>
      <w:spacing w:after="160" w:line="259" w:lineRule="auto"/>
      <w:jc w:val="both"/>
    </w:pPr>
    <w:rPr>
      <w:rFonts w:ascii="Verdana" w:hAnsi="Verdana" w:cs="Calibri"/>
      <w:kern w:val="0"/>
      <w:sz w:val="20"/>
      <w:szCs w:val="20"/>
      <w14:ligatures w14:val="none"/>
    </w:rPr>
  </w:style>
  <w:style w:type="paragraph" w:customStyle="1" w:styleId="Titrepartie">
    <w:name w:val="Titre partie"/>
    <w:basedOn w:val="Paragraphedeliste"/>
    <w:link w:val="TitrepartieCar"/>
    <w:qFormat/>
    <w:rsid w:val="008214C3"/>
    <w:pPr>
      <w:numPr>
        <w:numId w:val="1"/>
      </w:numPr>
      <w:spacing w:after="160" w:line="259" w:lineRule="auto"/>
      <w:jc w:val="both"/>
    </w:pPr>
    <w:rPr>
      <w:rFonts w:ascii="Verdana" w:hAnsi="Verdana" w:cs="Calibri"/>
      <w:b/>
      <w:bCs/>
      <w:color w:val="0070C0"/>
      <w:kern w:val="0"/>
      <w:sz w:val="22"/>
      <w:szCs w:val="20"/>
      <w14:ligatures w14:val="none"/>
    </w:rPr>
  </w:style>
  <w:style w:type="character" w:customStyle="1" w:styleId="ParagrapheCar">
    <w:name w:val="Paragraphe Car"/>
    <w:basedOn w:val="Policepardfaut"/>
    <w:link w:val="Paragraphe"/>
    <w:rsid w:val="008214C3"/>
    <w:rPr>
      <w:rFonts w:ascii="Verdana" w:hAnsi="Verdana" w:cs="Calibri"/>
      <w:kern w:val="0"/>
      <w:sz w:val="20"/>
      <w:szCs w:val="20"/>
      <w:lang w:val="fr-FR"/>
      <w14:ligatures w14:val="none"/>
    </w:rPr>
  </w:style>
  <w:style w:type="paragraph" w:customStyle="1" w:styleId="Exergue">
    <w:name w:val="Exergue"/>
    <w:basedOn w:val="Normal"/>
    <w:link w:val="ExergueCar"/>
    <w:qFormat/>
    <w:rsid w:val="008214C3"/>
    <w:pPr>
      <w:jc w:val="both"/>
    </w:pPr>
    <w:rPr>
      <w:rFonts w:ascii="Verdana" w:eastAsia="Times New Roman" w:hAnsi="Verdana" w:cs="Times New Roman"/>
      <w:b/>
      <w:bCs/>
      <w:i/>
      <w:kern w:val="0"/>
      <w:sz w:val="20"/>
      <w:szCs w:val="20"/>
      <w14:ligatures w14:val="none"/>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Ha Car"/>
    <w:basedOn w:val="Policepardfaut"/>
    <w:link w:val="Paragraphedeliste"/>
    <w:uiPriority w:val="34"/>
    <w:qFormat/>
    <w:rsid w:val="008214C3"/>
  </w:style>
  <w:style w:type="character" w:customStyle="1" w:styleId="TitrepartieCar">
    <w:name w:val="Titre partie Car"/>
    <w:basedOn w:val="ParagraphedelisteCar"/>
    <w:link w:val="Titrepartie"/>
    <w:rsid w:val="008214C3"/>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8214C3"/>
    <w:pPr>
      <w:numPr>
        <w:ilvl w:val="1"/>
        <w:numId w:val="1"/>
      </w:numPr>
      <w:spacing w:after="160" w:line="259" w:lineRule="auto"/>
      <w:jc w:val="both"/>
    </w:pPr>
    <w:rPr>
      <w:rFonts w:ascii="Verdana" w:hAnsi="Verdana" w:cs="Calibri"/>
      <w:color w:val="0070C0"/>
      <w:kern w:val="0"/>
      <w:sz w:val="20"/>
      <w:szCs w:val="20"/>
      <w14:ligatures w14:val="none"/>
    </w:rPr>
  </w:style>
  <w:style w:type="character" w:customStyle="1" w:styleId="ExergueCar">
    <w:name w:val="Exergue Car"/>
    <w:basedOn w:val="Policepardfaut"/>
    <w:link w:val="Exergue"/>
    <w:rsid w:val="008214C3"/>
    <w:rPr>
      <w:rFonts w:ascii="Verdana" w:eastAsia="Times New Roman" w:hAnsi="Verdana" w:cs="Times New Roman"/>
      <w:b/>
      <w:bCs/>
      <w:i/>
      <w:kern w:val="0"/>
      <w:sz w:val="20"/>
      <w:szCs w:val="20"/>
      <w:lang w:val="fr-FR"/>
      <w14:ligatures w14:val="none"/>
    </w:rPr>
  </w:style>
  <w:style w:type="character" w:customStyle="1" w:styleId="Sous-partie2Car">
    <w:name w:val="Sous-partie 2 Car"/>
    <w:basedOn w:val="ParagraphedelisteCar"/>
    <w:link w:val="Sous-partie2"/>
    <w:rsid w:val="008214C3"/>
    <w:rPr>
      <w:rFonts w:ascii="Verdana" w:hAnsi="Verdana" w:cs="Calibri"/>
      <w:color w:val="0070C0"/>
      <w:kern w:val="0"/>
      <w:sz w:val="20"/>
      <w:szCs w:val="20"/>
      <w:lang w:val="fr-FR"/>
      <w14:ligatures w14:val="none"/>
    </w:rPr>
  </w:style>
  <w:style w:type="paragraph" w:styleId="NormalWeb">
    <w:name w:val="Normal (Web)"/>
    <w:basedOn w:val="Normal"/>
    <w:uiPriority w:val="99"/>
    <w:unhideWhenUsed/>
    <w:rsid w:val="008214C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979BB"/>
    <w:pPr>
      <w:tabs>
        <w:tab w:val="center" w:pos="4513"/>
        <w:tab w:val="right" w:pos="9026"/>
      </w:tabs>
    </w:pPr>
  </w:style>
  <w:style w:type="character" w:customStyle="1" w:styleId="En-tteCar">
    <w:name w:val="En-tête Car"/>
    <w:basedOn w:val="Policepardfaut"/>
    <w:link w:val="En-tte"/>
    <w:uiPriority w:val="99"/>
    <w:rsid w:val="00A979BB"/>
  </w:style>
  <w:style w:type="paragraph" w:styleId="Pieddepage">
    <w:name w:val="footer"/>
    <w:basedOn w:val="Normal"/>
    <w:link w:val="PieddepageCar"/>
    <w:uiPriority w:val="99"/>
    <w:unhideWhenUsed/>
    <w:rsid w:val="00A979BB"/>
    <w:pPr>
      <w:tabs>
        <w:tab w:val="center" w:pos="4513"/>
        <w:tab w:val="right" w:pos="9026"/>
      </w:tabs>
    </w:pPr>
  </w:style>
  <w:style w:type="character" w:customStyle="1" w:styleId="PieddepageCar">
    <w:name w:val="Pied de page Car"/>
    <w:basedOn w:val="Policepardfaut"/>
    <w:link w:val="Pieddepage"/>
    <w:uiPriority w:val="99"/>
    <w:rsid w:val="00A9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9769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2024-11-16T14:03:00Z</dcterms:created>
  <dcterms:modified xsi:type="dcterms:W3CDTF">2024-11-16T14:03:00Z</dcterms:modified>
</cp:coreProperties>
</file>