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94009" w14:textId="7F10DC44" w:rsidR="00EE7CC0" w:rsidRDefault="00EE7CC0" w:rsidP="00EE7CC0">
      <w:pPr>
        <w:rPr>
          <w:b/>
          <w:bCs/>
          <w:smallCaps/>
          <w:sz w:val="28"/>
          <w:szCs w:val="28"/>
        </w:rPr>
      </w:pPr>
    </w:p>
    <w:p w14:paraId="44DF07A0" w14:textId="564C0665" w:rsidR="00EE7CC0" w:rsidRDefault="00E103DE" w:rsidP="00E103DE">
      <w:pPr>
        <w:pStyle w:val="Paragraphe"/>
        <w:pBdr>
          <w:bottom w:val="single" w:sz="4" w:space="1" w:color="E97132" w:themeColor="accent2"/>
        </w:pBdr>
      </w:pPr>
      <w:r>
        <w:t xml:space="preserve">Fiche 2.9. </w:t>
      </w:r>
      <w:r w:rsidR="00EE7CC0">
        <w:t xml:space="preserve">Annexe </w:t>
      </w:r>
      <w:r>
        <w:t xml:space="preserve">1 </w:t>
      </w:r>
      <w:r w:rsidR="00EE7CC0">
        <w:t xml:space="preserve">- Proposition de Termes de référence de la </w:t>
      </w:r>
      <w:proofErr w:type="spellStart"/>
      <w:r w:rsidR="00EE7CC0">
        <w:t>task</w:t>
      </w:r>
      <w:proofErr w:type="spellEnd"/>
      <w:r w:rsidR="00EE7CC0">
        <w:t xml:space="preserve"> force régionale STAT SANOI sur l’agriculture et la sécurité alimentaire et nutritionnelle. </w:t>
      </w:r>
    </w:p>
    <w:p w14:paraId="55180038" w14:textId="77777777" w:rsidR="00EE7CC0" w:rsidRDefault="00EE7CC0" w:rsidP="00EE7CC0">
      <w:pPr>
        <w:rPr>
          <w:b/>
          <w:bCs/>
          <w:smallCaps/>
          <w:sz w:val="28"/>
          <w:szCs w:val="28"/>
        </w:rPr>
      </w:pPr>
    </w:p>
    <w:p w14:paraId="46564ED4" w14:textId="42EB39DF" w:rsidR="00FA6DBB" w:rsidRPr="00755AA4" w:rsidRDefault="00056C4D" w:rsidP="00FA6DBB">
      <w:pPr>
        <w:jc w:val="center"/>
        <w:rPr>
          <w:b/>
          <w:bCs/>
          <w:smallCaps/>
          <w:sz w:val="28"/>
          <w:szCs w:val="28"/>
        </w:rPr>
      </w:pPr>
      <w:r w:rsidRPr="00755AA4">
        <w:rPr>
          <w:b/>
          <w:bCs/>
          <w:smallCaps/>
          <w:sz w:val="28"/>
          <w:szCs w:val="28"/>
        </w:rPr>
        <w:t xml:space="preserve">Termes de </w:t>
      </w:r>
      <w:proofErr w:type="spellStart"/>
      <w:r w:rsidRPr="00755AA4">
        <w:rPr>
          <w:b/>
          <w:bCs/>
          <w:smallCaps/>
          <w:sz w:val="28"/>
          <w:szCs w:val="28"/>
        </w:rPr>
        <w:t>reference</w:t>
      </w:r>
      <w:proofErr w:type="spellEnd"/>
      <w:r w:rsidRPr="00755AA4">
        <w:rPr>
          <w:b/>
          <w:bCs/>
          <w:smallCaps/>
          <w:sz w:val="28"/>
          <w:szCs w:val="28"/>
        </w:rPr>
        <w:t xml:space="preserve"> de la </w:t>
      </w:r>
      <w:proofErr w:type="spellStart"/>
      <w:r w:rsidR="00D74188">
        <w:rPr>
          <w:b/>
          <w:bCs/>
          <w:smallCaps/>
          <w:sz w:val="28"/>
          <w:szCs w:val="28"/>
        </w:rPr>
        <w:t>task</w:t>
      </w:r>
      <w:proofErr w:type="spellEnd"/>
      <w:r w:rsidRPr="00755AA4">
        <w:rPr>
          <w:b/>
          <w:bCs/>
          <w:smallCaps/>
          <w:sz w:val="28"/>
          <w:szCs w:val="28"/>
        </w:rPr>
        <w:t xml:space="preserve"> force </w:t>
      </w:r>
      <w:proofErr w:type="spellStart"/>
      <w:r w:rsidRPr="00755AA4">
        <w:rPr>
          <w:b/>
          <w:bCs/>
          <w:smallCaps/>
          <w:sz w:val="28"/>
          <w:szCs w:val="28"/>
        </w:rPr>
        <w:t>regionale</w:t>
      </w:r>
      <w:proofErr w:type="spellEnd"/>
      <w:r w:rsidRPr="00755AA4">
        <w:rPr>
          <w:b/>
          <w:bCs/>
          <w:smallCaps/>
          <w:sz w:val="28"/>
          <w:szCs w:val="28"/>
        </w:rPr>
        <w:t xml:space="preserve"> </w:t>
      </w:r>
      <w:r w:rsidR="00FA6DBB" w:rsidRPr="00755AA4">
        <w:rPr>
          <w:b/>
          <w:bCs/>
          <w:smallCaps/>
          <w:sz w:val="28"/>
          <w:szCs w:val="28"/>
        </w:rPr>
        <w:t>Stat SANOI</w:t>
      </w:r>
    </w:p>
    <w:p w14:paraId="561D1046" w14:textId="0965AC00" w:rsidR="004B61BB" w:rsidRPr="00755AA4" w:rsidRDefault="00056C4D" w:rsidP="00BC39F8">
      <w:pPr>
        <w:jc w:val="center"/>
        <w:rPr>
          <w:b/>
          <w:bCs/>
          <w:smallCaps/>
          <w:sz w:val="28"/>
          <w:szCs w:val="28"/>
        </w:rPr>
      </w:pPr>
      <w:r w:rsidRPr="00755AA4">
        <w:rPr>
          <w:b/>
          <w:bCs/>
          <w:smallCaps/>
          <w:sz w:val="28"/>
          <w:szCs w:val="28"/>
        </w:rPr>
        <w:t xml:space="preserve">sur l’agriculture </w:t>
      </w:r>
      <w:r w:rsidR="000C601C">
        <w:rPr>
          <w:b/>
          <w:bCs/>
          <w:smallCaps/>
          <w:sz w:val="28"/>
          <w:szCs w:val="28"/>
        </w:rPr>
        <w:t xml:space="preserve">et </w:t>
      </w:r>
      <w:r w:rsidRPr="00755AA4">
        <w:rPr>
          <w:b/>
          <w:bCs/>
          <w:smallCaps/>
          <w:sz w:val="28"/>
          <w:szCs w:val="28"/>
        </w:rPr>
        <w:t>la sécurité alimentaire et nutritionnelle</w:t>
      </w:r>
    </w:p>
    <w:p w14:paraId="375699D8" w14:textId="77777777" w:rsidR="00B83B31" w:rsidRDefault="00B83B31" w:rsidP="00056C4D">
      <w:pPr>
        <w:jc w:val="both"/>
        <w:rPr>
          <w:b/>
          <w:bCs/>
          <w:sz w:val="28"/>
          <w:szCs w:val="28"/>
        </w:rPr>
      </w:pPr>
    </w:p>
    <w:p w14:paraId="0DA2EC43" w14:textId="77777777" w:rsidR="008D1AC1" w:rsidRDefault="008D1AC1" w:rsidP="00056C4D">
      <w:pPr>
        <w:jc w:val="both"/>
        <w:rPr>
          <w:b/>
          <w:bCs/>
          <w:sz w:val="28"/>
          <w:szCs w:val="28"/>
        </w:rPr>
      </w:pPr>
    </w:p>
    <w:p w14:paraId="263EC8DB" w14:textId="2575E81E" w:rsidR="00056C4D" w:rsidRPr="008B3813" w:rsidRDefault="00056C4D" w:rsidP="006C5B67">
      <w:pPr>
        <w:pStyle w:val="Paragraphedeliste"/>
        <w:numPr>
          <w:ilvl w:val="0"/>
          <w:numId w:val="1"/>
        </w:numPr>
        <w:jc w:val="both"/>
        <w:rPr>
          <w:b/>
          <w:bCs/>
          <w:sz w:val="28"/>
          <w:szCs w:val="28"/>
        </w:rPr>
      </w:pPr>
      <w:r w:rsidRPr="008B3813">
        <w:rPr>
          <w:b/>
          <w:bCs/>
          <w:sz w:val="28"/>
          <w:szCs w:val="28"/>
        </w:rPr>
        <w:t>Introduction</w:t>
      </w:r>
    </w:p>
    <w:p w14:paraId="51200FB4" w14:textId="77777777" w:rsidR="00CF60EF" w:rsidRDefault="00CF60EF" w:rsidP="00056C4D">
      <w:pPr>
        <w:jc w:val="both"/>
      </w:pPr>
    </w:p>
    <w:p w14:paraId="51E0C998" w14:textId="06BE6472" w:rsidR="00056C4D" w:rsidRDefault="00056C4D" w:rsidP="00056C4D">
      <w:pPr>
        <w:jc w:val="both"/>
      </w:pPr>
      <w:r>
        <w:t>La sécurité alimentaire et nutritionnelle constitue un défi majeur pour Madagascar, les Comores, Maurice et les Seychelles, 4 pays membres de la Commission de l’Océan Indien (COI) qui partagent des contraintes similaires, dont 1) la dépendance à l'égard du commerce international et des aliments importés ; 2) la vulnérabilité au changement climatique, aux catastrophes naturelles et aux chocs économiques externes ; 3) la malnutrition ; et 4) des taux élevés de maladies non transmissibles liées à la mauvaise alimentation.</w:t>
      </w:r>
    </w:p>
    <w:p w14:paraId="28B9B70B" w14:textId="77777777" w:rsidR="00056C4D" w:rsidRDefault="00056C4D" w:rsidP="00056C4D">
      <w:pPr>
        <w:jc w:val="both"/>
      </w:pPr>
    </w:p>
    <w:p w14:paraId="37A2BB90" w14:textId="10A73191" w:rsidR="00056C4D" w:rsidRDefault="00056C4D" w:rsidP="00056C4D">
      <w:pPr>
        <w:jc w:val="both"/>
      </w:pPr>
      <w:r>
        <w:t xml:space="preserve">Un manque d’information régulière et fiable aux niveaux national et régional (COI) sur les différentes dimensions de la sécurité alimentaire et nutritionnelle est identifié comme un obstacle de premier plan à la prise de décisions pour remédier à cette situation de vulnérabilité partagée. Pour faire face à ce constat, </w:t>
      </w:r>
      <w:r w:rsidR="004E1A84">
        <w:t xml:space="preserve">les pays membres de la COI ont bénéficié d’un appui pour </w:t>
      </w:r>
      <w:r>
        <w:t>harmoniser le suivi régional de la sécurité alimentaire et nutritionnelle dans la région et à remédier au manque de données en mettant en place un réseau de systèmes d’information nationale pour le partage d’informations, qui contribueront ensuite à une plateforme régionale.</w:t>
      </w:r>
    </w:p>
    <w:p w14:paraId="71036E79" w14:textId="77777777" w:rsidR="00056C4D" w:rsidRDefault="00056C4D" w:rsidP="00056C4D">
      <w:pPr>
        <w:jc w:val="both"/>
      </w:pPr>
    </w:p>
    <w:p w14:paraId="20FB849E" w14:textId="61822DF4" w:rsidR="00056C4D" w:rsidRDefault="00056C4D" w:rsidP="00056C4D">
      <w:pPr>
        <w:jc w:val="both"/>
      </w:pPr>
      <w:r>
        <w:t xml:space="preserve">C’est dans ce cadre que les gouvernements des 4 pays, représentés par leur ministère en charge de l’Agriculture, bénéficient de l’assistance de la FAO à travers le projet régional </w:t>
      </w:r>
      <w:r w:rsidR="004E1A84">
        <w:t>Stat SANOI (</w:t>
      </w:r>
      <w:r>
        <w:t>GCP/MAG/095/EC</w:t>
      </w:r>
      <w:r w:rsidR="004E1A84">
        <w:t>)</w:t>
      </w:r>
      <w:r>
        <w:t xml:space="preserve"> pour la mise en place et l’opérationnalisation de ces plateformes. Cette action s’inscrit dans le cadre du programme régional SANOI financé par l’Union Européenne. L'objectif général de cette action est l’amélioration de la prise de décision et de la planification stratégique au niveau national et régional, fondées sur les preuves, concernant la sécurité alimentaire et nutritionnelle.</w:t>
      </w:r>
    </w:p>
    <w:p w14:paraId="3C3F2529" w14:textId="77777777" w:rsidR="00B772CA" w:rsidRDefault="00B772CA" w:rsidP="00056C4D">
      <w:pPr>
        <w:jc w:val="both"/>
      </w:pPr>
    </w:p>
    <w:p w14:paraId="73CCDD3A" w14:textId="35616E0F" w:rsidR="00A74549" w:rsidRDefault="00B772CA" w:rsidP="00056C4D">
      <w:pPr>
        <w:jc w:val="both"/>
      </w:pPr>
      <w:r>
        <w:t xml:space="preserve">Une </w:t>
      </w:r>
      <w:proofErr w:type="spellStart"/>
      <w:r w:rsidR="00D74188">
        <w:t>task</w:t>
      </w:r>
      <w:proofErr w:type="spellEnd"/>
      <w:r>
        <w:t xml:space="preserve"> force nationale est constituée au niveau de chaque pays afin d</w:t>
      </w:r>
      <w:r w:rsidR="00CB0407">
        <w:t>e servir d’ancrage institutionnel</w:t>
      </w:r>
      <w:r w:rsidR="004D6BF8">
        <w:t>, d</w:t>
      </w:r>
      <w:r>
        <w:t xml:space="preserve">’appuyer </w:t>
      </w:r>
      <w:r w:rsidR="00CB0407">
        <w:t>l’alimentation</w:t>
      </w:r>
      <w:r>
        <w:t xml:space="preserve"> et la mise à jour des informations, de dynamiser les institutions nationales productrices et dépositaires des données sur l’agriculture et la sécurité alimentaire</w:t>
      </w:r>
      <w:r w:rsidR="00CB0407">
        <w:t>, et de maintenir les plateformes nationales opérationnelles.</w:t>
      </w:r>
      <w:r w:rsidR="00443CFB" w:rsidRPr="00443CFB">
        <w:t xml:space="preserve"> </w:t>
      </w:r>
    </w:p>
    <w:p w14:paraId="0C52D955" w14:textId="6E835B15" w:rsidR="00443CFB" w:rsidRDefault="00443CFB" w:rsidP="00056C4D">
      <w:pPr>
        <w:jc w:val="both"/>
      </w:pPr>
      <w:r>
        <w:t>L’organisation des plateformes prévoit que toutes les données seront introduites directement par les 4 pays partenaires</w:t>
      </w:r>
      <w:r w:rsidR="009C44CD">
        <w:t xml:space="preserve"> et les </w:t>
      </w:r>
      <w:proofErr w:type="spellStart"/>
      <w:r w:rsidR="009C44CD">
        <w:t>task</w:t>
      </w:r>
      <w:proofErr w:type="spellEnd"/>
      <w:r w:rsidR="009C44CD">
        <w:t xml:space="preserve"> forces nationales respectives mettront en œuvre les dispositions nécessaires pour des mises à jour effecti</w:t>
      </w:r>
      <w:r w:rsidR="00732109">
        <w:t>ve</w:t>
      </w:r>
      <w:r w:rsidR="009C44CD">
        <w:t>s des données</w:t>
      </w:r>
      <w:r>
        <w:t>. La plateforme régionale ne sera constituée que d’une sélection de données parmi les données nationales</w:t>
      </w:r>
      <w:r w:rsidRPr="00443CFB">
        <w:t xml:space="preserve"> </w:t>
      </w:r>
      <w:r>
        <w:t>pertinentes. Aucune opération récurrente de gestion des données n’est donc à prévoir à ce niveau.</w:t>
      </w:r>
    </w:p>
    <w:p w14:paraId="7C985C27" w14:textId="59792753" w:rsidR="00CB0407" w:rsidRDefault="00CB0407" w:rsidP="00056C4D">
      <w:pPr>
        <w:jc w:val="both"/>
      </w:pPr>
    </w:p>
    <w:p w14:paraId="2D6246C9" w14:textId="605F9356" w:rsidR="00CB0407" w:rsidRDefault="00CB0407" w:rsidP="00056C4D">
      <w:pPr>
        <w:jc w:val="both"/>
      </w:pPr>
      <w:r>
        <w:t>Au niveau</w:t>
      </w:r>
      <w:r w:rsidR="008E6686">
        <w:t xml:space="preserve"> régional, </w:t>
      </w:r>
      <w:r w:rsidR="002125A0">
        <w:t xml:space="preserve">pour garantir la pérennité de la plateforme, </w:t>
      </w:r>
      <w:r w:rsidR="008E6686">
        <w:t xml:space="preserve">un ancrage institutionnel est également nécessaire pour mobiliser les pays membres bénéficiaires de cette initiative </w:t>
      </w:r>
      <w:r w:rsidR="00D10A27">
        <w:t>à</w:t>
      </w:r>
      <w:r w:rsidR="008E6686">
        <w:t xml:space="preserve"> </w:t>
      </w:r>
      <w:r w:rsidR="002125A0">
        <w:t>faire vivre la plateforme.</w:t>
      </w:r>
      <w:r w:rsidR="00443CFB" w:rsidRPr="00443CFB">
        <w:t xml:space="preserve"> </w:t>
      </w:r>
    </w:p>
    <w:p w14:paraId="46C0D999" w14:textId="77777777" w:rsidR="002125A0" w:rsidRDefault="002125A0" w:rsidP="00056C4D">
      <w:pPr>
        <w:jc w:val="both"/>
      </w:pPr>
    </w:p>
    <w:p w14:paraId="72B015B0" w14:textId="40556F69" w:rsidR="002125A0" w:rsidRDefault="00A05E81" w:rsidP="00056C4D">
      <w:pPr>
        <w:jc w:val="both"/>
      </w:pPr>
      <w:r>
        <w:t xml:space="preserve">Les </w:t>
      </w:r>
      <w:r w:rsidR="00EA7236">
        <w:t>principes cités dans</w:t>
      </w:r>
      <w:r w:rsidR="00525A35">
        <w:t xml:space="preserve"> </w:t>
      </w:r>
      <w:r w:rsidR="005B3D3F">
        <w:t>c</w:t>
      </w:r>
      <w:r w:rsidR="00EA7236">
        <w:t xml:space="preserve">es </w:t>
      </w:r>
      <w:r>
        <w:t>termes de référence serv</w:t>
      </w:r>
      <w:r w:rsidR="00525A35">
        <w:t>iro</w:t>
      </w:r>
      <w:r>
        <w:t xml:space="preserve">nt de guide </w:t>
      </w:r>
      <w:r w:rsidR="0002487C" w:rsidRPr="0002487C">
        <w:t xml:space="preserve">à la </w:t>
      </w:r>
      <w:proofErr w:type="spellStart"/>
      <w:r w:rsidR="00D74188">
        <w:t>task</w:t>
      </w:r>
      <w:proofErr w:type="spellEnd"/>
      <w:r w:rsidR="0002487C" w:rsidRPr="0002487C">
        <w:t xml:space="preserve"> </w:t>
      </w:r>
      <w:r w:rsidR="00D74188">
        <w:t>force</w:t>
      </w:r>
      <w:r w:rsidR="0002487C" w:rsidRPr="0002487C">
        <w:t xml:space="preserve"> </w:t>
      </w:r>
      <w:r w:rsidR="00D74188">
        <w:t>régionale</w:t>
      </w:r>
      <w:r w:rsidR="0002487C" w:rsidRPr="0002487C">
        <w:t xml:space="preserve"> concernant ses rôles et ses responsabilités”</w:t>
      </w:r>
      <w:r w:rsidR="00201A8A">
        <w:t>.</w:t>
      </w:r>
      <w:r w:rsidR="00747526">
        <w:t xml:space="preserve"> </w:t>
      </w:r>
      <w:r w:rsidR="00071474">
        <w:t>Ces termes de référence seront soumis pour validation auprès des états membres à travers le secrétariat général de la COI.</w:t>
      </w:r>
    </w:p>
    <w:p w14:paraId="7729AB31" w14:textId="77777777" w:rsidR="003254D7" w:rsidRDefault="003254D7" w:rsidP="00056C4D">
      <w:pPr>
        <w:jc w:val="both"/>
      </w:pPr>
    </w:p>
    <w:p w14:paraId="5CFEA3FA" w14:textId="1A6BC4D2" w:rsidR="003254D7" w:rsidRPr="008B3813" w:rsidRDefault="005D064D" w:rsidP="003254D7">
      <w:pPr>
        <w:pStyle w:val="Paragraphedeliste"/>
        <w:numPr>
          <w:ilvl w:val="0"/>
          <w:numId w:val="1"/>
        </w:numPr>
        <w:jc w:val="both"/>
        <w:rPr>
          <w:b/>
          <w:bCs/>
          <w:sz w:val="28"/>
          <w:szCs w:val="28"/>
        </w:rPr>
      </w:pPr>
      <w:r w:rsidRPr="008B3813">
        <w:rPr>
          <w:b/>
          <w:bCs/>
          <w:sz w:val="28"/>
          <w:szCs w:val="28"/>
        </w:rPr>
        <w:t>Vision</w:t>
      </w:r>
      <w:r w:rsidR="000C6B1A" w:rsidRPr="008B3813">
        <w:rPr>
          <w:b/>
          <w:bCs/>
          <w:sz w:val="28"/>
          <w:szCs w:val="28"/>
        </w:rPr>
        <w:t xml:space="preserve"> et constitution de la </w:t>
      </w:r>
      <w:proofErr w:type="spellStart"/>
      <w:r w:rsidR="00D74188">
        <w:rPr>
          <w:b/>
          <w:bCs/>
          <w:sz w:val="28"/>
          <w:szCs w:val="28"/>
        </w:rPr>
        <w:t>task</w:t>
      </w:r>
      <w:proofErr w:type="spellEnd"/>
      <w:r w:rsidR="000C6B1A" w:rsidRPr="008B3813">
        <w:rPr>
          <w:b/>
          <w:bCs/>
          <w:sz w:val="28"/>
          <w:szCs w:val="28"/>
        </w:rPr>
        <w:t xml:space="preserve"> force </w:t>
      </w:r>
      <w:r w:rsidR="00312111" w:rsidRPr="008B3813">
        <w:rPr>
          <w:b/>
          <w:bCs/>
          <w:sz w:val="28"/>
          <w:szCs w:val="28"/>
        </w:rPr>
        <w:t>régionale</w:t>
      </w:r>
    </w:p>
    <w:p w14:paraId="203684DC" w14:textId="77777777" w:rsidR="00CF60EF" w:rsidRDefault="00CF60EF" w:rsidP="000C6B1A">
      <w:pPr>
        <w:jc w:val="both"/>
      </w:pPr>
    </w:p>
    <w:p w14:paraId="68A17713" w14:textId="1F156A7D" w:rsidR="003B266C" w:rsidRDefault="003254D7" w:rsidP="000C6B1A">
      <w:pPr>
        <w:jc w:val="both"/>
      </w:pPr>
      <w:r>
        <w:t xml:space="preserve">La </w:t>
      </w:r>
      <w:proofErr w:type="spellStart"/>
      <w:r w:rsidR="00D74188">
        <w:t>task</w:t>
      </w:r>
      <w:proofErr w:type="spellEnd"/>
      <w:r>
        <w:t xml:space="preserve"> force régionale </w:t>
      </w:r>
      <w:r w:rsidR="00EC0CB2">
        <w:t>est</w:t>
      </w:r>
      <w:r>
        <w:t xml:space="preserve"> un groupe de </w:t>
      </w:r>
      <w:r w:rsidR="008D2930">
        <w:t xml:space="preserve">coordination </w:t>
      </w:r>
      <w:r w:rsidR="00FF0515">
        <w:t>à</w:t>
      </w:r>
      <w:r w:rsidR="008C019D">
        <w:t xml:space="preserve"> la fois technique et stratégique pour garantir que des informations utiles </w:t>
      </w:r>
      <w:r w:rsidR="00FF0515">
        <w:t>soi</w:t>
      </w:r>
      <w:r w:rsidR="007F74C7">
        <w:t>en</w:t>
      </w:r>
      <w:r w:rsidR="00FF0515">
        <w:t>t disponible</w:t>
      </w:r>
      <w:r w:rsidR="007F74C7">
        <w:t>s</w:t>
      </w:r>
      <w:r w:rsidR="00FF0515">
        <w:t xml:space="preserve"> </w:t>
      </w:r>
      <w:r w:rsidR="00312111">
        <w:t>permettant à chaque</w:t>
      </w:r>
      <w:r w:rsidR="00FF0515">
        <w:t xml:space="preserve"> </w:t>
      </w:r>
      <w:r w:rsidR="007F74C7">
        <w:t>E</w:t>
      </w:r>
      <w:r w:rsidR="00FF0515">
        <w:t xml:space="preserve">tat membre </w:t>
      </w:r>
      <w:r w:rsidR="00312111">
        <w:t>d’</w:t>
      </w:r>
      <w:r w:rsidR="00FF0515">
        <w:t xml:space="preserve">intégrer les intérêts communs de la région </w:t>
      </w:r>
      <w:r w:rsidR="00312111">
        <w:t>du sud-ouest de l’</w:t>
      </w:r>
      <w:r w:rsidR="00071474">
        <w:t>O</w:t>
      </w:r>
      <w:r w:rsidR="00FF0515">
        <w:t xml:space="preserve">céan </w:t>
      </w:r>
      <w:r w:rsidR="00312111">
        <w:t>Indien</w:t>
      </w:r>
      <w:r w:rsidR="00FF0515">
        <w:t xml:space="preserve"> dans leur stratégie et politiques sur l’</w:t>
      </w:r>
      <w:r w:rsidR="00312111">
        <w:t>A</w:t>
      </w:r>
      <w:r w:rsidR="00FF0515">
        <w:t>griculture et la sécurité alimentaire et nutritionnelle.</w:t>
      </w:r>
      <w:r w:rsidR="00EC0CB2">
        <w:t xml:space="preserve"> </w:t>
      </w:r>
    </w:p>
    <w:p w14:paraId="5F640F5B" w14:textId="77777777" w:rsidR="000C6B1A" w:rsidRDefault="000C6B1A" w:rsidP="000C6B1A">
      <w:pPr>
        <w:jc w:val="both"/>
      </w:pPr>
    </w:p>
    <w:p w14:paraId="064672AD" w14:textId="647C6C17" w:rsidR="0056441C" w:rsidRDefault="00EC0CB2" w:rsidP="0056441C">
      <w:pPr>
        <w:jc w:val="both"/>
      </w:pPr>
      <w:r>
        <w:t xml:space="preserve">Dans ce sens, la </w:t>
      </w:r>
      <w:proofErr w:type="spellStart"/>
      <w:r w:rsidR="00D74188">
        <w:t>task</w:t>
      </w:r>
      <w:proofErr w:type="spellEnd"/>
      <w:r>
        <w:t xml:space="preserve"> force </w:t>
      </w:r>
      <w:r w:rsidR="00F63E59">
        <w:t>régionale</w:t>
      </w:r>
      <w:r>
        <w:t xml:space="preserve"> </w:t>
      </w:r>
      <w:r w:rsidR="008D2930">
        <w:t xml:space="preserve">sera </w:t>
      </w:r>
      <w:r w:rsidR="00312111">
        <w:t>composée</w:t>
      </w:r>
      <w:r w:rsidR="008D2930">
        <w:t xml:space="preserve"> des</w:t>
      </w:r>
      <w:r>
        <w:t xml:space="preserve"> </w:t>
      </w:r>
      <w:r w:rsidR="00071474">
        <w:t xml:space="preserve">représentants des </w:t>
      </w:r>
      <w:r w:rsidR="00312111">
        <w:t>E</w:t>
      </w:r>
      <w:r>
        <w:t>tats membres</w:t>
      </w:r>
      <w:r w:rsidR="00FF0515">
        <w:t xml:space="preserve"> bénéficiaires de cette initiative</w:t>
      </w:r>
      <w:r w:rsidR="00071474">
        <w:t xml:space="preserve"> et sera structurée en deux comités : stratégique et technique</w:t>
      </w:r>
      <w:r>
        <w:t xml:space="preserve">. </w:t>
      </w:r>
      <w:r w:rsidR="00071474">
        <w:t>Ainsi, c</w:t>
      </w:r>
      <w:r w:rsidR="00FF0515">
        <w:t xml:space="preserve">hacun des pays, à travers sa </w:t>
      </w:r>
      <w:proofErr w:type="spellStart"/>
      <w:r w:rsidR="00D74188">
        <w:t>task</w:t>
      </w:r>
      <w:proofErr w:type="spellEnd"/>
      <w:r w:rsidR="00FF0515">
        <w:t xml:space="preserve"> force nationale, devra proposer au moins deux représentants. Il faudra au moins un </w:t>
      </w:r>
      <w:r w:rsidR="00312111">
        <w:t>représentant</w:t>
      </w:r>
      <w:r w:rsidR="00FF0515">
        <w:t xml:space="preserve"> </w:t>
      </w:r>
      <w:r w:rsidR="00312111">
        <w:t xml:space="preserve">décideur </w:t>
      </w:r>
      <w:r w:rsidR="00FF0515">
        <w:t xml:space="preserve">pour constituer un </w:t>
      </w:r>
      <w:r w:rsidR="00D10A27">
        <w:t>comité</w:t>
      </w:r>
      <w:r w:rsidR="00FF0515">
        <w:t xml:space="preserve"> </w:t>
      </w:r>
      <w:r w:rsidR="00312111">
        <w:t>régional</w:t>
      </w:r>
      <w:r w:rsidR="00FF0515">
        <w:t xml:space="preserve"> </w:t>
      </w:r>
      <w:r w:rsidR="00312111">
        <w:t>stratégique</w:t>
      </w:r>
      <w:r w:rsidR="00FF0515">
        <w:t xml:space="preserve"> et au moins un </w:t>
      </w:r>
      <w:r w:rsidR="00312111">
        <w:t>représentant</w:t>
      </w:r>
      <w:r w:rsidR="00FF0515">
        <w:t xml:space="preserve"> au profil technique pour constituer un comité régional technique.</w:t>
      </w:r>
      <w:r w:rsidR="0056441C">
        <w:t xml:space="preserve"> </w:t>
      </w:r>
      <w:r w:rsidR="00DC0C78">
        <w:t xml:space="preserve">Cette responsabilité est liée à la fonction dans l’institution et non à l’identité personnelle du représentant désigné. </w:t>
      </w:r>
      <w:r w:rsidR="0056441C">
        <w:t>En tant que porteur du projet Stat SANOI, et ainsi assurée d’une connaissance approfondie du contexte institutionnel et technique de chaque pays,</w:t>
      </w:r>
      <w:r w:rsidR="00D10A27">
        <w:t xml:space="preserve"> la</w:t>
      </w:r>
      <w:r w:rsidR="0056441C">
        <w:t xml:space="preserve"> FAO peut également assister les </w:t>
      </w:r>
      <w:proofErr w:type="spellStart"/>
      <w:r w:rsidR="00D74188">
        <w:t>task</w:t>
      </w:r>
      <w:proofErr w:type="spellEnd"/>
      <w:r w:rsidR="00D10A27">
        <w:t xml:space="preserve"> </w:t>
      </w:r>
      <w:r w:rsidR="00312111">
        <w:t>f</w:t>
      </w:r>
      <w:r w:rsidR="00D10A27">
        <w:t>orces</w:t>
      </w:r>
      <w:r w:rsidR="0056441C">
        <w:t xml:space="preserve"> nationales à l’identification des membres représentants par pays. </w:t>
      </w:r>
    </w:p>
    <w:p w14:paraId="4E93529B" w14:textId="77777777" w:rsidR="00FF0515" w:rsidRDefault="00FF0515" w:rsidP="003254D7">
      <w:pPr>
        <w:jc w:val="both"/>
      </w:pPr>
    </w:p>
    <w:p w14:paraId="7EF33C9F" w14:textId="29D36973" w:rsidR="003254D7" w:rsidRDefault="00FF0515" w:rsidP="003254D7">
      <w:pPr>
        <w:jc w:val="both"/>
      </w:pPr>
      <w:r>
        <w:t xml:space="preserve">Les membres du comité </w:t>
      </w:r>
      <w:r w:rsidR="00747526">
        <w:t>stratégique</w:t>
      </w:r>
      <w:r>
        <w:t xml:space="preserve"> </w:t>
      </w:r>
      <w:r w:rsidR="00F63E59">
        <w:t>d</w:t>
      </w:r>
      <w:r>
        <w:t>oiven</w:t>
      </w:r>
      <w:r w:rsidR="00F63E59">
        <w:t xml:space="preserve">t pouvoir </w:t>
      </w:r>
      <w:r w:rsidR="00E95A0E">
        <w:t>représenter leurs</w:t>
      </w:r>
      <w:r w:rsidR="00DC0C78">
        <w:t xml:space="preserve"> </w:t>
      </w:r>
      <w:r w:rsidR="00BC2F0B">
        <w:t xml:space="preserve">pays respectifs au niveau de la </w:t>
      </w:r>
      <w:r w:rsidR="00747526">
        <w:t>région</w:t>
      </w:r>
      <w:r>
        <w:t xml:space="preserve"> en </w:t>
      </w:r>
      <w:r w:rsidR="00747526">
        <w:t>matière</w:t>
      </w:r>
      <w:r>
        <w:t xml:space="preserve"> de production de </w:t>
      </w:r>
      <w:r w:rsidR="00747526">
        <w:t>données</w:t>
      </w:r>
      <w:r>
        <w:t xml:space="preserve"> sur les thématiques d’</w:t>
      </w:r>
      <w:r w:rsidR="00747526">
        <w:t>intérêt</w:t>
      </w:r>
      <w:r w:rsidR="00BC2F0B">
        <w:t>.</w:t>
      </w:r>
      <w:r w:rsidR="00F63E59">
        <w:t xml:space="preserve"> </w:t>
      </w:r>
      <w:r w:rsidR="00EC0CB2">
        <w:t>Les représentants d</w:t>
      </w:r>
      <w:r>
        <w:t>oiven</w:t>
      </w:r>
      <w:r w:rsidR="00EC0CB2">
        <w:t xml:space="preserve">t pouvoir coordonner </w:t>
      </w:r>
      <w:r w:rsidR="00F63E59">
        <w:t xml:space="preserve">et communiquer </w:t>
      </w:r>
      <w:r>
        <w:t xml:space="preserve">de manière effective </w:t>
      </w:r>
      <w:r w:rsidR="00EC0CB2">
        <w:t xml:space="preserve">avec les </w:t>
      </w:r>
      <w:proofErr w:type="spellStart"/>
      <w:r w:rsidR="00D74188">
        <w:t>task</w:t>
      </w:r>
      <w:proofErr w:type="spellEnd"/>
      <w:r w:rsidR="00EC0CB2">
        <w:t xml:space="preserve"> forces nationales </w:t>
      </w:r>
      <w:r w:rsidR="00BC2F0B">
        <w:t xml:space="preserve">et toutes les institutions membres </w:t>
      </w:r>
      <w:r w:rsidR="00747526">
        <w:t xml:space="preserve">de cette </w:t>
      </w:r>
      <w:proofErr w:type="spellStart"/>
      <w:r w:rsidR="00D74188">
        <w:t>task</w:t>
      </w:r>
      <w:proofErr w:type="spellEnd"/>
      <w:r w:rsidR="00747526">
        <w:t xml:space="preserve"> force </w:t>
      </w:r>
      <w:r w:rsidR="00F63E59">
        <w:t xml:space="preserve">pour assurer cette </w:t>
      </w:r>
      <w:r w:rsidR="00BC2F0B">
        <w:t>tâche</w:t>
      </w:r>
      <w:r w:rsidR="00F63E59">
        <w:t>.</w:t>
      </w:r>
    </w:p>
    <w:p w14:paraId="692DE242" w14:textId="77777777" w:rsidR="003B266C" w:rsidRDefault="003B266C" w:rsidP="003254D7">
      <w:pPr>
        <w:jc w:val="both"/>
      </w:pPr>
    </w:p>
    <w:p w14:paraId="5FE0556C" w14:textId="406E0A00" w:rsidR="00FF0515" w:rsidRDefault="00FF0515" w:rsidP="003254D7">
      <w:pPr>
        <w:jc w:val="both"/>
      </w:pPr>
      <w:r>
        <w:t xml:space="preserve">Le </w:t>
      </w:r>
      <w:r w:rsidR="000C6B1A">
        <w:t>comité</w:t>
      </w:r>
      <w:r>
        <w:t xml:space="preserve"> technique </w:t>
      </w:r>
      <w:r w:rsidR="000C6B1A">
        <w:t>constitue le noyau d’un réseau de compétences techniques de référence en matière de collecte et de gestion de données sur l’</w:t>
      </w:r>
      <w:r w:rsidR="00BC39F8">
        <w:t>A</w:t>
      </w:r>
      <w:r w:rsidR="000C6B1A">
        <w:t xml:space="preserve">griculture et la SAN au niveau de la région </w:t>
      </w:r>
      <w:r w:rsidR="00747526">
        <w:t>du sud-ouest de l’</w:t>
      </w:r>
      <w:r w:rsidR="00071474">
        <w:t>O</w:t>
      </w:r>
      <w:r w:rsidR="000C6B1A">
        <w:t xml:space="preserve">céan </w:t>
      </w:r>
      <w:r w:rsidR="00071474">
        <w:t>I</w:t>
      </w:r>
      <w:r w:rsidR="000C6B1A">
        <w:t>ndien.</w:t>
      </w:r>
      <w:r w:rsidR="00EA31C6" w:rsidRPr="00EA31C6">
        <w:t xml:space="preserve"> Stat SANOI a grandement contribué au renforcement des capacités </w:t>
      </w:r>
      <w:r w:rsidR="00EA31C6">
        <w:t>des</w:t>
      </w:r>
      <w:r w:rsidR="00EA31C6" w:rsidRPr="00EA31C6">
        <w:t xml:space="preserve"> spécialistes </w:t>
      </w:r>
      <w:r w:rsidR="00EA31C6">
        <w:t>nationaux des institution</w:t>
      </w:r>
      <w:r w:rsidR="00443CFB">
        <w:t>s</w:t>
      </w:r>
      <w:r w:rsidR="00EA31C6">
        <w:t xml:space="preserve"> partenaire</w:t>
      </w:r>
      <w:r w:rsidR="00443CFB">
        <w:t>s</w:t>
      </w:r>
      <w:r w:rsidR="00EA31C6">
        <w:t xml:space="preserve"> et </w:t>
      </w:r>
      <w:r w:rsidR="00443CFB">
        <w:t xml:space="preserve">la poursuite </w:t>
      </w:r>
      <w:r w:rsidR="00EA31C6">
        <w:t>d</w:t>
      </w:r>
      <w:r w:rsidR="00443CFB">
        <w:t>’</w:t>
      </w:r>
      <w:r w:rsidR="00EA31C6" w:rsidRPr="00EA31C6">
        <w:t>échanges</w:t>
      </w:r>
      <w:r w:rsidR="00EA31C6">
        <w:t xml:space="preserve"> d’expériences entre pays </w:t>
      </w:r>
      <w:r w:rsidR="00443CFB">
        <w:t>est</w:t>
      </w:r>
      <w:r w:rsidR="00EA31C6" w:rsidRPr="00EA31C6">
        <w:t xml:space="preserve"> attendu</w:t>
      </w:r>
      <w:r w:rsidR="00443CFB">
        <w:t>e</w:t>
      </w:r>
      <w:r w:rsidR="00EA31C6" w:rsidRPr="00EA31C6">
        <w:t>.</w:t>
      </w:r>
    </w:p>
    <w:p w14:paraId="4FBF367B" w14:textId="77777777" w:rsidR="000C6B1A" w:rsidRDefault="000C6B1A" w:rsidP="003254D7">
      <w:pPr>
        <w:jc w:val="both"/>
      </w:pPr>
    </w:p>
    <w:p w14:paraId="6A3146FC" w14:textId="05845EB1" w:rsidR="003B266C" w:rsidRDefault="003B266C" w:rsidP="003254D7">
      <w:pPr>
        <w:jc w:val="both"/>
      </w:pPr>
      <w:r>
        <w:t xml:space="preserve">Outre les représentants des pays, </w:t>
      </w:r>
      <w:r w:rsidR="00AF7466">
        <w:t xml:space="preserve">le secrétariat général </w:t>
      </w:r>
      <w:r>
        <w:t xml:space="preserve">la COI </w:t>
      </w:r>
      <w:r w:rsidR="00196E37">
        <w:t xml:space="preserve">fait </w:t>
      </w:r>
      <w:r>
        <w:t xml:space="preserve">également partie de la </w:t>
      </w:r>
      <w:proofErr w:type="spellStart"/>
      <w:r w:rsidR="00D74188">
        <w:t>task</w:t>
      </w:r>
      <w:proofErr w:type="spellEnd"/>
      <w:r>
        <w:t xml:space="preserve"> force régionale comme acteur fédérateur</w:t>
      </w:r>
      <w:r w:rsidR="00196E37">
        <w:t xml:space="preserve"> et moteur du dialogue et des échanges </w:t>
      </w:r>
      <w:r w:rsidR="00EA31C6">
        <w:t xml:space="preserve">inter </w:t>
      </w:r>
      <w:r w:rsidR="00196E37">
        <w:t>insulaires</w:t>
      </w:r>
      <w:r>
        <w:t>.</w:t>
      </w:r>
      <w:r w:rsidR="00EA31C6" w:rsidRPr="00EA31C6">
        <w:t xml:space="preserve"> </w:t>
      </w:r>
      <w:r w:rsidR="00EA31C6">
        <w:t xml:space="preserve">A ce titre la COI </w:t>
      </w:r>
      <w:r w:rsidR="00EA31C6" w:rsidRPr="00EA31C6">
        <w:t>assure</w:t>
      </w:r>
      <w:r w:rsidR="00EA31C6">
        <w:t>ra</w:t>
      </w:r>
      <w:r w:rsidR="00EA31C6" w:rsidRPr="00EA31C6">
        <w:t xml:space="preserve"> l’animation </w:t>
      </w:r>
      <w:r w:rsidR="00EA31C6">
        <w:t>et</w:t>
      </w:r>
      <w:r w:rsidR="00EA31C6" w:rsidRPr="00EA31C6">
        <w:t xml:space="preserve"> la dynamisation de la </w:t>
      </w:r>
      <w:proofErr w:type="spellStart"/>
      <w:r w:rsidR="00D74188">
        <w:t>task</w:t>
      </w:r>
      <w:proofErr w:type="spellEnd"/>
      <w:r w:rsidR="00EA31C6">
        <w:t xml:space="preserve"> </w:t>
      </w:r>
      <w:r w:rsidR="00D74188">
        <w:t>force</w:t>
      </w:r>
      <w:r w:rsidR="00EA31C6">
        <w:t xml:space="preserve"> </w:t>
      </w:r>
      <w:r w:rsidR="00D74188">
        <w:t>régionale</w:t>
      </w:r>
      <w:r w:rsidR="00EA31C6">
        <w:t>. Pour le</w:t>
      </w:r>
      <w:r w:rsidR="00645015">
        <w:t xml:space="preserve"> traitement des </w:t>
      </w:r>
      <w:r w:rsidR="00EA31C6">
        <w:t xml:space="preserve">aspects techniques </w:t>
      </w:r>
      <w:r w:rsidR="00645015">
        <w:t>du</w:t>
      </w:r>
      <w:r w:rsidR="00EA31C6">
        <w:t xml:space="preserve"> fonctionnement des plateforme</w:t>
      </w:r>
      <w:r w:rsidR="00645015">
        <w:t>s,</w:t>
      </w:r>
      <w:r w:rsidR="00EA31C6">
        <w:t xml:space="preserve"> </w:t>
      </w:r>
      <w:r w:rsidR="00AE35C2">
        <w:t>telles que la mise à jour des données nationales ou l’</w:t>
      </w:r>
      <w:r w:rsidR="00443CFB">
        <w:t>hébergement</w:t>
      </w:r>
      <w:r w:rsidR="00AE35C2">
        <w:t xml:space="preserve"> des plateformes, </w:t>
      </w:r>
      <w:r w:rsidR="00EA31C6">
        <w:t xml:space="preserve">la COI s’appuiera </w:t>
      </w:r>
      <w:r w:rsidR="00645015">
        <w:t xml:space="preserve">sur </w:t>
      </w:r>
      <w:r w:rsidR="00645015" w:rsidRPr="00645015">
        <w:t xml:space="preserve">les TF nationales </w:t>
      </w:r>
      <w:r w:rsidR="00645015">
        <w:t xml:space="preserve">et </w:t>
      </w:r>
      <w:r w:rsidR="00AE35C2">
        <w:t xml:space="preserve">le cas échéant </w:t>
      </w:r>
      <w:r w:rsidR="00645015">
        <w:t xml:space="preserve">avec l’appui de la FAO. </w:t>
      </w:r>
      <w:r w:rsidR="00AE35C2">
        <w:t>Toute</w:t>
      </w:r>
      <w:r w:rsidR="009C44CD">
        <w:t>s</w:t>
      </w:r>
      <w:r w:rsidR="00AE35C2">
        <w:t xml:space="preserve"> question</w:t>
      </w:r>
      <w:r w:rsidR="009C44CD">
        <w:t>s</w:t>
      </w:r>
      <w:r w:rsidR="00AE35C2">
        <w:t xml:space="preserve"> engageant des budgets de fonctionnement de la </w:t>
      </w:r>
      <w:proofErr w:type="spellStart"/>
      <w:r w:rsidR="00D74188">
        <w:t>task</w:t>
      </w:r>
      <w:proofErr w:type="spellEnd"/>
      <w:r w:rsidR="00AE35C2">
        <w:t xml:space="preserve"> </w:t>
      </w:r>
      <w:r w:rsidR="00D74188">
        <w:t>force</w:t>
      </w:r>
      <w:r w:rsidR="00AE35C2">
        <w:t xml:space="preserve"> </w:t>
      </w:r>
      <w:r w:rsidR="00D74188">
        <w:t>régionale</w:t>
      </w:r>
      <w:r w:rsidR="00AE35C2">
        <w:t xml:space="preserve"> et/ou des plateformes seront décidées au niveau des Etats membres </w:t>
      </w:r>
      <w:r w:rsidR="009C44CD">
        <w:t xml:space="preserve">de </w:t>
      </w:r>
      <w:r w:rsidR="00AE35C2">
        <w:t>la COI et n</w:t>
      </w:r>
      <w:r w:rsidR="009C44CD">
        <w:t>e sont pas du ressort</w:t>
      </w:r>
      <w:r w:rsidR="00AE35C2">
        <w:t xml:space="preserve"> du secrétariat </w:t>
      </w:r>
      <w:r w:rsidR="009C44CD">
        <w:t xml:space="preserve">général </w:t>
      </w:r>
      <w:r w:rsidR="00AE35C2">
        <w:t>de la COI.</w:t>
      </w:r>
    </w:p>
    <w:p w14:paraId="597D7B45" w14:textId="77777777" w:rsidR="005D064D" w:rsidRDefault="005D064D" w:rsidP="003254D7">
      <w:pPr>
        <w:jc w:val="both"/>
      </w:pPr>
    </w:p>
    <w:p w14:paraId="5466932D" w14:textId="60233ADB" w:rsidR="00196E37" w:rsidRDefault="00196E37" w:rsidP="003254D7">
      <w:pPr>
        <w:jc w:val="both"/>
      </w:pPr>
      <w:r>
        <w:t>Enfin, l</w:t>
      </w:r>
      <w:r w:rsidR="00692D72">
        <w:t>a FAO</w:t>
      </w:r>
      <w:r>
        <w:t>, en tant qu’institution de connaissance,</w:t>
      </w:r>
      <w:r w:rsidR="00692D72">
        <w:t xml:space="preserve"> </w:t>
      </w:r>
      <w:r>
        <w:t xml:space="preserve">contribue à cette </w:t>
      </w:r>
      <w:proofErr w:type="spellStart"/>
      <w:r w:rsidR="00D74188">
        <w:t>task</w:t>
      </w:r>
      <w:proofErr w:type="spellEnd"/>
      <w:r>
        <w:t xml:space="preserve"> force pour fournir une expertise technique mais également pour contribuer </w:t>
      </w:r>
      <w:r w:rsidR="0056441C">
        <w:t>à</w:t>
      </w:r>
      <w:r>
        <w:t xml:space="preserve"> la pérennité des acquis et produits du projet Stat SANOI.</w:t>
      </w:r>
    </w:p>
    <w:p w14:paraId="79A61BEF" w14:textId="2493751D" w:rsidR="00692D72" w:rsidRDefault="0060029D" w:rsidP="003254D7">
      <w:pPr>
        <w:jc w:val="both"/>
      </w:pPr>
      <w:r>
        <w:t>Ces produits, dont les plateformes d’information sur l’</w:t>
      </w:r>
      <w:r w:rsidR="00B105E8">
        <w:t>A</w:t>
      </w:r>
      <w:r>
        <w:t xml:space="preserve">griculture et la SAN, devront vivre et évoluer en fonction des besoins et de la disponibilité des informations </w:t>
      </w:r>
      <w:r w:rsidR="00DC0C78">
        <w:t>à</w:t>
      </w:r>
      <w:r>
        <w:t xml:space="preserve"> l’échelle nationale </w:t>
      </w:r>
      <w:r w:rsidR="00DC0C78">
        <w:t>e</w:t>
      </w:r>
      <w:r>
        <w:t>t régionale.</w:t>
      </w:r>
    </w:p>
    <w:p w14:paraId="23429C1B" w14:textId="77777777" w:rsidR="0056441C" w:rsidRPr="008B3813" w:rsidRDefault="0056441C" w:rsidP="003254D7">
      <w:pPr>
        <w:jc w:val="both"/>
        <w:rPr>
          <w:b/>
          <w:bCs/>
          <w:sz w:val="28"/>
          <w:szCs w:val="28"/>
        </w:rPr>
      </w:pPr>
    </w:p>
    <w:p w14:paraId="10D472E0" w14:textId="59F3C524" w:rsidR="003B266C" w:rsidRDefault="005D064D" w:rsidP="005D064D">
      <w:pPr>
        <w:pStyle w:val="Paragraphedeliste"/>
        <w:numPr>
          <w:ilvl w:val="0"/>
          <w:numId w:val="1"/>
        </w:numPr>
        <w:jc w:val="both"/>
        <w:rPr>
          <w:b/>
          <w:bCs/>
          <w:sz w:val="28"/>
          <w:szCs w:val="28"/>
        </w:rPr>
      </w:pPr>
      <w:r w:rsidRPr="008B3813">
        <w:rPr>
          <w:b/>
          <w:bCs/>
          <w:sz w:val="28"/>
          <w:szCs w:val="28"/>
        </w:rPr>
        <w:t>Objectif et t</w:t>
      </w:r>
      <w:r w:rsidR="00DC0C78">
        <w:rPr>
          <w:b/>
          <w:bCs/>
          <w:sz w:val="28"/>
          <w:szCs w:val="28"/>
        </w:rPr>
        <w:t>â</w:t>
      </w:r>
      <w:r w:rsidRPr="008B3813">
        <w:rPr>
          <w:b/>
          <w:bCs/>
          <w:sz w:val="28"/>
          <w:szCs w:val="28"/>
        </w:rPr>
        <w:t>che</w:t>
      </w:r>
      <w:r w:rsidR="00DC0C78">
        <w:rPr>
          <w:b/>
          <w:bCs/>
          <w:sz w:val="28"/>
          <w:szCs w:val="28"/>
        </w:rPr>
        <w:t>s</w:t>
      </w:r>
      <w:r w:rsidRPr="008B3813">
        <w:rPr>
          <w:b/>
          <w:bCs/>
          <w:sz w:val="28"/>
          <w:szCs w:val="28"/>
        </w:rPr>
        <w:t xml:space="preserve"> spécifiques</w:t>
      </w:r>
    </w:p>
    <w:p w14:paraId="57500FC3" w14:textId="77777777" w:rsidR="009C145E" w:rsidRPr="008B3813" w:rsidRDefault="009C145E" w:rsidP="008D1AC1">
      <w:pPr>
        <w:pStyle w:val="Paragraphedeliste"/>
        <w:jc w:val="both"/>
        <w:rPr>
          <w:b/>
          <w:bCs/>
          <w:sz w:val="28"/>
          <w:szCs w:val="28"/>
        </w:rPr>
      </w:pPr>
    </w:p>
    <w:p w14:paraId="4FCF8699" w14:textId="7E41CC49" w:rsidR="00FC6E51" w:rsidRDefault="00FC6E51" w:rsidP="005D064D">
      <w:pPr>
        <w:jc w:val="both"/>
      </w:pPr>
      <w:r>
        <w:t xml:space="preserve">L’objectif principal de la </w:t>
      </w:r>
      <w:proofErr w:type="spellStart"/>
      <w:r w:rsidR="00D74188">
        <w:t>task</w:t>
      </w:r>
      <w:proofErr w:type="spellEnd"/>
      <w:r>
        <w:t xml:space="preserve"> force régionale est de soutenir l’engagement effectif des pays membres à pérenniser l</w:t>
      </w:r>
      <w:r w:rsidR="008F3D0D">
        <w:t>a plateforme régionale et les plateformes nationales</w:t>
      </w:r>
      <w:r>
        <w:t>.</w:t>
      </w:r>
    </w:p>
    <w:p w14:paraId="6017C690" w14:textId="29DE4254" w:rsidR="005D064D" w:rsidRDefault="005D064D" w:rsidP="005D064D">
      <w:pPr>
        <w:jc w:val="both"/>
      </w:pPr>
      <w:r>
        <w:t>Les t</w:t>
      </w:r>
      <w:r w:rsidR="00DC0C78">
        <w:t>â</w:t>
      </w:r>
      <w:r>
        <w:t xml:space="preserve">ches spécifiques suivantes reviennent </w:t>
      </w:r>
      <w:r w:rsidR="0060029D">
        <w:t>à</w:t>
      </w:r>
      <w:r>
        <w:t xml:space="preserve"> la </w:t>
      </w:r>
      <w:proofErr w:type="spellStart"/>
      <w:r w:rsidR="00D74188">
        <w:t>task</w:t>
      </w:r>
      <w:proofErr w:type="spellEnd"/>
      <w:r>
        <w:t xml:space="preserve"> force </w:t>
      </w:r>
      <w:r w:rsidR="0060029D">
        <w:t>régionale</w:t>
      </w:r>
    </w:p>
    <w:p w14:paraId="3D28B005" w14:textId="380A6F8C" w:rsidR="00B105E8" w:rsidRPr="00B105E8" w:rsidRDefault="00B105E8" w:rsidP="00B105E8">
      <w:pPr>
        <w:pStyle w:val="Paragraphedeliste"/>
        <w:numPr>
          <w:ilvl w:val="1"/>
          <w:numId w:val="1"/>
        </w:numPr>
        <w:jc w:val="both"/>
        <w:rPr>
          <w:b/>
          <w:bCs/>
        </w:rPr>
      </w:pPr>
      <w:r w:rsidRPr="008B3813">
        <w:rPr>
          <w:b/>
          <w:bCs/>
        </w:rPr>
        <w:t>Coordination et orientation</w:t>
      </w:r>
    </w:p>
    <w:p w14:paraId="513C023D" w14:textId="681407DE" w:rsidR="005D064D" w:rsidRPr="005D064D" w:rsidRDefault="005D064D" w:rsidP="005D064D">
      <w:pPr>
        <w:jc w:val="both"/>
      </w:pPr>
      <w:r w:rsidRPr="005D064D">
        <w:t xml:space="preserve">La </w:t>
      </w:r>
      <w:proofErr w:type="spellStart"/>
      <w:r w:rsidR="00D74188">
        <w:t>task</w:t>
      </w:r>
      <w:proofErr w:type="spellEnd"/>
      <w:r w:rsidRPr="005D064D">
        <w:t xml:space="preserve"> force régionale </w:t>
      </w:r>
      <w:r w:rsidR="000B49AA">
        <w:t xml:space="preserve">peut servir de </w:t>
      </w:r>
      <w:r>
        <w:t>plateforme de coordination de la collecte d’informations sur l’</w:t>
      </w:r>
      <w:r w:rsidR="00645015">
        <w:t>A</w:t>
      </w:r>
      <w:r>
        <w:t xml:space="preserve">griculture et la </w:t>
      </w:r>
      <w:r w:rsidR="00645015">
        <w:t>S</w:t>
      </w:r>
      <w:r>
        <w:t xml:space="preserve">écurité </w:t>
      </w:r>
      <w:r w:rsidR="00645015">
        <w:t>A</w:t>
      </w:r>
      <w:r>
        <w:t>limentaire d’intérêt commun pour tous les pays de la COI</w:t>
      </w:r>
      <w:r w:rsidR="000B49AA">
        <w:t xml:space="preserve">, en particulier dans le cadre d’initiative a l’échelle </w:t>
      </w:r>
      <w:r w:rsidR="008627AC">
        <w:t>régionale</w:t>
      </w:r>
      <w:r w:rsidR="000B49AA">
        <w:t xml:space="preserve"> (COI), continentale voire globale.</w:t>
      </w:r>
    </w:p>
    <w:p w14:paraId="054D1887" w14:textId="4BC9B1DA" w:rsidR="005D064D" w:rsidRPr="008B3813" w:rsidRDefault="005D064D" w:rsidP="005D064D">
      <w:pPr>
        <w:pStyle w:val="Paragraphedeliste"/>
        <w:numPr>
          <w:ilvl w:val="1"/>
          <w:numId w:val="1"/>
        </w:numPr>
        <w:jc w:val="both"/>
        <w:rPr>
          <w:b/>
          <w:bCs/>
        </w:rPr>
      </w:pPr>
      <w:r w:rsidRPr="008B3813">
        <w:rPr>
          <w:b/>
          <w:bCs/>
        </w:rPr>
        <w:t>Plaidoyer</w:t>
      </w:r>
      <w:r w:rsidR="00484D29" w:rsidRPr="008B3813">
        <w:rPr>
          <w:b/>
          <w:bCs/>
        </w:rPr>
        <w:t xml:space="preserve"> / Lobbying</w:t>
      </w:r>
    </w:p>
    <w:p w14:paraId="7E2A138A" w14:textId="586A7736" w:rsidR="005D064D" w:rsidRDefault="000B49AA" w:rsidP="000B49AA">
      <w:pPr>
        <w:jc w:val="both"/>
      </w:pPr>
      <w:r w:rsidRPr="000B49AA">
        <w:t xml:space="preserve">La </w:t>
      </w:r>
      <w:proofErr w:type="spellStart"/>
      <w:r w:rsidR="00D74188">
        <w:t>task</w:t>
      </w:r>
      <w:proofErr w:type="spellEnd"/>
      <w:r w:rsidRPr="000B49AA">
        <w:t xml:space="preserve"> force </w:t>
      </w:r>
      <w:r w:rsidR="008627AC" w:rsidRPr="000B49AA">
        <w:t>régionale</w:t>
      </w:r>
      <w:r w:rsidRPr="000B49AA">
        <w:t xml:space="preserve"> </w:t>
      </w:r>
      <w:r>
        <w:t xml:space="preserve">permet </w:t>
      </w:r>
      <w:r w:rsidR="00B105E8">
        <w:t>à</w:t>
      </w:r>
      <w:r>
        <w:t xml:space="preserve"> l’ensemble des pays participant</w:t>
      </w:r>
      <w:r w:rsidR="00645015">
        <w:t>s</w:t>
      </w:r>
      <w:r>
        <w:t xml:space="preserve"> d’identifier les enjeux </w:t>
      </w:r>
      <w:r w:rsidR="00D10A27">
        <w:t>partagés</w:t>
      </w:r>
      <w:r>
        <w:t xml:space="preserve"> et les pistes de financement et de développement qui </w:t>
      </w:r>
      <w:r w:rsidR="008F3D0D">
        <w:t xml:space="preserve">permettront d’abord de maintenir opérationnel les plateformes </w:t>
      </w:r>
      <w:r w:rsidR="008F3D0D">
        <w:lastRenderedPageBreak/>
        <w:t>mais également de</w:t>
      </w:r>
      <w:r>
        <w:t xml:space="preserve"> bénéficier</w:t>
      </w:r>
      <w:r w:rsidR="00645015">
        <w:t xml:space="preserve"> à</w:t>
      </w:r>
      <w:r>
        <w:t xml:space="preserve"> l’ensemble des pays membres</w:t>
      </w:r>
      <w:r w:rsidR="008F3D0D">
        <w:t xml:space="preserve"> pour la mise </w:t>
      </w:r>
      <w:r w:rsidR="00E6253A">
        <w:t>à</w:t>
      </w:r>
      <w:r w:rsidR="008F3D0D">
        <w:t xml:space="preserve"> disponibilité de données et analyses de qualité sur l’Agriculture et la sécurité alimentaire et nutritionnelle</w:t>
      </w:r>
      <w:r>
        <w:t>.</w:t>
      </w:r>
    </w:p>
    <w:p w14:paraId="0A9A46D0" w14:textId="2F82306D" w:rsidR="005D064D" w:rsidRPr="008D1AC1" w:rsidRDefault="005D064D" w:rsidP="005D064D">
      <w:pPr>
        <w:pStyle w:val="Paragraphedeliste"/>
        <w:numPr>
          <w:ilvl w:val="1"/>
          <w:numId w:val="1"/>
        </w:numPr>
        <w:jc w:val="both"/>
        <w:rPr>
          <w:b/>
          <w:bCs/>
        </w:rPr>
      </w:pPr>
      <w:r w:rsidRPr="008D1AC1">
        <w:rPr>
          <w:b/>
          <w:bCs/>
        </w:rPr>
        <w:t>Communication</w:t>
      </w:r>
      <w:r w:rsidR="00272BD9" w:rsidRPr="008D1AC1">
        <w:rPr>
          <w:b/>
          <w:bCs/>
        </w:rPr>
        <w:t xml:space="preserve"> interne</w:t>
      </w:r>
    </w:p>
    <w:p w14:paraId="393047AA" w14:textId="23893BA4" w:rsidR="000B49AA" w:rsidRDefault="000B49AA" w:rsidP="000B49AA">
      <w:pPr>
        <w:jc w:val="both"/>
      </w:pPr>
      <w:r>
        <w:t xml:space="preserve">La </w:t>
      </w:r>
      <w:proofErr w:type="spellStart"/>
      <w:r w:rsidR="00D74188">
        <w:t>task</w:t>
      </w:r>
      <w:proofErr w:type="spellEnd"/>
      <w:r>
        <w:t xml:space="preserve"> force </w:t>
      </w:r>
      <w:r w:rsidR="008627AC">
        <w:t>régionale</w:t>
      </w:r>
      <w:r>
        <w:t xml:space="preserve"> permet de partager à l’ensemble des pays membres les initiatives de collecte, de publication ou de vulgarisation de données </w:t>
      </w:r>
      <w:r w:rsidR="008627AC">
        <w:t>à</w:t>
      </w:r>
      <w:r>
        <w:t xml:space="preserve"> l’</w:t>
      </w:r>
      <w:r w:rsidR="008627AC">
        <w:t>échelle</w:t>
      </w:r>
      <w:r>
        <w:t xml:space="preserve"> nationale.</w:t>
      </w:r>
    </w:p>
    <w:p w14:paraId="2964D36E" w14:textId="77777777" w:rsidR="008D1AC1" w:rsidRDefault="008D1AC1" w:rsidP="000B49AA">
      <w:pPr>
        <w:jc w:val="both"/>
      </w:pPr>
    </w:p>
    <w:p w14:paraId="04EBF6C5" w14:textId="3F6E8D66" w:rsidR="00272BD9" w:rsidRPr="008D1AC1" w:rsidRDefault="00272BD9" w:rsidP="000B49AA">
      <w:pPr>
        <w:pStyle w:val="Paragraphedeliste"/>
        <w:numPr>
          <w:ilvl w:val="1"/>
          <w:numId w:val="1"/>
        </w:numPr>
        <w:jc w:val="both"/>
        <w:rPr>
          <w:b/>
          <w:bCs/>
        </w:rPr>
      </w:pPr>
      <w:r w:rsidRPr="008D1AC1">
        <w:rPr>
          <w:b/>
          <w:bCs/>
        </w:rPr>
        <w:t>Communication externe</w:t>
      </w:r>
    </w:p>
    <w:p w14:paraId="2AC3BCB3" w14:textId="5B2FEF87" w:rsidR="00692D72" w:rsidRDefault="00F43123" w:rsidP="00645015">
      <w:pPr>
        <w:jc w:val="both"/>
      </w:pPr>
      <w:r w:rsidRPr="00F43123">
        <w:t xml:space="preserve">La </w:t>
      </w:r>
      <w:proofErr w:type="spellStart"/>
      <w:r w:rsidR="00D74188">
        <w:t>task</w:t>
      </w:r>
      <w:proofErr w:type="spellEnd"/>
      <w:r w:rsidRPr="00F43123">
        <w:t xml:space="preserve"> force régionale sert de plateforme d'échange pour définir les indicateurs clés et les diffuser, notamment via la plateforme régionale.</w:t>
      </w:r>
    </w:p>
    <w:p w14:paraId="5D9F38C9" w14:textId="77777777" w:rsidR="00B31E98" w:rsidRDefault="00B31E98" w:rsidP="00645015">
      <w:pPr>
        <w:jc w:val="both"/>
      </w:pPr>
    </w:p>
    <w:p w14:paraId="6F72AB2C" w14:textId="55F9AC4F" w:rsidR="00692D72" w:rsidRPr="008B3813" w:rsidRDefault="00692D72" w:rsidP="00692D72">
      <w:pPr>
        <w:pStyle w:val="Paragraphedeliste"/>
        <w:numPr>
          <w:ilvl w:val="0"/>
          <w:numId w:val="1"/>
        </w:numPr>
        <w:jc w:val="both"/>
        <w:rPr>
          <w:b/>
          <w:bCs/>
          <w:sz w:val="28"/>
          <w:szCs w:val="28"/>
        </w:rPr>
      </w:pPr>
      <w:r w:rsidRPr="008B3813">
        <w:rPr>
          <w:b/>
          <w:bCs/>
          <w:sz w:val="28"/>
          <w:szCs w:val="28"/>
        </w:rPr>
        <w:t>Activités</w:t>
      </w:r>
      <w:r w:rsidR="00196E37" w:rsidRPr="008B3813">
        <w:rPr>
          <w:b/>
          <w:bCs/>
          <w:sz w:val="28"/>
          <w:szCs w:val="28"/>
        </w:rPr>
        <w:t xml:space="preserve"> et fonctionnement</w:t>
      </w:r>
    </w:p>
    <w:p w14:paraId="6A28506E" w14:textId="77777777" w:rsidR="00CF60EF" w:rsidRDefault="00CF60EF" w:rsidP="00692D72">
      <w:pPr>
        <w:jc w:val="both"/>
      </w:pPr>
    </w:p>
    <w:p w14:paraId="62F78F62" w14:textId="5BB81800" w:rsidR="00A74549" w:rsidRDefault="004454F7" w:rsidP="00692D72">
      <w:pPr>
        <w:jc w:val="both"/>
      </w:pPr>
      <w:r>
        <w:t xml:space="preserve">La </w:t>
      </w:r>
      <w:proofErr w:type="spellStart"/>
      <w:r w:rsidR="00D74188">
        <w:t>t</w:t>
      </w:r>
      <w:r>
        <w:t>ask</w:t>
      </w:r>
      <w:proofErr w:type="spellEnd"/>
      <w:r>
        <w:t xml:space="preserve"> </w:t>
      </w:r>
      <w:r w:rsidR="00D74188">
        <w:t>f</w:t>
      </w:r>
      <w:r>
        <w:t xml:space="preserve">orce </w:t>
      </w:r>
      <w:r w:rsidR="00D74188">
        <w:t>r</w:t>
      </w:r>
      <w:r>
        <w:t>égionale se réuni</w:t>
      </w:r>
      <w:r w:rsidR="00CA1ECB">
        <w:t>t</w:t>
      </w:r>
      <w:r>
        <w:t xml:space="preserve"> </w:t>
      </w:r>
      <w:r w:rsidR="00692D72">
        <w:t>annuelle</w:t>
      </w:r>
      <w:r>
        <w:t xml:space="preserve">ment, idéalement en </w:t>
      </w:r>
      <w:r w:rsidR="008F6458">
        <w:t>présentiel</w:t>
      </w:r>
      <w:r>
        <w:t xml:space="preserve">. </w:t>
      </w:r>
      <w:r w:rsidR="00A74549">
        <w:t xml:space="preserve">Le secrétariat de la COI assure la présidence de la </w:t>
      </w:r>
      <w:proofErr w:type="spellStart"/>
      <w:r w:rsidR="00D74188">
        <w:t>task</w:t>
      </w:r>
      <w:proofErr w:type="spellEnd"/>
      <w:r w:rsidR="00A74549" w:rsidRPr="00A74549">
        <w:t xml:space="preserve"> </w:t>
      </w:r>
      <w:r w:rsidR="00D74188">
        <w:t>force</w:t>
      </w:r>
      <w:r w:rsidR="00A74549" w:rsidRPr="00A74549">
        <w:t xml:space="preserve"> </w:t>
      </w:r>
      <w:r w:rsidR="00D74188">
        <w:t>régionale</w:t>
      </w:r>
      <w:r w:rsidR="00A74549" w:rsidRPr="00A74549">
        <w:t xml:space="preserve"> </w:t>
      </w:r>
      <w:r w:rsidR="00A74549">
        <w:t>et à ce titre convoque les réunions annuelles et est chargé du secrétariat</w:t>
      </w:r>
      <w:r w:rsidR="00B31E98">
        <w:t xml:space="preserve"> </w:t>
      </w:r>
      <w:r w:rsidR="006501BB">
        <w:t>de ces réunions</w:t>
      </w:r>
      <w:r w:rsidR="00A74549">
        <w:t xml:space="preserve">. </w:t>
      </w:r>
      <w:r w:rsidR="00645015">
        <w:t>L’ensemble des membres du comité stratégique et du comité technique participe</w:t>
      </w:r>
      <w:r w:rsidR="006501BB">
        <w:t>nt</w:t>
      </w:r>
      <w:r w:rsidR="00645015">
        <w:t xml:space="preserve"> aux réunions ordinaires de la </w:t>
      </w:r>
      <w:proofErr w:type="spellStart"/>
      <w:r w:rsidR="00D74188">
        <w:t>task</w:t>
      </w:r>
      <w:proofErr w:type="spellEnd"/>
      <w:r w:rsidR="00435F77" w:rsidRPr="00435F77">
        <w:t xml:space="preserve"> </w:t>
      </w:r>
      <w:r w:rsidR="00D74188">
        <w:t>force</w:t>
      </w:r>
      <w:r w:rsidR="00435F77" w:rsidRPr="00435F77">
        <w:t xml:space="preserve"> </w:t>
      </w:r>
      <w:r w:rsidR="00D74188">
        <w:t>régionale</w:t>
      </w:r>
      <w:r w:rsidR="00645015">
        <w:t xml:space="preserve">. </w:t>
      </w:r>
      <w:r w:rsidR="007E048B">
        <w:t xml:space="preserve">La </w:t>
      </w:r>
      <w:r w:rsidR="00E90C38">
        <w:t>R</w:t>
      </w:r>
      <w:r w:rsidR="00971A60">
        <w:t>eprésentation</w:t>
      </w:r>
      <w:r w:rsidR="007E048B">
        <w:t xml:space="preserve"> de la FAO à </w:t>
      </w:r>
      <w:r w:rsidR="00E90C38">
        <w:t>Madagascar</w:t>
      </w:r>
      <w:r w:rsidR="00971A60">
        <w:t>,</w:t>
      </w:r>
      <w:r w:rsidR="00E90C38">
        <w:t xml:space="preserve"> </w:t>
      </w:r>
      <w:r w:rsidR="00DB6A05">
        <w:t xml:space="preserve">aux Comores, </w:t>
      </w:r>
      <w:r w:rsidR="00E90C38">
        <w:t>à M</w:t>
      </w:r>
      <w:r w:rsidR="00971A60">
        <w:t xml:space="preserve">aurice </w:t>
      </w:r>
      <w:r w:rsidR="00DB6A05">
        <w:t xml:space="preserve">et aux Seychelles sera invitée à participer </w:t>
      </w:r>
      <w:r w:rsidR="00065512">
        <w:t xml:space="preserve">aux </w:t>
      </w:r>
      <w:r w:rsidR="00DB6A05">
        <w:t xml:space="preserve">réunions </w:t>
      </w:r>
      <w:r w:rsidR="00065512">
        <w:t xml:space="preserve">de la </w:t>
      </w:r>
      <w:proofErr w:type="spellStart"/>
      <w:r w:rsidR="00D74188">
        <w:t>task</w:t>
      </w:r>
      <w:proofErr w:type="spellEnd"/>
      <w:r w:rsidR="00AB4DC9" w:rsidRPr="00AB4DC9">
        <w:t xml:space="preserve"> </w:t>
      </w:r>
      <w:r w:rsidR="00D74188">
        <w:t>force</w:t>
      </w:r>
      <w:r w:rsidR="00AB4DC9" w:rsidRPr="00AB4DC9">
        <w:t xml:space="preserve"> </w:t>
      </w:r>
      <w:r w:rsidR="00D74188">
        <w:t>régionale.</w:t>
      </w:r>
    </w:p>
    <w:p w14:paraId="15526DEB" w14:textId="77777777" w:rsidR="00631D12" w:rsidRDefault="00631D12" w:rsidP="00692D72">
      <w:pPr>
        <w:jc w:val="both"/>
      </w:pPr>
    </w:p>
    <w:p w14:paraId="08C7CE23" w14:textId="2391395D" w:rsidR="004454F7" w:rsidRDefault="004454F7" w:rsidP="00692D72">
      <w:pPr>
        <w:jc w:val="both"/>
      </w:pPr>
      <w:r>
        <w:t xml:space="preserve">L’ordre du jour indicatif est le suivant </w:t>
      </w:r>
      <w:r w:rsidR="00ED6238">
        <w:t xml:space="preserve">: </w:t>
      </w:r>
    </w:p>
    <w:p w14:paraId="244467DD" w14:textId="0A80316D" w:rsidR="00692D72" w:rsidRDefault="004454F7" w:rsidP="004454F7">
      <w:pPr>
        <w:pStyle w:val="Paragraphedeliste"/>
        <w:numPr>
          <w:ilvl w:val="0"/>
          <w:numId w:val="3"/>
        </w:numPr>
        <w:jc w:val="both"/>
      </w:pPr>
      <w:r>
        <w:t xml:space="preserve">Mise </w:t>
      </w:r>
      <w:r w:rsidR="00CA1ECB">
        <w:t>à</w:t>
      </w:r>
      <w:r>
        <w:t xml:space="preserve"> jour sur la situation des données publiées sur </w:t>
      </w:r>
      <w:r w:rsidR="00E95A0E">
        <w:t>les plateformes régionales</w:t>
      </w:r>
      <w:r>
        <w:t xml:space="preserve"> et nationales</w:t>
      </w:r>
    </w:p>
    <w:p w14:paraId="72B5ADF7" w14:textId="411D27AA" w:rsidR="004454F7" w:rsidRDefault="004454F7" w:rsidP="004454F7">
      <w:pPr>
        <w:pStyle w:val="Paragraphedeliste"/>
        <w:numPr>
          <w:ilvl w:val="0"/>
          <w:numId w:val="3"/>
        </w:numPr>
        <w:jc w:val="both"/>
      </w:pPr>
      <w:r>
        <w:t xml:space="preserve">Echange d’expérience </w:t>
      </w:r>
      <w:r w:rsidR="00D10A27">
        <w:t xml:space="preserve">et </w:t>
      </w:r>
      <w:r>
        <w:t xml:space="preserve">partage </w:t>
      </w:r>
      <w:r w:rsidR="00CA1ECB">
        <w:t>sur</w:t>
      </w:r>
      <w:r>
        <w:t xml:space="preserve"> des initiatives relatives aux </w:t>
      </w:r>
      <w:r w:rsidR="008F6458">
        <w:t>données</w:t>
      </w:r>
      <w:r>
        <w:t xml:space="preserve"> conduites dans chaque pays</w:t>
      </w:r>
    </w:p>
    <w:p w14:paraId="737D0898" w14:textId="68F36F86" w:rsidR="00DE12FA" w:rsidRDefault="004454F7" w:rsidP="00692D72">
      <w:pPr>
        <w:pStyle w:val="Paragraphedeliste"/>
        <w:numPr>
          <w:ilvl w:val="0"/>
          <w:numId w:val="3"/>
        </w:numPr>
        <w:jc w:val="both"/>
      </w:pPr>
      <w:r>
        <w:t xml:space="preserve">Discussion sur la vision </w:t>
      </w:r>
      <w:r w:rsidR="008F6458">
        <w:t>stratégique</w:t>
      </w:r>
      <w:r>
        <w:t xml:space="preserve"> et les </w:t>
      </w:r>
      <w:r w:rsidR="00CA1ECB">
        <w:t>initiative</w:t>
      </w:r>
      <w:r w:rsidR="008F6458">
        <w:t>s</w:t>
      </w:r>
      <w:r>
        <w:t xml:space="preserve"> de chaque pays participant par rapport aux intérêts régionaux en </w:t>
      </w:r>
      <w:r w:rsidR="008F6458">
        <w:t>matière</w:t>
      </w:r>
      <w:r>
        <w:t xml:space="preserve"> d’</w:t>
      </w:r>
      <w:r w:rsidR="00F15986">
        <w:t>A</w:t>
      </w:r>
      <w:r>
        <w:t>griculture et SAN</w:t>
      </w:r>
    </w:p>
    <w:p w14:paraId="2B8D73D8" w14:textId="1F5377AF" w:rsidR="00F15986" w:rsidRDefault="00CA1ECB" w:rsidP="00692D72">
      <w:pPr>
        <w:pStyle w:val="Paragraphedeliste"/>
        <w:numPr>
          <w:ilvl w:val="0"/>
          <w:numId w:val="3"/>
        </w:numPr>
        <w:jc w:val="both"/>
      </w:pPr>
      <w:r>
        <w:t>Hébergement, a</w:t>
      </w:r>
      <w:r w:rsidR="00F15986">
        <w:t>dministration</w:t>
      </w:r>
      <w:r>
        <w:t xml:space="preserve">, </w:t>
      </w:r>
      <w:r w:rsidR="0079369F">
        <w:t>alimentation</w:t>
      </w:r>
      <w:r w:rsidR="00F15986">
        <w:t xml:space="preserve"> de la plateforme</w:t>
      </w:r>
      <w:r w:rsidR="0079369F">
        <w:t xml:space="preserve"> sur le long terme</w:t>
      </w:r>
    </w:p>
    <w:p w14:paraId="5C795D37" w14:textId="39481DFC" w:rsidR="0079369F" w:rsidRPr="008B3813" w:rsidRDefault="0079369F" w:rsidP="00692D72">
      <w:pPr>
        <w:pStyle w:val="Paragraphedeliste"/>
        <w:numPr>
          <w:ilvl w:val="0"/>
          <w:numId w:val="3"/>
        </w:numPr>
        <w:jc w:val="both"/>
      </w:pPr>
      <w:r>
        <w:t xml:space="preserve">Elaboration de </w:t>
      </w:r>
      <w:r w:rsidR="00CA1ECB">
        <w:t>stratégies</w:t>
      </w:r>
      <w:r>
        <w:t xml:space="preserve"> de </w:t>
      </w:r>
      <w:r w:rsidR="00CA1ECB">
        <w:t>pérennisation</w:t>
      </w:r>
      <w:r>
        <w:t xml:space="preserve"> des plateformes </w:t>
      </w:r>
      <w:r w:rsidR="00CA1ECB">
        <w:t>au-delà</w:t>
      </w:r>
      <w:r>
        <w:t xml:space="preserve"> des 3 ans de maintenances déjà acquis</w:t>
      </w:r>
    </w:p>
    <w:p w14:paraId="3A801691" w14:textId="6F99FD53" w:rsidR="00DE12FA" w:rsidRDefault="004454F7" w:rsidP="00692D72">
      <w:pPr>
        <w:jc w:val="both"/>
      </w:pPr>
      <w:r w:rsidRPr="004454F7">
        <w:t>Outre la r</w:t>
      </w:r>
      <w:r>
        <w:t xml:space="preserve">éunion annuelle, </w:t>
      </w:r>
      <w:r w:rsidR="00CA1ECB">
        <w:t xml:space="preserve">des réunions extraordinaires peuvent être organisées et </w:t>
      </w:r>
      <w:r>
        <w:t>des dispositifs d’échange d’information et de communication moins formels sont mis en place :</w:t>
      </w:r>
    </w:p>
    <w:p w14:paraId="638CE79A" w14:textId="2D0A05E4" w:rsidR="004454F7" w:rsidRDefault="004454F7" w:rsidP="004454F7">
      <w:pPr>
        <w:pStyle w:val="Paragraphedeliste"/>
        <w:numPr>
          <w:ilvl w:val="0"/>
          <w:numId w:val="3"/>
        </w:numPr>
        <w:jc w:val="both"/>
      </w:pPr>
      <w:r>
        <w:t xml:space="preserve">Mailing </w:t>
      </w:r>
      <w:proofErr w:type="spellStart"/>
      <w:r>
        <w:t>list</w:t>
      </w:r>
      <w:proofErr w:type="spellEnd"/>
    </w:p>
    <w:p w14:paraId="72E91839" w14:textId="0329AE4F" w:rsidR="004454F7" w:rsidRDefault="00645015" w:rsidP="004454F7">
      <w:pPr>
        <w:pStyle w:val="Paragraphedeliste"/>
        <w:numPr>
          <w:ilvl w:val="0"/>
          <w:numId w:val="3"/>
        </w:numPr>
        <w:jc w:val="both"/>
      </w:pPr>
      <w:r>
        <w:t>WhatsApp</w:t>
      </w:r>
      <w:r w:rsidR="004454F7">
        <w:t xml:space="preserve"> group</w:t>
      </w:r>
    </w:p>
    <w:p w14:paraId="77B7B0B6" w14:textId="5E0A65A2" w:rsidR="00F15986" w:rsidRDefault="004454F7" w:rsidP="00CA1ECB">
      <w:pPr>
        <w:jc w:val="both"/>
      </w:pPr>
      <w:r>
        <w:t>Ces canaux de communication permettront de solliciter de manière spontanée les experts au niveau de la région pour des besoins relatifs aux données et informations sur la SAN.</w:t>
      </w:r>
    </w:p>
    <w:p w14:paraId="2B491A0A" w14:textId="77777777" w:rsidR="00EE5131" w:rsidRDefault="00EE5131" w:rsidP="00CA1ECB">
      <w:pPr>
        <w:jc w:val="both"/>
      </w:pPr>
    </w:p>
    <w:p w14:paraId="7FD72CC3" w14:textId="77777777" w:rsidR="00EE5131" w:rsidRPr="004454F7" w:rsidRDefault="00EE5131" w:rsidP="00CA1ECB">
      <w:pPr>
        <w:jc w:val="both"/>
      </w:pPr>
    </w:p>
    <w:p w14:paraId="42A1FC98" w14:textId="77777777" w:rsidR="00272BD9" w:rsidRDefault="00272BD9" w:rsidP="00DE12FA">
      <w:pPr>
        <w:jc w:val="both"/>
      </w:pPr>
    </w:p>
    <w:p w14:paraId="2BCB5983" w14:textId="77777777" w:rsidR="00272BD9" w:rsidRDefault="00272BD9" w:rsidP="00DE12FA">
      <w:pPr>
        <w:jc w:val="both"/>
      </w:pPr>
    </w:p>
    <w:p w14:paraId="41481464" w14:textId="77777777" w:rsidR="00DE12FA" w:rsidRDefault="00DE12FA" w:rsidP="00DE12FA">
      <w:pPr>
        <w:jc w:val="both"/>
      </w:pPr>
    </w:p>
    <w:p w14:paraId="21C66AC7" w14:textId="77777777" w:rsidR="00692D72" w:rsidRDefault="00692D72" w:rsidP="00692D72">
      <w:pPr>
        <w:jc w:val="both"/>
      </w:pPr>
    </w:p>
    <w:p w14:paraId="057C686A" w14:textId="77777777" w:rsidR="0089775D" w:rsidRPr="00056C4D" w:rsidRDefault="0089775D" w:rsidP="0089775D">
      <w:pPr>
        <w:jc w:val="both"/>
      </w:pPr>
    </w:p>
    <w:sectPr w:rsidR="0089775D" w:rsidRPr="00056C4D" w:rsidSect="00FC62C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11149" w14:textId="77777777" w:rsidR="001E15D6" w:rsidRDefault="001E15D6" w:rsidP="0037291E">
      <w:pPr>
        <w:spacing w:line="240" w:lineRule="auto"/>
      </w:pPr>
      <w:r>
        <w:separator/>
      </w:r>
    </w:p>
  </w:endnote>
  <w:endnote w:type="continuationSeparator" w:id="0">
    <w:p w14:paraId="43E3BED1" w14:textId="77777777" w:rsidR="001E15D6" w:rsidRDefault="001E15D6" w:rsidP="003729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3325074"/>
      <w:docPartObj>
        <w:docPartGallery w:val="Page Numbers (Bottom of Page)"/>
        <w:docPartUnique/>
      </w:docPartObj>
    </w:sdtPr>
    <w:sdtEndPr>
      <w:rPr>
        <w:noProof/>
      </w:rPr>
    </w:sdtEndPr>
    <w:sdtContent>
      <w:p w14:paraId="62994498" w14:textId="493D0291" w:rsidR="0037291E" w:rsidRDefault="0037291E">
        <w:pPr>
          <w:pStyle w:val="Pieddepage"/>
          <w:jc w:val="right"/>
        </w:pPr>
        <w:r>
          <w:fldChar w:fldCharType="begin"/>
        </w:r>
        <w:r>
          <w:instrText xml:space="preserve"> PAGE   \* MERGEFORMAT </w:instrText>
        </w:r>
        <w:r>
          <w:fldChar w:fldCharType="separate"/>
        </w:r>
        <w:r>
          <w:rPr>
            <w:noProof/>
          </w:rPr>
          <w:t>2</w:t>
        </w:r>
        <w:r>
          <w:rPr>
            <w:noProof/>
          </w:rPr>
          <w:fldChar w:fldCharType="end"/>
        </w:r>
      </w:p>
    </w:sdtContent>
  </w:sdt>
  <w:p w14:paraId="034F5960" w14:textId="77777777" w:rsidR="0037291E" w:rsidRDefault="0037291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31F7F" w14:textId="77777777" w:rsidR="001E15D6" w:rsidRDefault="001E15D6" w:rsidP="0037291E">
      <w:pPr>
        <w:spacing w:line="240" w:lineRule="auto"/>
      </w:pPr>
      <w:r>
        <w:separator/>
      </w:r>
    </w:p>
  </w:footnote>
  <w:footnote w:type="continuationSeparator" w:id="0">
    <w:p w14:paraId="7E67F1E3" w14:textId="77777777" w:rsidR="001E15D6" w:rsidRDefault="001E15D6" w:rsidP="003729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CFDA8" w14:textId="508D881C" w:rsidR="0037291E" w:rsidRPr="00E103DE" w:rsidRDefault="00EE7CC0" w:rsidP="00EE7CC0">
    <w:pPr>
      <w:pStyle w:val="En-tte"/>
      <w:jc w:val="right"/>
      <w:rPr>
        <w:b/>
        <w:bCs/>
        <w:sz w:val="28"/>
        <w:szCs w:val="28"/>
        <w:lang w:val="en-GB"/>
      </w:rPr>
    </w:pPr>
    <w:r w:rsidRPr="00E103DE">
      <w:rPr>
        <w:b/>
        <w:bCs/>
        <w:sz w:val="28"/>
        <w:szCs w:val="28"/>
        <w:lang w:val="en-GB"/>
      </w:rPr>
      <w:t>2.</w:t>
    </w:r>
    <w:r w:rsidR="00E103DE" w:rsidRPr="00E103DE">
      <w:rPr>
        <w:b/>
        <w:bCs/>
        <w:sz w:val="28"/>
        <w:szCs w:val="28"/>
        <w:lang w:val="en-GB"/>
      </w:rPr>
      <w:t>9</w:t>
    </w:r>
    <w:r w:rsidRPr="00E103DE">
      <w:rPr>
        <w:b/>
        <w:bCs/>
        <w:sz w:val="28"/>
        <w:szCs w:val="28"/>
        <w:lang w:val="en-GB"/>
      </w:rPr>
      <w:t xml:space="preserve">. Annexe </w:t>
    </w:r>
    <w:r w:rsidR="00E103DE">
      <w:rPr>
        <w:b/>
        <w:bCs/>
        <w:sz w:val="28"/>
        <w:szCs w:val="28"/>
        <w:lang w:val="en-GB"/>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726BA"/>
    <w:multiLevelType w:val="multilevel"/>
    <w:tmpl w:val="E5D0EEF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333CEE"/>
    <w:multiLevelType w:val="hybridMultilevel"/>
    <w:tmpl w:val="6664659E"/>
    <w:lvl w:ilvl="0" w:tplc="FEA0FE1E">
      <w:start w:val="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25B2996"/>
    <w:multiLevelType w:val="multilevel"/>
    <w:tmpl w:val="1A4EA4D2"/>
    <w:lvl w:ilvl="0">
      <w:start w:val="2"/>
      <w:numFmt w:val="decimal"/>
      <w:lvlText w:val="%1."/>
      <w:lvlJc w:val="left"/>
      <w:pPr>
        <w:ind w:left="400" w:hanging="40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68961B9B"/>
    <w:multiLevelType w:val="multilevel"/>
    <w:tmpl w:val="8EC831EE"/>
    <w:lvl w:ilvl="0">
      <w:start w:val="2"/>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A4D4A69"/>
    <w:multiLevelType w:val="hybridMultilevel"/>
    <w:tmpl w:val="03760D04"/>
    <w:lvl w:ilvl="0" w:tplc="47E0D3D4">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72669533">
    <w:abstractNumId w:val="0"/>
  </w:num>
  <w:num w:numId="2" w16cid:durableId="1294363869">
    <w:abstractNumId w:val="5"/>
  </w:num>
  <w:num w:numId="3" w16cid:durableId="383990720">
    <w:abstractNumId w:val="2"/>
  </w:num>
  <w:num w:numId="4" w16cid:durableId="824856041">
    <w:abstractNumId w:val="1"/>
  </w:num>
  <w:num w:numId="5" w16cid:durableId="1121875984">
    <w:abstractNumId w:val="3"/>
  </w:num>
  <w:num w:numId="6" w16cid:durableId="2135441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4D"/>
    <w:rsid w:val="00001C5D"/>
    <w:rsid w:val="0002487C"/>
    <w:rsid w:val="00056C4D"/>
    <w:rsid w:val="00065512"/>
    <w:rsid w:val="00071474"/>
    <w:rsid w:val="000B379D"/>
    <w:rsid w:val="000B49AA"/>
    <w:rsid w:val="000C601C"/>
    <w:rsid w:val="000C6B1A"/>
    <w:rsid w:val="000D11E8"/>
    <w:rsid w:val="00103EFA"/>
    <w:rsid w:val="00164216"/>
    <w:rsid w:val="001733A8"/>
    <w:rsid w:val="00196E37"/>
    <w:rsid w:val="001C705F"/>
    <w:rsid w:val="001E15D6"/>
    <w:rsid w:val="00201A8A"/>
    <w:rsid w:val="002125A0"/>
    <w:rsid w:val="00241DE5"/>
    <w:rsid w:val="00272BD9"/>
    <w:rsid w:val="002816DC"/>
    <w:rsid w:val="003057CE"/>
    <w:rsid w:val="00312111"/>
    <w:rsid w:val="00321B69"/>
    <w:rsid w:val="003254D7"/>
    <w:rsid w:val="0037291E"/>
    <w:rsid w:val="003A2BCA"/>
    <w:rsid w:val="003B266C"/>
    <w:rsid w:val="003E3DC2"/>
    <w:rsid w:val="00435F77"/>
    <w:rsid w:val="00443CFB"/>
    <w:rsid w:val="004454F7"/>
    <w:rsid w:val="00484D29"/>
    <w:rsid w:val="00485015"/>
    <w:rsid w:val="004B61BB"/>
    <w:rsid w:val="004D6BF8"/>
    <w:rsid w:val="004E1A84"/>
    <w:rsid w:val="00525A35"/>
    <w:rsid w:val="00551235"/>
    <w:rsid w:val="0056441C"/>
    <w:rsid w:val="005B3D3F"/>
    <w:rsid w:val="005D064D"/>
    <w:rsid w:val="005D136D"/>
    <w:rsid w:val="005D371B"/>
    <w:rsid w:val="005D5169"/>
    <w:rsid w:val="0060029D"/>
    <w:rsid w:val="00631D12"/>
    <w:rsid w:val="00645015"/>
    <w:rsid w:val="006501BB"/>
    <w:rsid w:val="00667254"/>
    <w:rsid w:val="00692D72"/>
    <w:rsid w:val="006B20DF"/>
    <w:rsid w:val="006B2B2D"/>
    <w:rsid w:val="006C1355"/>
    <w:rsid w:val="006C5B67"/>
    <w:rsid w:val="006D24D5"/>
    <w:rsid w:val="006E6F2E"/>
    <w:rsid w:val="006F2EF3"/>
    <w:rsid w:val="00732109"/>
    <w:rsid w:val="007468D4"/>
    <w:rsid w:val="00747526"/>
    <w:rsid w:val="00755AA4"/>
    <w:rsid w:val="0079369F"/>
    <w:rsid w:val="007E048B"/>
    <w:rsid w:val="007F74C7"/>
    <w:rsid w:val="008627AC"/>
    <w:rsid w:val="0087720E"/>
    <w:rsid w:val="00882E3B"/>
    <w:rsid w:val="0089775D"/>
    <w:rsid w:val="008B3813"/>
    <w:rsid w:val="008C019D"/>
    <w:rsid w:val="008D1AC1"/>
    <w:rsid w:val="008D2930"/>
    <w:rsid w:val="008E6686"/>
    <w:rsid w:val="008F3D0D"/>
    <w:rsid w:val="008F6458"/>
    <w:rsid w:val="009100FF"/>
    <w:rsid w:val="00916872"/>
    <w:rsid w:val="00971A60"/>
    <w:rsid w:val="009C145E"/>
    <w:rsid w:val="009C44CD"/>
    <w:rsid w:val="009F77F7"/>
    <w:rsid w:val="00A05E81"/>
    <w:rsid w:val="00A37C51"/>
    <w:rsid w:val="00A47528"/>
    <w:rsid w:val="00A74549"/>
    <w:rsid w:val="00AB4DC9"/>
    <w:rsid w:val="00AE35C2"/>
    <w:rsid w:val="00AF7466"/>
    <w:rsid w:val="00B105E8"/>
    <w:rsid w:val="00B22911"/>
    <w:rsid w:val="00B31E98"/>
    <w:rsid w:val="00B53D13"/>
    <w:rsid w:val="00B772CA"/>
    <w:rsid w:val="00B8164D"/>
    <w:rsid w:val="00B83B31"/>
    <w:rsid w:val="00B87E77"/>
    <w:rsid w:val="00B91CFA"/>
    <w:rsid w:val="00BA06BF"/>
    <w:rsid w:val="00BC2F0B"/>
    <w:rsid w:val="00BC39F8"/>
    <w:rsid w:val="00BE6B93"/>
    <w:rsid w:val="00C42F0C"/>
    <w:rsid w:val="00C5041D"/>
    <w:rsid w:val="00C64935"/>
    <w:rsid w:val="00C70167"/>
    <w:rsid w:val="00C82DB6"/>
    <w:rsid w:val="00CA1ECB"/>
    <w:rsid w:val="00CB0407"/>
    <w:rsid w:val="00CC3F5E"/>
    <w:rsid w:val="00CF60EF"/>
    <w:rsid w:val="00D10A27"/>
    <w:rsid w:val="00D74188"/>
    <w:rsid w:val="00DB6A05"/>
    <w:rsid w:val="00DC0C78"/>
    <w:rsid w:val="00DE12FA"/>
    <w:rsid w:val="00E103DE"/>
    <w:rsid w:val="00E30799"/>
    <w:rsid w:val="00E45B32"/>
    <w:rsid w:val="00E50BA0"/>
    <w:rsid w:val="00E6253A"/>
    <w:rsid w:val="00E66AF5"/>
    <w:rsid w:val="00E90C38"/>
    <w:rsid w:val="00E936B1"/>
    <w:rsid w:val="00E95A0E"/>
    <w:rsid w:val="00EA31C6"/>
    <w:rsid w:val="00EA7236"/>
    <w:rsid w:val="00EC0CB2"/>
    <w:rsid w:val="00ED6238"/>
    <w:rsid w:val="00EE5131"/>
    <w:rsid w:val="00EE7CC0"/>
    <w:rsid w:val="00F15986"/>
    <w:rsid w:val="00F43123"/>
    <w:rsid w:val="00F63E59"/>
    <w:rsid w:val="00FA6DBB"/>
    <w:rsid w:val="00FC62C4"/>
    <w:rsid w:val="00FC6E51"/>
    <w:rsid w:val="00FE78BC"/>
    <w:rsid w:val="00FF051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1819D"/>
  <w15:chartTrackingRefBased/>
  <w15:docId w15:val="{CAC7A42F-86B1-4315-BB7C-2F4EBAE12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355"/>
    <w:pPr>
      <w:spacing w:after="0"/>
    </w:pPr>
    <w:rPr>
      <w:rFonts w:ascii="Garamond" w:hAnsi="Garamond"/>
      <w14:ligatures w14:val="none"/>
    </w:rPr>
  </w:style>
  <w:style w:type="paragraph" w:styleId="Titre1">
    <w:name w:val="heading 1"/>
    <w:basedOn w:val="Normal"/>
    <w:next w:val="Normal"/>
    <w:link w:val="Titre1Car"/>
    <w:uiPriority w:val="9"/>
    <w:qFormat/>
    <w:rsid w:val="00056C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56C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56C4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56C4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056C4D"/>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056C4D"/>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056C4D"/>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056C4D"/>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056C4D"/>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6C1355"/>
    <w:pPr>
      <w:widowControl w:val="0"/>
      <w:autoSpaceDE w:val="0"/>
      <w:spacing w:before="120" w:line="240" w:lineRule="auto"/>
    </w:pPr>
    <w:rPr>
      <w:rFonts w:eastAsia="Times New Roman" w:cs="Times New Roman"/>
      <w:szCs w:val="24"/>
      <w14:ligatures w14:val="standardContextual"/>
    </w:rPr>
  </w:style>
  <w:style w:type="character" w:customStyle="1" w:styleId="CorpsdetexteCar">
    <w:name w:val="Corps de texte Car"/>
    <w:basedOn w:val="Policepardfaut"/>
    <w:link w:val="Corpsdetexte"/>
    <w:rsid w:val="006C1355"/>
    <w:rPr>
      <w:rFonts w:ascii="Garamond" w:eastAsia="Times New Roman" w:hAnsi="Garamond" w:cs="Times New Roman"/>
      <w:szCs w:val="24"/>
    </w:rPr>
  </w:style>
  <w:style w:type="paragraph" w:styleId="Sansinterligne">
    <w:name w:val="No Spacing"/>
    <w:autoRedefine/>
    <w:uiPriority w:val="1"/>
    <w:qFormat/>
    <w:rsid w:val="006C1355"/>
    <w:pPr>
      <w:spacing w:after="0" w:line="240" w:lineRule="auto"/>
      <w:jc w:val="both"/>
    </w:pPr>
    <w:rPr>
      <w:rFonts w:ascii="Garamond" w:eastAsiaTheme="minorEastAsia" w:hAnsi="Garamond"/>
      <w:lang w:eastAsia="ja-JP"/>
      <w14:ligatures w14:val="none"/>
    </w:rPr>
  </w:style>
  <w:style w:type="character" w:customStyle="1" w:styleId="Titre1Car">
    <w:name w:val="Titre 1 Car"/>
    <w:basedOn w:val="Policepardfaut"/>
    <w:link w:val="Titre1"/>
    <w:uiPriority w:val="9"/>
    <w:rsid w:val="00056C4D"/>
    <w:rPr>
      <w:rFonts w:asciiTheme="majorHAnsi" w:eastAsiaTheme="majorEastAsia" w:hAnsiTheme="majorHAnsi" w:cstheme="majorBidi"/>
      <w:color w:val="0F4761" w:themeColor="accent1" w:themeShade="BF"/>
      <w:sz w:val="40"/>
      <w:szCs w:val="40"/>
      <w14:ligatures w14:val="none"/>
    </w:rPr>
  </w:style>
  <w:style w:type="character" w:customStyle="1" w:styleId="Titre2Car">
    <w:name w:val="Titre 2 Car"/>
    <w:basedOn w:val="Policepardfaut"/>
    <w:link w:val="Titre2"/>
    <w:uiPriority w:val="9"/>
    <w:semiHidden/>
    <w:rsid w:val="00056C4D"/>
    <w:rPr>
      <w:rFonts w:asciiTheme="majorHAnsi" w:eastAsiaTheme="majorEastAsia" w:hAnsiTheme="majorHAnsi" w:cstheme="majorBidi"/>
      <w:color w:val="0F4761" w:themeColor="accent1" w:themeShade="BF"/>
      <w:sz w:val="32"/>
      <w:szCs w:val="32"/>
      <w14:ligatures w14:val="none"/>
    </w:rPr>
  </w:style>
  <w:style w:type="character" w:customStyle="1" w:styleId="Titre3Car">
    <w:name w:val="Titre 3 Car"/>
    <w:basedOn w:val="Policepardfaut"/>
    <w:link w:val="Titre3"/>
    <w:uiPriority w:val="9"/>
    <w:semiHidden/>
    <w:rsid w:val="00056C4D"/>
    <w:rPr>
      <w:rFonts w:eastAsiaTheme="majorEastAsia" w:cstheme="majorBidi"/>
      <w:color w:val="0F4761" w:themeColor="accent1" w:themeShade="BF"/>
      <w:sz w:val="28"/>
      <w:szCs w:val="28"/>
      <w14:ligatures w14:val="none"/>
    </w:rPr>
  </w:style>
  <w:style w:type="character" w:customStyle="1" w:styleId="Titre4Car">
    <w:name w:val="Titre 4 Car"/>
    <w:basedOn w:val="Policepardfaut"/>
    <w:link w:val="Titre4"/>
    <w:uiPriority w:val="9"/>
    <w:semiHidden/>
    <w:rsid w:val="00056C4D"/>
    <w:rPr>
      <w:rFonts w:eastAsiaTheme="majorEastAsia" w:cstheme="majorBidi"/>
      <w:i/>
      <w:iCs/>
      <w:color w:val="0F4761" w:themeColor="accent1" w:themeShade="BF"/>
      <w14:ligatures w14:val="none"/>
    </w:rPr>
  </w:style>
  <w:style w:type="character" w:customStyle="1" w:styleId="Titre5Car">
    <w:name w:val="Titre 5 Car"/>
    <w:basedOn w:val="Policepardfaut"/>
    <w:link w:val="Titre5"/>
    <w:uiPriority w:val="9"/>
    <w:semiHidden/>
    <w:rsid w:val="00056C4D"/>
    <w:rPr>
      <w:rFonts w:eastAsiaTheme="majorEastAsia" w:cstheme="majorBidi"/>
      <w:color w:val="0F4761" w:themeColor="accent1" w:themeShade="BF"/>
      <w14:ligatures w14:val="none"/>
    </w:rPr>
  </w:style>
  <w:style w:type="character" w:customStyle="1" w:styleId="Titre6Car">
    <w:name w:val="Titre 6 Car"/>
    <w:basedOn w:val="Policepardfaut"/>
    <w:link w:val="Titre6"/>
    <w:uiPriority w:val="9"/>
    <w:semiHidden/>
    <w:rsid w:val="00056C4D"/>
    <w:rPr>
      <w:rFonts w:eastAsiaTheme="majorEastAsia" w:cstheme="majorBidi"/>
      <w:i/>
      <w:iCs/>
      <w:color w:val="595959" w:themeColor="text1" w:themeTint="A6"/>
      <w14:ligatures w14:val="none"/>
    </w:rPr>
  </w:style>
  <w:style w:type="character" w:customStyle="1" w:styleId="Titre7Car">
    <w:name w:val="Titre 7 Car"/>
    <w:basedOn w:val="Policepardfaut"/>
    <w:link w:val="Titre7"/>
    <w:uiPriority w:val="9"/>
    <w:semiHidden/>
    <w:rsid w:val="00056C4D"/>
    <w:rPr>
      <w:rFonts w:eastAsiaTheme="majorEastAsia" w:cstheme="majorBidi"/>
      <w:color w:val="595959" w:themeColor="text1" w:themeTint="A6"/>
      <w14:ligatures w14:val="none"/>
    </w:rPr>
  </w:style>
  <w:style w:type="character" w:customStyle="1" w:styleId="Titre8Car">
    <w:name w:val="Titre 8 Car"/>
    <w:basedOn w:val="Policepardfaut"/>
    <w:link w:val="Titre8"/>
    <w:uiPriority w:val="9"/>
    <w:semiHidden/>
    <w:rsid w:val="00056C4D"/>
    <w:rPr>
      <w:rFonts w:eastAsiaTheme="majorEastAsia" w:cstheme="majorBidi"/>
      <w:i/>
      <w:iCs/>
      <w:color w:val="272727" w:themeColor="text1" w:themeTint="D8"/>
      <w14:ligatures w14:val="none"/>
    </w:rPr>
  </w:style>
  <w:style w:type="character" w:customStyle="1" w:styleId="Titre9Car">
    <w:name w:val="Titre 9 Car"/>
    <w:basedOn w:val="Policepardfaut"/>
    <w:link w:val="Titre9"/>
    <w:uiPriority w:val="9"/>
    <w:semiHidden/>
    <w:rsid w:val="00056C4D"/>
    <w:rPr>
      <w:rFonts w:eastAsiaTheme="majorEastAsia" w:cstheme="majorBidi"/>
      <w:color w:val="272727" w:themeColor="text1" w:themeTint="D8"/>
      <w14:ligatures w14:val="none"/>
    </w:rPr>
  </w:style>
  <w:style w:type="paragraph" w:styleId="Titre">
    <w:name w:val="Title"/>
    <w:basedOn w:val="Normal"/>
    <w:next w:val="Normal"/>
    <w:link w:val="TitreCar"/>
    <w:uiPriority w:val="10"/>
    <w:qFormat/>
    <w:rsid w:val="00056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56C4D"/>
    <w:rPr>
      <w:rFonts w:asciiTheme="majorHAnsi" w:eastAsiaTheme="majorEastAsia" w:hAnsiTheme="majorHAnsi" w:cstheme="majorBidi"/>
      <w:spacing w:val="-10"/>
      <w:kern w:val="28"/>
      <w:sz w:val="56"/>
      <w:szCs w:val="56"/>
      <w14:ligatures w14:val="none"/>
    </w:rPr>
  </w:style>
  <w:style w:type="paragraph" w:styleId="Sous-titre">
    <w:name w:val="Subtitle"/>
    <w:basedOn w:val="Normal"/>
    <w:next w:val="Normal"/>
    <w:link w:val="Sous-titreCar"/>
    <w:uiPriority w:val="11"/>
    <w:qFormat/>
    <w:rsid w:val="00056C4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56C4D"/>
    <w:rPr>
      <w:rFonts w:eastAsiaTheme="majorEastAsia" w:cstheme="majorBidi"/>
      <w:color w:val="595959" w:themeColor="text1" w:themeTint="A6"/>
      <w:spacing w:val="15"/>
      <w:sz w:val="28"/>
      <w:szCs w:val="28"/>
      <w14:ligatures w14:val="none"/>
    </w:rPr>
  </w:style>
  <w:style w:type="paragraph" w:styleId="Citation">
    <w:name w:val="Quote"/>
    <w:basedOn w:val="Normal"/>
    <w:next w:val="Normal"/>
    <w:link w:val="CitationCar"/>
    <w:uiPriority w:val="29"/>
    <w:qFormat/>
    <w:rsid w:val="00056C4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56C4D"/>
    <w:rPr>
      <w:rFonts w:ascii="Garamond" w:hAnsi="Garamond"/>
      <w:i/>
      <w:iCs/>
      <w:color w:val="404040" w:themeColor="text1" w:themeTint="BF"/>
      <w14:ligatures w14:val="none"/>
    </w:rPr>
  </w:style>
  <w:style w:type="paragraph" w:styleId="Paragraphedeliste">
    <w:name w:val="List Paragraph"/>
    <w:basedOn w:val="Normal"/>
    <w:uiPriority w:val="34"/>
    <w:qFormat/>
    <w:rsid w:val="00056C4D"/>
    <w:pPr>
      <w:ind w:left="720"/>
      <w:contextualSpacing/>
    </w:pPr>
  </w:style>
  <w:style w:type="character" w:styleId="Accentuationintense">
    <w:name w:val="Intense Emphasis"/>
    <w:basedOn w:val="Policepardfaut"/>
    <w:uiPriority w:val="21"/>
    <w:qFormat/>
    <w:rsid w:val="00056C4D"/>
    <w:rPr>
      <w:i/>
      <w:iCs/>
      <w:color w:val="0F4761" w:themeColor="accent1" w:themeShade="BF"/>
    </w:rPr>
  </w:style>
  <w:style w:type="paragraph" w:styleId="Citationintense">
    <w:name w:val="Intense Quote"/>
    <w:basedOn w:val="Normal"/>
    <w:next w:val="Normal"/>
    <w:link w:val="CitationintenseCar"/>
    <w:uiPriority w:val="30"/>
    <w:qFormat/>
    <w:rsid w:val="00056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56C4D"/>
    <w:rPr>
      <w:rFonts w:ascii="Garamond" w:hAnsi="Garamond"/>
      <w:i/>
      <w:iCs/>
      <w:color w:val="0F4761" w:themeColor="accent1" w:themeShade="BF"/>
      <w14:ligatures w14:val="none"/>
    </w:rPr>
  </w:style>
  <w:style w:type="character" w:styleId="Rfrenceintense">
    <w:name w:val="Intense Reference"/>
    <w:basedOn w:val="Policepardfaut"/>
    <w:uiPriority w:val="32"/>
    <w:qFormat/>
    <w:rsid w:val="00056C4D"/>
    <w:rPr>
      <w:b/>
      <w:bCs/>
      <w:smallCaps/>
      <w:color w:val="0F4761" w:themeColor="accent1" w:themeShade="BF"/>
      <w:spacing w:val="5"/>
    </w:rPr>
  </w:style>
  <w:style w:type="paragraph" w:styleId="Rvision">
    <w:name w:val="Revision"/>
    <w:hidden/>
    <w:uiPriority w:val="99"/>
    <w:semiHidden/>
    <w:rsid w:val="00312111"/>
    <w:pPr>
      <w:spacing w:after="0" w:line="240" w:lineRule="auto"/>
    </w:pPr>
    <w:rPr>
      <w:rFonts w:ascii="Garamond" w:hAnsi="Garamond"/>
      <w14:ligatures w14:val="none"/>
    </w:rPr>
  </w:style>
  <w:style w:type="character" w:styleId="Marquedecommentaire">
    <w:name w:val="annotation reference"/>
    <w:basedOn w:val="Policepardfaut"/>
    <w:uiPriority w:val="99"/>
    <w:semiHidden/>
    <w:unhideWhenUsed/>
    <w:rsid w:val="003A2BCA"/>
    <w:rPr>
      <w:sz w:val="16"/>
      <w:szCs w:val="16"/>
    </w:rPr>
  </w:style>
  <w:style w:type="paragraph" w:styleId="Commentaire">
    <w:name w:val="annotation text"/>
    <w:basedOn w:val="Normal"/>
    <w:link w:val="CommentaireCar"/>
    <w:uiPriority w:val="99"/>
    <w:unhideWhenUsed/>
    <w:rsid w:val="003A2BCA"/>
    <w:pPr>
      <w:spacing w:line="240" w:lineRule="auto"/>
    </w:pPr>
    <w:rPr>
      <w:sz w:val="20"/>
      <w:szCs w:val="20"/>
    </w:rPr>
  </w:style>
  <w:style w:type="character" w:customStyle="1" w:styleId="CommentaireCar">
    <w:name w:val="Commentaire Car"/>
    <w:basedOn w:val="Policepardfaut"/>
    <w:link w:val="Commentaire"/>
    <w:uiPriority w:val="99"/>
    <w:rsid w:val="003A2BCA"/>
    <w:rPr>
      <w:rFonts w:ascii="Garamond" w:hAnsi="Garamond"/>
      <w:sz w:val="20"/>
      <w:szCs w:val="20"/>
      <w14:ligatures w14:val="none"/>
    </w:rPr>
  </w:style>
  <w:style w:type="paragraph" w:styleId="Objetducommentaire">
    <w:name w:val="annotation subject"/>
    <w:basedOn w:val="Commentaire"/>
    <w:next w:val="Commentaire"/>
    <w:link w:val="ObjetducommentaireCar"/>
    <w:uiPriority w:val="99"/>
    <w:semiHidden/>
    <w:unhideWhenUsed/>
    <w:rsid w:val="003A2BCA"/>
    <w:rPr>
      <w:b/>
      <w:bCs/>
    </w:rPr>
  </w:style>
  <w:style w:type="character" w:customStyle="1" w:styleId="ObjetducommentaireCar">
    <w:name w:val="Objet du commentaire Car"/>
    <w:basedOn w:val="CommentaireCar"/>
    <w:link w:val="Objetducommentaire"/>
    <w:uiPriority w:val="99"/>
    <w:semiHidden/>
    <w:rsid w:val="003A2BCA"/>
    <w:rPr>
      <w:rFonts w:ascii="Garamond" w:hAnsi="Garamond"/>
      <w:b/>
      <w:bCs/>
      <w:sz w:val="20"/>
      <w:szCs w:val="20"/>
      <w14:ligatures w14:val="none"/>
    </w:rPr>
  </w:style>
  <w:style w:type="character" w:customStyle="1" w:styleId="cf01">
    <w:name w:val="cf01"/>
    <w:basedOn w:val="Policepardfaut"/>
    <w:rsid w:val="00AE35C2"/>
    <w:rPr>
      <w:rFonts w:ascii="Segoe UI" w:hAnsi="Segoe UI" w:cs="Segoe UI" w:hint="default"/>
      <w:sz w:val="18"/>
      <w:szCs w:val="18"/>
    </w:rPr>
  </w:style>
  <w:style w:type="paragraph" w:styleId="En-tte">
    <w:name w:val="header"/>
    <w:basedOn w:val="Normal"/>
    <w:link w:val="En-tteCar"/>
    <w:uiPriority w:val="99"/>
    <w:unhideWhenUsed/>
    <w:rsid w:val="0037291E"/>
    <w:pPr>
      <w:tabs>
        <w:tab w:val="center" w:pos="4680"/>
        <w:tab w:val="right" w:pos="9360"/>
      </w:tabs>
      <w:spacing w:line="240" w:lineRule="auto"/>
    </w:pPr>
  </w:style>
  <w:style w:type="character" w:customStyle="1" w:styleId="En-tteCar">
    <w:name w:val="En-tête Car"/>
    <w:basedOn w:val="Policepardfaut"/>
    <w:link w:val="En-tte"/>
    <w:uiPriority w:val="99"/>
    <w:rsid w:val="0037291E"/>
    <w:rPr>
      <w:rFonts w:ascii="Garamond" w:hAnsi="Garamond"/>
      <w14:ligatures w14:val="none"/>
    </w:rPr>
  </w:style>
  <w:style w:type="paragraph" w:styleId="Pieddepage">
    <w:name w:val="footer"/>
    <w:basedOn w:val="Normal"/>
    <w:link w:val="PieddepageCar"/>
    <w:uiPriority w:val="99"/>
    <w:unhideWhenUsed/>
    <w:rsid w:val="0037291E"/>
    <w:pPr>
      <w:tabs>
        <w:tab w:val="center" w:pos="4680"/>
        <w:tab w:val="right" w:pos="9360"/>
      </w:tabs>
      <w:spacing w:line="240" w:lineRule="auto"/>
    </w:pPr>
  </w:style>
  <w:style w:type="character" w:customStyle="1" w:styleId="PieddepageCar">
    <w:name w:val="Pied de page Car"/>
    <w:basedOn w:val="Policepardfaut"/>
    <w:link w:val="Pieddepage"/>
    <w:uiPriority w:val="99"/>
    <w:rsid w:val="0037291E"/>
    <w:rPr>
      <w:rFonts w:ascii="Garamond" w:hAnsi="Garamond"/>
      <w14:ligatures w14:val="none"/>
    </w:rPr>
  </w:style>
  <w:style w:type="paragraph" w:customStyle="1" w:styleId="Paragraphe">
    <w:name w:val="Paragraphe"/>
    <w:basedOn w:val="Normal"/>
    <w:link w:val="ParagrapheCar"/>
    <w:qFormat/>
    <w:rsid w:val="00EE7CC0"/>
    <w:pPr>
      <w:spacing w:after="160"/>
      <w:jc w:val="both"/>
    </w:pPr>
    <w:rPr>
      <w:rFonts w:ascii="Verdana" w:hAnsi="Verdana" w:cs="Calibri"/>
      <w:sz w:val="20"/>
      <w:szCs w:val="20"/>
    </w:rPr>
  </w:style>
  <w:style w:type="character" w:customStyle="1" w:styleId="ParagrapheCar">
    <w:name w:val="Paragraphe Car"/>
    <w:basedOn w:val="Policepardfaut"/>
    <w:link w:val="Paragraphe"/>
    <w:rsid w:val="00EE7CC0"/>
    <w:rPr>
      <w:rFonts w:ascii="Verdana" w:hAnsi="Verdana" w:cs="Calibri"/>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91D55-B1D9-4932-ACB7-872D64EAA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1452</Words>
  <Characters>7992</Characters>
  <Application>Microsoft Office Word</Application>
  <DocSecurity>4</DocSecurity>
  <Lines>66</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Herimandimby, Hasina (FAOMG)</dc:creator>
  <cp:keywords/>
  <dc:description/>
  <cp:lastModifiedBy>Gilles RIBOUET</cp:lastModifiedBy>
  <cp:revision>2</cp:revision>
  <dcterms:created xsi:type="dcterms:W3CDTF">2024-11-15T06:05:00Z</dcterms:created>
  <dcterms:modified xsi:type="dcterms:W3CDTF">2024-11-15T06:05:00Z</dcterms:modified>
</cp:coreProperties>
</file>